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BFED4" w14:textId="710C7559" w:rsidR="00767E50" w:rsidRDefault="00767E50" w:rsidP="00767E50">
      <w:pPr>
        <w:pStyle w:val="ListParagraph"/>
        <w:spacing w:after="160" w:line="48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4 </w:t>
      </w:r>
    </w:p>
    <w:p w14:paraId="5F0FC31F" w14:textId="3D79F0E9" w:rsidR="00767E50" w:rsidRPr="00D574E7" w:rsidRDefault="00767E50" w:rsidP="00767E50">
      <w:pPr>
        <w:pStyle w:val="ListParagraph"/>
        <w:spacing w:after="160" w:line="48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74E7">
        <w:rPr>
          <w:rFonts w:ascii="Times New Roman" w:hAnsi="Times New Roman" w:cs="Times New Roman"/>
          <w:b/>
          <w:bCs/>
          <w:sz w:val="24"/>
          <w:szCs w:val="24"/>
        </w:rPr>
        <w:t>Laboratory Tests to be done in the study</w:t>
      </w:r>
    </w:p>
    <w:p w14:paraId="7ABD62D6" w14:textId="41A07DBC" w:rsidR="00767E50" w:rsidRDefault="00767E50" w:rsidP="00767E50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1171">
        <w:rPr>
          <w:rFonts w:ascii="Times New Roman" w:eastAsia="Calibri" w:hAnsi="Times New Roman" w:cs="Times New Roman"/>
          <w:sz w:val="24"/>
          <w:szCs w:val="24"/>
          <w:u w:val="single"/>
        </w:rPr>
        <w:t>Heavy metal analysis from filter papers:</w:t>
      </w:r>
      <w:r>
        <w:rPr>
          <w:rFonts w:ascii="Times New Roman" w:eastAsia="Calibri" w:hAnsi="Times New Roman" w:cs="Times New Roman"/>
          <w:sz w:val="24"/>
          <w:szCs w:val="24"/>
        </w:rPr>
        <w:t xml:space="preserve"> E</w:t>
      </w:r>
      <w:r w:rsidRPr="00835F78">
        <w:rPr>
          <w:rFonts w:ascii="Times New Roman" w:eastAsia="Calibri" w:hAnsi="Times New Roman" w:cs="Times New Roman"/>
          <w:sz w:val="24"/>
          <w:szCs w:val="24"/>
        </w:rPr>
        <w:t>nergy-dispersive X-ray fluorescence (EDXRF)</w:t>
      </w:r>
      <w:r>
        <w:rPr>
          <w:rFonts w:ascii="Times New Roman" w:eastAsia="Calibri" w:hAnsi="Times New Roman" w:cs="Times New Roman"/>
          <w:sz w:val="24"/>
          <w:szCs w:val="24"/>
        </w:rPr>
        <w:t xml:space="preserve">--based analysis of trace elements will be done on a subset of filter papers which will be outsourced. The concentration of relevant </w:t>
      </w:r>
      <w:r w:rsidRPr="00A403E8">
        <w:rPr>
          <w:rFonts w:ascii="Times New Roman" w:eastAsia="Calibri" w:hAnsi="Times New Roman" w:cs="Times New Roman"/>
          <w:sz w:val="24"/>
          <w:szCs w:val="24"/>
        </w:rPr>
        <w:t xml:space="preserve">heavy metals </w:t>
      </w:r>
      <w:r>
        <w:rPr>
          <w:rFonts w:ascii="Times New Roman" w:eastAsia="Calibri" w:hAnsi="Times New Roman" w:cs="Times New Roman"/>
          <w:sz w:val="24"/>
          <w:szCs w:val="24"/>
        </w:rPr>
        <w:t xml:space="preserve">identified through EDXRF analysis will then be assessed in the </w:t>
      </w:r>
      <w:r w:rsidRPr="00A403E8">
        <w:rPr>
          <w:rFonts w:ascii="Times New Roman" w:eastAsia="Calibri" w:hAnsi="Times New Roman" w:cs="Times New Roman"/>
          <w:sz w:val="24"/>
          <w:szCs w:val="24"/>
        </w:rPr>
        <w:t>filter papers collected from both study cities as per the hot-acid digestion</w:t>
      </w:r>
      <w:r w:rsidRPr="00835F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03E8">
        <w:rPr>
          <w:rFonts w:ascii="Times New Roman" w:eastAsia="Calibri" w:hAnsi="Times New Roman" w:cs="Times New Roman"/>
          <w:sz w:val="24"/>
          <w:szCs w:val="24"/>
        </w:rPr>
        <w:t>method</w:t>
      </w:r>
      <w:r>
        <w:rPr>
          <w:rFonts w:ascii="Times New Roman" w:eastAsia="Calibri" w:hAnsi="Times New Roman" w:cs="Times New Roman"/>
          <w:sz w:val="24"/>
          <w:szCs w:val="24"/>
        </w:rPr>
        <w:t xml:space="preserve"> given by the</w:t>
      </w:r>
      <w:r w:rsidRPr="00835F78">
        <w:rPr>
          <w:rFonts w:ascii="Times New Roman" w:eastAsia="Calibri" w:hAnsi="Times New Roman" w:cs="Times New Roman"/>
          <w:sz w:val="24"/>
          <w:szCs w:val="24"/>
        </w:rPr>
        <w:t xml:space="preserve"> United States Environmental Protection Agency (USEPA)</w:t>
      </w:r>
      <w:r w:rsidRPr="00A403E8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03E8">
        <w:rPr>
          <w:rFonts w:ascii="Times New Roman" w:eastAsia="Calibri" w:hAnsi="Times New Roman" w:cs="Times New Roman"/>
          <w:sz w:val="24"/>
          <w:szCs w:val="24"/>
        </w:rPr>
        <w:fldChar w:fldCharType="begin"/>
      </w:r>
      <w:r>
        <w:rPr>
          <w:rFonts w:ascii="Times New Roman" w:eastAsia="Calibri" w:hAnsi="Times New Roman" w:cs="Times New Roman"/>
          <w:sz w:val="24"/>
          <w:szCs w:val="24"/>
        </w:rPr>
        <w:instrText xml:space="preserve"> ADDIN ZOTERO_ITEM CSL_CITATION {"citationID":"CMH4b7i5","properties":{"formattedCitation":"[1]","plainCitation":"[1]","noteIndex":0},"citationItems":[{"id":12982,"uris":["http://zotero.org/users/5831901/items/3FRXQY9M"],"itemData":{"id":12982,"type":"document","title":"Compendium of methods for the determination of inorganic compounds in ambient air. Compendium of Method IO-3.2, EPA/625/R-96/010a","URL":"https://www.epa.gov/amtic/compendium-methods-determination-inorganic-compounds-ambient-air","author":[{"family":"USEPA","given":""}],"accessed":{"date-parts":[["2023",3,7]]},"issued":{"date-parts":[["1999"]]}}}],"schema":"https://github.com/citation-style-language/schema/raw/master/csl-citation.json"} </w:instrText>
      </w:r>
      <w:r w:rsidRPr="00A403E8">
        <w:rPr>
          <w:rFonts w:ascii="Times New Roman" w:eastAsia="Calibri" w:hAnsi="Times New Roman" w:cs="Times New Roman"/>
          <w:sz w:val="24"/>
          <w:szCs w:val="24"/>
        </w:rPr>
        <w:fldChar w:fldCharType="separate"/>
      </w:r>
      <w:r w:rsidRPr="00767E50">
        <w:rPr>
          <w:rFonts w:ascii="Times New Roman" w:hAnsi="Times New Roman" w:cs="Times New Roman"/>
          <w:sz w:val="24"/>
        </w:rPr>
        <w:t>[1]</w:t>
      </w:r>
      <w:r w:rsidRPr="00A403E8">
        <w:rPr>
          <w:rFonts w:ascii="Times New Roman" w:eastAsia="Calibri" w:hAnsi="Times New Roman" w:cs="Times New Roman"/>
          <w:sz w:val="24"/>
          <w:szCs w:val="24"/>
        </w:rPr>
        <w:fldChar w:fldCharType="end"/>
      </w:r>
      <w:r w:rsidRPr="00A403E8">
        <w:rPr>
          <w:rFonts w:ascii="Times New Roman" w:eastAsia="Calibri" w:hAnsi="Times New Roman" w:cs="Times New Roman"/>
          <w:sz w:val="24"/>
          <w:szCs w:val="24"/>
        </w:rPr>
        <w:t xml:space="preserve"> Briefly, the filter papers will be digested using 15 mL </w:t>
      </w:r>
      <w:r>
        <w:rPr>
          <w:rFonts w:ascii="Times New Roman" w:eastAsia="Calibri" w:hAnsi="Times New Roman" w:cs="Times New Roman"/>
          <w:sz w:val="24"/>
          <w:szCs w:val="24"/>
        </w:rPr>
        <w:t xml:space="preserve">hydrogen chloride </w:t>
      </w:r>
      <w:r w:rsidRPr="00A403E8">
        <w:rPr>
          <w:rFonts w:ascii="Times New Roman" w:eastAsia="Calibri" w:hAnsi="Times New Roman" w:cs="Times New Roman"/>
          <w:sz w:val="24"/>
          <w:szCs w:val="24"/>
        </w:rPr>
        <w:t xml:space="preserve">and </w:t>
      </w:r>
      <w:r>
        <w:rPr>
          <w:rFonts w:ascii="Times New Roman" w:eastAsia="Calibri" w:hAnsi="Times New Roman" w:cs="Times New Roman"/>
          <w:sz w:val="24"/>
          <w:szCs w:val="24"/>
        </w:rPr>
        <w:t>nitric</w:t>
      </w:r>
      <w:r w:rsidRPr="00A403E8">
        <w:rPr>
          <w:rFonts w:ascii="Times New Roman" w:eastAsia="Calibri" w:hAnsi="Times New Roman" w:cs="Times New Roman"/>
          <w:sz w:val="24"/>
          <w:szCs w:val="24"/>
        </w:rPr>
        <w:t xml:space="preserve"> acid mixture (3:1). The digested samples will be cooled and diluted as per protocol and then analysis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A403E8">
        <w:rPr>
          <w:rFonts w:ascii="Times New Roman" w:eastAsia="Calibri" w:hAnsi="Times New Roman" w:cs="Times New Roman"/>
          <w:sz w:val="24"/>
          <w:szCs w:val="24"/>
        </w:rPr>
        <w:t xml:space="preserve">concentration of the heavy metals will be carried out on </w:t>
      </w:r>
      <w:r w:rsidRPr="006A469E">
        <w:rPr>
          <w:rFonts w:ascii="Times New Roman" w:eastAsia="Calibri" w:hAnsi="Times New Roman" w:cs="Times New Roman"/>
          <w:sz w:val="24"/>
          <w:szCs w:val="24"/>
        </w:rPr>
        <w:t xml:space="preserve">Inductively Coupled Plasma Optical Emission Spectroscopy (ICP-OES) </w:t>
      </w:r>
      <w:r w:rsidRPr="00A403E8">
        <w:rPr>
          <w:rFonts w:ascii="Times New Roman" w:eastAsia="Calibri" w:hAnsi="Times New Roman" w:cs="Times New Roman"/>
          <w:sz w:val="24"/>
          <w:szCs w:val="24"/>
        </w:rPr>
        <w:t xml:space="preserve">(iCAP® 7400 Duo ICP-OES, </w:t>
      </w:r>
      <w:proofErr w:type="spellStart"/>
      <w:r w:rsidRPr="00A403E8">
        <w:rPr>
          <w:rFonts w:ascii="Times New Roman" w:eastAsia="Calibri" w:hAnsi="Times New Roman" w:cs="Times New Roman"/>
          <w:sz w:val="24"/>
          <w:szCs w:val="24"/>
        </w:rPr>
        <w:t>ThermoFisher</w:t>
      </w:r>
      <w:proofErr w:type="spellEnd"/>
      <w:r w:rsidRPr="00A403E8">
        <w:rPr>
          <w:rFonts w:ascii="Times New Roman" w:eastAsia="Calibri" w:hAnsi="Times New Roman" w:cs="Times New Roman"/>
          <w:sz w:val="24"/>
          <w:szCs w:val="24"/>
        </w:rPr>
        <w:t xml:space="preserve"> Scientific® Pvt Ltd) system as per established protocols.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E859F22" w14:textId="77777777" w:rsidR="00767E50" w:rsidRPr="00967187" w:rsidRDefault="00767E50" w:rsidP="00767E50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117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Blood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h</w:t>
      </w:r>
      <w:r w:rsidRPr="005E1171">
        <w:rPr>
          <w:rFonts w:ascii="Times New Roman" w:eastAsia="Calibri" w:hAnsi="Times New Roman" w:cs="Times New Roman"/>
          <w:sz w:val="24"/>
          <w:szCs w:val="24"/>
          <w:u w:val="single"/>
        </w:rPr>
        <w:t>eavy metal analysis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</w:rPr>
        <w:t>B</w:t>
      </w:r>
      <w:r w:rsidRPr="00967187">
        <w:rPr>
          <w:rFonts w:ascii="Times New Roman" w:eastAsia="Calibri" w:hAnsi="Times New Roman" w:cs="Times New Roman"/>
          <w:sz w:val="24"/>
          <w:szCs w:val="24"/>
        </w:rPr>
        <w:t>lood samples will be acid-digested in a microwave oven (Anton Paar) using a mixture of concentrated trace metal grade nitric acid and hydrogen peroxide in a ratio of 2:1 (v/v). Digested samples will be cooled to room temperature and diluted to 30 m</w:t>
      </w:r>
      <w:r>
        <w:rPr>
          <w:rFonts w:ascii="Times New Roman" w:eastAsia="Calibri" w:hAnsi="Times New Roman" w:cs="Times New Roman"/>
          <w:sz w:val="24"/>
          <w:szCs w:val="24"/>
        </w:rPr>
        <w:t>L</w:t>
      </w:r>
      <w:r w:rsidRPr="00967187">
        <w:rPr>
          <w:rFonts w:ascii="Times New Roman" w:eastAsia="Calibri" w:hAnsi="Times New Roman" w:cs="Times New Roman"/>
          <w:sz w:val="24"/>
          <w:szCs w:val="24"/>
        </w:rPr>
        <w:t xml:space="preserve"> with distilled water. Analysis of metals in the digested blood samples will be carried out on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967187">
        <w:rPr>
          <w:rFonts w:ascii="Times New Roman" w:eastAsia="Calibri" w:hAnsi="Times New Roman" w:cs="Times New Roman"/>
          <w:sz w:val="24"/>
          <w:szCs w:val="24"/>
        </w:rPr>
        <w:t xml:space="preserve">ICP-OES system </w:t>
      </w:r>
      <w:r>
        <w:rPr>
          <w:rFonts w:ascii="Times New Roman" w:eastAsia="Calibri" w:hAnsi="Times New Roman" w:cs="Times New Roman"/>
          <w:sz w:val="24"/>
          <w:szCs w:val="24"/>
        </w:rPr>
        <w:t xml:space="preserve">available in the institute </w:t>
      </w:r>
      <w:r w:rsidRPr="00967187">
        <w:rPr>
          <w:rFonts w:ascii="Times New Roman" w:eastAsia="Calibri" w:hAnsi="Times New Roman" w:cs="Times New Roman"/>
          <w:sz w:val="24"/>
          <w:szCs w:val="24"/>
        </w:rPr>
        <w:t>as per established protocols.</w:t>
      </w:r>
    </w:p>
    <w:p w14:paraId="5C166916" w14:textId="77777777" w:rsidR="00767E50" w:rsidRPr="00767E50" w:rsidRDefault="00767E50" w:rsidP="00767E50">
      <w:pPr>
        <w:jc w:val="both"/>
        <w:rPr>
          <w:rFonts w:asciiTheme="majorBidi" w:eastAsia="Calibri" w:hAnsiTheme="majorBidi" w:cstheme="majorBidi"/>
          <w:sz w:val="24"/>
          <w:szCs w:val="24"/>
        </w:rPr>
      </w:pPr>
      <w:r w:rsidRPr="00767E50">
        <w:rPr>
          <w:rFonts w:asciiTheme="majorBidi" w:eastAsia="Calibri" w:hAnsiTheme="majorBidi" w:cstheme="majorBidi"/>
          <w:sz w:val="24"/>
          <w:szCs w:val="24"/>
        </w:rPr>
        <w:t>Reference:</w:t>
      </w:r>
    </w:p>
    <w:p w14:paraId="7736AAB3" w14:textId="017CDC21" w:rsidR="00767E50" w:rsidRPr="005236E2" w:rsidRDefault="00767E50" w:rsidP="005236E2">
      <w:pPr>
        <w:pStyle w:val="Bibliography"/>
        <w:jc w:val="both"/>
        <w:rPr>
          <w:szCs w:val="24"/>
        </w:rPr>
      </w:pPr>
      <w:r w:rsidRPr="00767E50">
        <w:rPr>
          <w:rFonts w:asciiTheme="majorBidi" w:hAnsiTheme="majorBidi" w:cstheme="majorBidi"/>
          <w:sz w:val="24"/>
          <w:szCs w:val="24"/>
        </w:rPr>
        <w:fldChar w:fldCharType="begin"/>
      </w:r>
      <w:r w:rsidRPr="00767E50">
        <w:rPr>
          <w:rFonts w:asciiTheme="majorBidi" w:hAnsiTheme="majorBidi" w:cstheme="majorBidi"/>
          <w:sz w:val="24"/>
          <w:szCs w:val="24"/>
        </w:rPr>
        <w:instrText xml:space="preserve"> ADDIN ZOTERO_BIBL {"uncited":[],"omitted":[],"custom":[]} CSL_BIBLIOGRAPHY </w:instrText>
      </w:r>
      <w:r w:rsidRPr="00767E50">
        <w:rPr>
          <w:rFonts w:asciiTheme="majorBidi" w:hAnsiTheme="majorBidi" w:cstheme="majorBidi"/>
          <w:sz w:val="24"/>
          <w:szCs w:val="24"/>
        </w:rPr>
        <w:fldChar w:fldCharType="separate"/>
      </w:r>
      <w:r w:rsidRPr="00767E50">
        <w:rPr>
          <w:rFonts w:asciiTheme="majorBidi" w:hAnsiTheme="majorBidi" w:cstheme="majorBidi"/>
          <w:sz w:val="24"/>
          <w:szCs w:val="24"/>
        </w:rPr>
        <w:t>1. USEPA. Compendium of methods for the determination of inorganic compounds in ambient air. Compendium of Method IO-3.2, EPA/625/R-96/010a. 1999.</w:t>
      </w:r>
      <w:r w:rsidRPr="00767E50">
        <w:rPr>
          <w:rFonts w:asciiTheme="majorBidi" w:hAnsiTheme="majorBidi" w:cstheme="majorBidi"/>
          <w:sz w:val="24"/>
          <w:szCs w:val="24"/>
        </w:rPr>
        <w:fldChar w:fldCharType="end"/>
      </w:r>
    </w:p>
    <w:p w14:paraId="1DD021DC" w14:textId="77777777" w:rsidR="00FD2E75" w:rsidRDefault="00FD2E75"/>
    <w:sectPr w:rsidR="00FD2E75" w:rsidSect="00A97E58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AA8B7" w14:textId="77777777" w:rsidR="00A97E58" w:rsidRDefault="00A97E58" w:rsidP="005236E2">
      <w:pPr>
        <w:spacing w:after="0" w:line="240" w:lineRule="auto"/>
      </w:pPr>
      <w:r>
        <w:separator/>
      </w:r>
    </w:p>
  </w:endnote>
  <w:endnote w:type="continuationSeparator" w:id="0">
    <w:p w14:paraId="5F542AFE" w14:textId="77777777" w:rsidR="00A97E58" w:rsidRDefault="00A97E58" w:rsidP="00523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46030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643770" w14:textId="608654E1" w:rsidR="005236E2" w:rsidRDefault="005236E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DD6871" w14:textId="77777777" w:rsidR="005236E2" w:rsidRDefault="005236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E699B" w14:textId="77777777" w:rsidR="00A97E58" w:rsidRDefault="00A97E58" w:rsidP="005236E2">
      <w:pPr>
        <w:spacing w:after="0" w:line="240" w:lineRule="auto"/>
      </w:pPr>
      <w:r>
        <w:separator/>
      </w:r>
    </w:p>
  </w:footnote>
  <w:footnote w:type="continuationSeparator" w:id="0">
    <w:p w14:paraId="3B0BA44D" w14:textId="77777777" w:rsidR="00A97E58" w:rsidRDefault="00A97E58" w:rsidP="005236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E50"/>
    <w:rsid w:val="00131ED7"/>
    <w:rsid w:val="0050486C"/>
    <w:rsid w:val="005236E2"/>
    <w:rsid w:val="00687287"/>
    <w:rsid w:val="0071485F"/>
    <w:rsid w:val="00767E50"/>
    <w:rsid w:val="007B72CE"/>
    <w:rsid w:val="00A6326A"/>
    <w:rsid w:val="00A97E58"/>
    <w:rsid w:val="00FD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2F4178"/>
  <w15:chartTrackingRefBased/>
  <w15:docId w15:val="{3E259386-4158-4676-B4E2-E6A386C1E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E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E50"/>
    <w:pPr>
      <w:spacing w:after="200" w:line="276" w:lineRule="auto"/>
      <w:ind w:left="720"/>
      <w:contextualSpacing/>
    </w:pPr>
    <w:rPr>
      <w:rFonts w:cs="Mangal"/>
      <w:kern w:val="0"/>
      <w:szCs w:val="20"/>
      <w:lang w:val="en-GB" w:bidi="hi-IN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767E50"/>
    <w:pPr>
      <w:spacing w:after="24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5236E2"/>
  </w:style>
  <w:style w:type="paragraph" w:styleId="Header">
    <w:name w:val="header"/>
    <w:basedOn w:val="Normal"/>
    <w:link w:val="HeaderChar"/>
    <w:uiPriority w:val="99"/>
    <w:unhideWhenUsed/>
    <w:rsid w:val="00523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6E2"/>
  </w:style>
  <w:style w:type="paragraph" w:styleId="Footer">
    <w:name w:val="footer"/>
    <w:basedOn w:val="Normal"/>
    <w:link w:val="FooterChar"/>
    <w:uiPriority w:val="99"/>
    <w:unhideWhenUsed/>
    <w:rsid w:val="00523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359</Words>
  <Characters>1968</Characters>
  <Application>Microsoft Office Word</Application>
  <DocSecurity>0</DocSecurity>
  <Lines>30</Lines>
  <Paragraphs>10</Paragraphs>
  <ScaleCrop>false</ScaleCrop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ICMR-NIREH</dc:creator>
  <cp:keywords/>
  <dc:description/>
  <cp:lastModifiedBy>ICMR-NIREH</cp:lastModifiedBy>
  <cp:revision>4</cp:revision>
  <dcterms:created xsi:type="dcterms:W3CDTF">2024-02-17T12:33:00Z</dcterms:created>
  <dcterms:modified xsi:type="dcterms:W3CDTF">2024-02-17T12:37:00Z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id="2QXXtGn7"/&gt;&lt;style id="http://www.zotero.org/styles/bmc-public-health" hasBibliography="1" bibliographyStyleHasBeenSet="1"/&gt;&lt;prefs&gt;&lt;pref name="fieldType" value="Field"/&gt;&lt;/prefs&gt;&lt;/data&gt;</vt:lpwstr>
  </property>
  <property fmtid="{D5CDD505-2E9C-101B-9397-08002B2CF9AE}" pid="3" name="GrammarlyDocumentId">
    <vt:lpwstr>57b88b05-5e4a-4bee-8619-2de200d99504</vt:lpwstr>
  </property>
</Properties>
</file>