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5AF6C" w14:textId="77777777" w:rsidR="00E04FC6" w:rsidRPr="003A15CE" w:rsidRDefault="00E04FC6" w:rsidP="00E04FC6">
      <w:pPr>
        <w:widowControl/>
        <w:spacing w:line="480" w:lineRule="auto"/>
        <w:jc w:val="left"/>
        <w:rPr>
          <w:rFonts w:eastAsia="MS Mincho" w:cs="Times New Roman"/>
          <w:b/>
          <w:kern w:val="0"/>
          <w:sz w:val="22"/>
          <w14:ligatures w14:val="none"/>
        </w:rPr>
      </w:pPr>
      <w:r w:rsidRPr="003A15CE">
        <w:rPr>
          <w:rFonts w:eastAsia="MS Mincho" w:cs="Times New Roman"/>
          <w:b/>
          <w:kern w:val="0"/>
          <w:sz w:val="22"/>
          <w14:ligatures w14:val="none"/>
        </w:rPr>
        <w:t>Supplementary Figure legends</w:t>
      </w:r>
    </w:p>
    <w:p w14:paraId="3D8794E1" w14:textId="77777777" w:rsidR="00E04FC6" w:rsidRPr="003A15CE" w:rsidRDefault="00E04FC6" w:rsidP="00E04FC6">
      <w:pPr>
        <w:widowControl/>
        <w:spacing w:line="480" w:lineRule="auto"/>
        <w:jc w:val="left"/>
        <w:rPr>
          <w:rFonts w:eastAsia="MS Mincho" w:cs="Times New Roman"/>
          <w:b/>
          <w:kern w:val="0"/>
          <w:sz w:val="22"/>
          <w14:ligatures w14:val="none"/>
        </w:rPr>
      </w:pPr>
      <w:r w:rsidRPr="003A15CE">
        <w:rPr>
          <w:rFonts w:eastAsia="MS Mincho" w:cs="Times New Roman"/>
          <w:b/>
          <w:kern w:val="0"/>
          <w:sz w:val="22"/>
          <w14:ligatures w14:val="none"/>
        </w:rPr>
        <w:t>Supplementary Figure 1</w:t>
      </w:r>
    </w:p>
    <w:p w14:paraId="156762FE" w14:textId="77777777" w:rsidR="00E04FC6" w:rsidRPr="003A15CE" w:rsidRDefault="00E04FC6" w:rsidP="00E04FC6">
      <w:pPr>
        <w:widowControl/>
        <w:spacing w:line="480" w:lineRule="auto"/>
        <w:jc w:val="left"/>
        <w:rPr>
          <w:rFonts w:eastAsia="MS Mincho" w:cs="Times New Roman"/>
          <w:b/>
          <w:kern w:val="0"/>
          <w:sz w:val="22"/>
          <w14:ligatures w14:val="none"/>
        </w:rPr>
      </w:pPr>
      <w:r w:rsidRPr="003A15CE">
        <w:rPr>
          <w:rFonts w:eastAsia="MS Mincho" w:cs="Times New Roman"/>
          <w:b/>
          <w:kern w:val="0"/>
          <w:sz w:val="22"/>
          <w14:ligatures w14:val="none"/>
        </w:rPr>
        <w:t>PGC-1α is highly expressed and essential for maintaining cold tolerance in female BAT</w:t>
      </w:r>
    </w:p>
    <w:p w14:paraId="3A4D694A" w14:textId="77777777" w:rsidR="00E04FC6" w:rsidRPr="0040487E" w:rsidRDefault="00E04FC6" w:rsidP="00E04FC6">
      <w:pPr>
        <w:widowControl/>
        <w:spacing w:line="480" w:lineRule="auto"/>
        <w:jc w:val="left"/>
        <w:rPr>
          <w:rFonts w:eastAsia="MS Mincho" w:cs="Times New Roman"/>
          <w:kern w:val="0"/>
          <w:sz w:val="22"/>
          <w14:ligatures w14:val="none"/>
        </w:rPr>
      </w:pPr>
      <w:r w:rsidRPr="003A15CE">
        <w:rPr>
          <w:rFonts w:eastAsia="MS Mincho" w:cs="Times New Roman"/>
          <w:b/>
          <w:bCs/>
          <w:kern w:val="0"/>
          <w:sz w:val="22"/>
          <w14:ligatures w14:val="none"/>
        </w:rPr>
        <w:t>(a)</w:t>
      </w:r>
      <w:r w:rsidRPr="003A15CE">
        <w:rPr>
          <w:rFonts w:eastAsia="MS Mincho" w:cs="Times New Roman"/>
          <w:i/>
          <w:iCs/>
          <w:kern w:val="0"/>
          <w:sz w:val="22"/>
          <w14:ligatures w14:val="none"/>
        </w:rPr>
        <w:t xml:space="preserve"> Adcy3</w:t>
      </w:r>
      <w:r w:rsidRPr="003A15CE">
        <w:rPr>
          <w:rFonts w:eastAsia="MS Mincho" w:cs="Times New Roman"/>
          <w:kern w:val="0"/>
          <w:sz w:val="22"/>
          <w14:ligatures w14:val="none"/>
        </w:rPr>
        <w:t xml:space="preserve"> mRNA levels in BAT </w:t>
      </w:r>
      <w:bookmarkStart w:id="0" w:name="_Hlk153547903"/>
      <w:r w:rsidRPr="003A15CE">
        <w:rPr>
          <w:rFonts w:eastAsia="MS Mincho" w:cs="Times New Roman"/>
          <w:kern w:val="0"/>
          <w:sz w:val="22"/>
          <w14:ligatures w14:val="none"/>
        </w:rPr>
        <w:t xml:space="preserve">of wild-type mice. </w:t>
      </w:r>
      <w:bookmarkEnd w:id="0"/>
      <w:r w:rsidRPr="003A15CE">
        <w:rPr>
          <w:rFonts w:eastAsia="MS Mincho" w:cs="Times New Roman"/>
          <w:kern w:val="0"/>
          <w:sz w:val="22"/>
          <w14:ligatures w14:val="none"/>
        </w:rPr>
        <w:t>n = 10 per group. </w:t>
      </w:r>
      <w:r w:rsidRPr="003A15CE">
        <w:rPr>
          <w:rFonts w:eastAsia="MS Mincho" w:cs="Times New Roman"/>
          <w:b/>
          <w:bCs/>
          <w:kern w:val="0"/>
          <w:sz w:val="22"/>
          <w14:ligatures w14:val="none"/>
        </w:rPr>
        <w:t>(b)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Correlation plots between </w:t>
      </w:r>
      <w:r w:rsidRPr="0040487E">
        <w:rPr>
          <w:rFonts w:eastAsia="MS Mincho" w:cs="Times New Roman"/>
          <w:i/>
          <w:iCs/>
          <w:kern w:val="0"/>
          <w:sz w:val="22"/>
          <w14:ligatures w14:val="none"/>
        </w:rPr>
        <w:t>Adcy3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and </w:t>
      </w:r>
      <w:r w:rsidRPr="0040487E">
        <w:rPr>
          <w:rFonts w:eastAsia="MS Mincho" w:cs="Times New Roman"/>
          <w:i/>
          <w:iCs/>
          <w:kern w:val="0"/>
          <w:sz w:val="22"/>
          <w14:ligatures w14:val="none"/>
        </w:rPr>
        <w:t>Ppargc1a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mRNA levels in BAT of wild-type mice. n = 10 per group. </w:t>
      </w:r>
      <w:r w:rsidRPr="0040487E">
        <w:rPr>
          <w:rFonts w:eastAsia="MS Mincho" w:cs="Times New Roman"/>
          <w:b/>
          <w:bCs/>
          <w:kern w:val="0"/>
          <w:sz w:val="22"/>
          <w14:ligatures w14:val="none"/>
        </w:rPr>
        <w:t>(c)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Concentration of cAMP in BAT of wild-type mice. n = 5 p</w:t>
      </w:r>
      <w:r w:rsidRPr="00C63F2E">
        <w:rPr>
          <w:rFonts w:eastAsia="MS Mincho" w:cs="Times New Roman"/>
          <w:kern w:val="0"/>
          <w:sz w:val="22"/>
          <w14:ligatures w14:val="none"/>
        </w:rPr>
        <w:t xml:space="preserve">er group. </w:t>
      </w:r>
      <w:r w:rsidRPr="00C63F2E">
        <w:rPr>
          <w:rFonts w:eastAsia="MS Mincho" w:cs="Times New Roman"/>
          <w:b/>
          <w:bCs/>
          <w:kern w:val="0"/>
          <w:sz w:val="22"/>
          <w14:ligatures w14:val="none"/>
        </w:rPr>
        <w:t>(d)</w:t>
      </w:r>
      <w:r w:rsidRPr="00C63F2E">
        <w:rPr>
          <w:rFonts w:eastAsia="MS Mincho" w:cs="Times New Roman"/>
          <w:kern w:val="0"/>
          <w:sz w:val="22"/>
          <w14:ligatures w14:val="none"/>
        </w:rPr>
        <w:t xml:space="preserve"> Experimental protocols of adipocyte-specific PGC-1α conditional knockout mice using tamoxifen (TMX)-inducible Adipoq-Cre-ERT2 mice.</w:t>
      </w:r>
      <w:r w:rsidRPr="00C63F2E">
        <w:rPr>
          <w:rFonts w:eastAsia="MS Mincho" w:cs="Times New Roman"/>
          <w:b/>
          <w:bCs/>
          <w:kern w:val="0"/>
          <w:sz w:val="22"/>
          <w14:ligatures w14:val="none"/>
        </w:rPr>
        <w:t xml:space="preserve"> (e)</w:t>
      </w:r>
      <w:r w:rsidRPr="00C63F2E">
        <w:rPr>
          <w:rFonts w:eastAsia="MS Mincho" w:cs="Times New Roman"/>
          <w:i/>
          <w:iCs/>
          <w:kern w:val="0"/>
          <w:sz w:val="22"/>
          <w14:ligatures w14:val="none"/>
        </w:rPr>
        <w:t xml:space="preserve"> Ppargc1a</w:t>
      </w:r>
      <w:r w:rsidRPr="00C63F2E">
        <w:rPr>
          <w:rFonts w:eastAsia="MS Mincho" w:cs="Times New Roman"/>
          <w:kern w:val="0"/>
          <w:sz w:val="22"/>
          <w14:ligatures w14:val="none"/>
        </w:rPr>
        <w:t xml:space="preserve"> mRNA levels in BAT of Control and KO mice. n = 7–8 per group. </w:t>
      </w:r>
      <w:r w:rsidRPr="00C63F2E">
        <w:rPr>
          <w:rFonts w:eastAsia="MS Mincho" w:cs="Times New Roman"/>
          <w:b/>
          <w:bCs/>
          <w:kern w:val="0"/>
          <w:sz w:val="22"/>
          <w14:ligatures w14:val="none"/>
        </w:rPr>
        <w:t>(f)</w:t>
      </w:r>
      <w:r w:rsidRPr="00C63F2E">
        <w:rPr>
          <w:rFonts w:eastAsia="MS Mincho" w:cs="Times New Roman"/>
          <w:kern w:val="0"/>
          <w:sz w:val="22"/>
          <w14:ligatures w14:val="none"/>
        </w:rPr>
        <w:t xml:space="preserve"> Blood glucose levels of Control and KO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mice under glucose tolerance test. Data are expressed as the mean ± SEM. Data were analyzed by unpaired two-sided t-test </w:t>
      </w:r>
      <w:r w:rsidRPr="0040487E">
        <w:rPr>
          <w:rFonts w:eastAsia="MS Mincho" w:cs="Times New Roman"/>
          <w:b/>
          <w:bCs/>
          <w:kern w:val="0"/>
          <w:sz w:val="22"/>
          <w14:ligatures w14:val="none"/>
        </w:rPr>
        <w:t>(a)(c)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, linear regression </w:t>
      </w:r>
      <w:r w:rsidRPr="0040487E">
        <w:rPr>
          <w:rFonts w:eastAsia="MS Mincho" w:cs="Times New Roman"/>
          <w:b/>
          <w:bCs/>
          <w:kern w:val="0"/>
          <w:sz w:val="22"/>
          <w14:ligatures w14:val="none"/>
        </w:rPr>
        <w:t>(b)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, one-way ANOVA with Tukey’s post hoc test </w:t>
      </w:r>
      <w:r w:rsidRPr="0040487E">
        <w:rPr>
          <w:rFonts w:eastAsia="MS Mincho" w:cs="Times New Roman"/>
          <w:b/>
          <w:bCs/>
          <w:kern w:val="0"/>
          <w:sz w:val="22"/>
          <w14:ligatures w14:val="none"/>
        </w:rPr>
        <w:t>(e)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, and two-way repeated measures ANOVA with Bonferroni’s post hoc test </w:t>
      </w:r>
      <w:r w:rsidRPr="0040487E">
        <w:rPr>
          <w:rFonts w:eastAsia="MS Mincho" w:cs="Times New Roman"/>
          <w:b/>
          <w:bCs/>
          <w:kern w:val="0"/>
          <w:sz w:val="22"/>
          <w14:ligatures w14:val="none"/>
        </w:rPr>
        <w:t>(f)</w:t>
      </w:r>
      <w:r w:rsidRPr="0040487E">
        <w:rPr>
          <w:rFonts w:eastAsia="MS Mincho" w:cs="Times New Roman"/>
          <w:kern w:val="0"/>
          <w:sz w:val="22"/>
          <w14:ligatures w14:val="none"/>
        </w:rPr>
        <w:t>. Significance is indicated (*</w:t>
      </w:r>
      <w:r w:rsidRPr="0040487E">
        <w:rPr>
          <w:rFonts w:eastAsia="MS Mincho" w:cs="Times New Roman"/>
          <w:i/>
          <w:kern w:val="0"/>
          <w:sz w:val="22"/>
          <w14:ligatures w14:val="none"/>
        </w:rPr>
        <w:t>p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&lt; 0.05; **</w:t>
      </w:r>
      <w:r w:rsidRPr="0040487E">
        <w:rPr>
          <w:rFonts w:eastAsia="MS Mincho" w:cs="Times New Roman"/>
          <w:i/>
          <w:kern w:val="0"/>
          <w:sz w:val="22"/>
          <w14:ligatures w14:val="none"/>
        </w:rPr>
        <w:t>p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&lt; 0.01; ***</w:t>
      </w:r>
      <w:r w:rsidRPr="0040487E">
        <w:rPr>
          <w:rFonts w:eastAsia="MS Mincho" w:cs="Times New Roman"/>
          <w:i/>
          <w:kern w:val="0"/>
          <w:sz w:val="22"/>
          <w14:ligatures w14:val="none"/>
        </w:rPr>
        <w:t>p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&lt; 0.001).</w:t>
      </w:r>
    </w:p>
    <w:p w14:paraId="46CD0C81" w14:textId="77777777" w:rsidR="00E04FC6" w:rsidRPr="0040487E" w:rsidRDefault="00E04FC6" w:rsidP="00E04FC6">
      <w:pPr>
        <w:widowControl/>
        <w:spacing w:line="480" w:lineRule="auto"/>
        <w:jc w:val="left"/>
        <w:rPr>
          <w:rFonts w:eastAsia="MS Mincho" w:cs="Times New Roman"/>
          <w:kern w:val="0"/>
          <w:sz w:val="22"/>
          <w14:ligatures w14:val="none"/>
        </w:rPr>
      </w:pPr>
    </w:p>
    <w:p w14:paraId="43659BC9" w14:textId="77777777" w:rsidR="00E04FC6" w:rsidRPr="0040487E" w:rsidRDefault="00E04FC6" w:rsidP="00E04FC6">
      <w:pPr>
        <w:widowControl/>
        <w:spacing w:line="480" w:lineRule="auto"/>
        <w:jc w:val="left"/>
        <w:rPr>
          <w:rFonts w:eastAsia="MS Mincho" w:cs="Times New Roman"/>
          <w:b/>
          <w:kern w:val="0"/>
          <w:sz w:val="22"/>
          <w14:ligatures w14:val="none"/>
        </w:rPr>
      </w:pPr>
      <w:r w:rsidRPr="0040487E">
        <w:rPr>
          <w:rFonts w:eastAsia="MS Mincho" w:cs="Times New Roman"/>
          <w:b/>
          <w:kern w:val="0"/>
          <w:sz w:val="22"/>
          <w14:ligatures w14:val="none"/>
        </w:rPr>
        <w:t>Supplementary Figure 2</w:t>
      </w:r>
    </w:p>
    <w:p w14:paraId="2C164F94" w14:textId="77777777" w:rsidR="00E04FC6" w:rsidRPr="0040487E" w:rsidRDefault="00E04FC6" w:rsidP="00E04FC6">
      <w:pPr>
        <w:widowControl/>
        <w:spacing w:line="480" w:lineRule="auto"/>
        <w:jc w:val="left"/>
        <w:rPr>
          <w:rFonts w:eastAsia="MS Mincho" w:cs="Times New Roman"/>
          <w:b/>
          <w:kern w:val="0"/>
          <w:sz w:val="22"/>
          <w14:ligatures w14:val="none"/>
        </w:rPr>
      </w:pPr>
      <w:r w:rsidRPr="0040487E">
        <w:rPr>
          <w:rFonts w:eastAsia="MS Mincho" w:cs="Times New Roman"/>
          <w:b/>
          <w:kern w:val="0"/>
          <w:sz w:val="22"/>
          <w14:ligatures w14:val="none"/>
        </w:rPr>
        <w:t>PGC-1α modulates mitochondrial membrane structure in female BAT</w:t>
      </w:r>
    </w:p>
    <w:p w14:paraId="6EF7A745" w14:textId="77777777" w:rsidR="00E04FC6" w:rsidRPr="0040487E" w:rsidRDefault="00E04FC6" w:rsidP="00E04FC6">
      <w:pPr>
        <w:widowControl/>
        <w:spacing w:line="480" w:lineRule="auto"/>
        <w:ind w:left="110" w:hangingChars="50" w:hanging="110"/>
        <w:jc w:val="left"/>
        <w:rPr>
          <w:rFonts w:eastAsia="MS Mincho" w:cs="Times New Roman"/>
          <w:kern w:val="0"/>
          <w:sz w:val="22"/>
          <w14:ligatures w14:val="none"/>
        </w:rPr>
      </w:pPr>
      <w:r w:rsidRPr="0040487E">
        <w:rPr>
          <w:rFonts w:eastAsia="MS Mincho" w:cs="Times New Roman"/>
          <w:kern w:val="0"/>
          <w:sz w:val="22"/>
          <w14:ligatures w14:val="none"/>
        </w:rPr>
        <w:t xml:space="preserve">Gene expression of NRF-1, TFAM (upper panel), and mitochondrial </w:t>
      </w:r>
    </w:p>
    <w:p w14:paraId="2DD8FF59" w14:textId="77777777" w:rsidR="00E04FC6" w:rsidRPr="0040487E" w:rsidRDefault="00E04FC6" w:rsidP="00E04FC6">
      <w:pPr>
        <w:widowControl/>
        <w:spacing w:line="480" w:lineRule="auto"/>
        <w:ind w:left="110" w:hangingChars="50" w:hanging="110"/>
        <w:jc w:val="left"/>
        <w:rPr>
          <w:rFonts w:eastAsia="MS Mincho" w:cs="Times New Roman"/>
          <w:kern w:val="0"/>
          <w:sz w:val="22"/>
          <w14:ligatures w14:val="none"/>
        </w:rPr>
      </w:pPr>
      <w:r w:rsidRPr="0040487E">
        <w:rPr>
          <w:rFonts w:eastAsia="MS Mincho" w:cs="Times New Roman"/>
          <w:kern w:val="0"/>
          <w:sz w:val="22"/>
          <w14:ligatures w14:val="none"/>
        </w:rPr>
        <w:t xml:space="preserve">Fusion/fission genes (lower panel) </w:t>
      </w:r>
      <w:r w:rsidRPr="00C63F2E">
        <w:rPr>
          <w:rFonts w:eastAsia="MS Mincho" w:cs="Times New Roman"/>
          <w:kern w:val="0"/>
          <w:sz w:val="22"/>
          <w14:ligatures w14:val="none"/>
        </w:rPr>
        <w:t>in the BAT of Control and KO m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ice. </w:t>
      </w:r>
    </w:p>
    <w:p w14:paraId="78C8C7C7" w14:textId="77777777" w:rsidR="00E04FC6" w:rsidRPr="0040487E" w:rsidRDefault="00E04FC6" w:rsidP="00E04FC6">
      <w:pPr>
        <w:widowControl/>
        <w:spacing w:line="480" w:lineRule="auto"/>
        <w:ind w:left="110" w:hangingChars="50" w:hanging="110"/>
        <w:jc w:val="left"/>
        <w:rPr>
          <w:rFonts w:eastAsia="MS Mincho" w:cs="Times New Roman"/>
          <w:kern w:val="0"/>
          <w:sz w:val="22"/>
          <w14:ligatures w14:val="none"/>
        </w:rPr>
      </w:pPr>
      <w:r w:rsidRPr="0040487E">
        <w:rPr>
          <w:rFonts w:eastAsia="MS Mincho" w:cs="Times New Roman"/>
          <w:kern w:val="0"/>
          <w:sz w:val="22"/>
          <w14:ligatures w14:val="none"/>
        </w:rPr>
        <w:t>Significance is indicated (*</w:t>
      </w:r>
      <w:r w:rsidRPr="0040487E">
        <w:rPr>
          <w:rFonts w:eastAsia="MS Mincho" w:cs="Times New Roman"/>
          <w:i/>
          <w:kern w:val="0"/>
          <w:sz w:val="22"/>
          <w14:ligatures w14:val="none"/>
        </w:rPr>
        <w:t>p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&lt; 0.05; **</w:t>
      </w:r>
      <w:r w:rsidRPr="0040487E">
        <w:rPr>
          <w:rFonts w:eastAsia="MS Mincho" w:cs="Times New Roman"/>
          <w:i/>
          <w:kern w:val="0"/>
          <w:sz w:val="22"/>
          <w14:ligatures w14:val="none"/>
        </w:rPr>
        <w:t>p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&lt; 0.01; ***</w:t>
      </w:r>
      <w:r w:rsidRPr="0040487E">
        <w:rPr>
          <w:rFonts w:eastAsia="MS Mincho" w:cs="Times New Roman"/>
          <w:i/>
          <w:kern w:val="0"/>
          <w:sz w:val="22"/>
          <w14:ligatures w14:val="none"/>
        </w:rPr>
        <w:t>p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&lt; 0.001). ns, not significant.</w:t>
      </w:r>
    </w:p>
    <w:p w14:paraId="49A52450" w14:textId="77777777" w:rsidR="00E04FC6" w:rsidRPr="0040487E" w:rsidRDefault="00E04FC6" w:rsidP="00E04FC6">
      <w:pPr>
        <w:widowControl/>
        <w:spacing w:line="480" w:lineRule="auto"/>
        <w:ind w:left="110" w:hangingChars="50" w:hanging="110"/>
        <w:jc w:val="left"/>
        <w:rPr>
          <w:rFonts w:eastAsia="MS Mincho" w:cs="Times New Roman"/>
          <w:kern w:val="0"/>
          <w:sz w:val="22"/>
          <w14:ligatures w14:val="none"/>
        </w:rPr>
      </w:pPr>
    </w:p>
    <w:p w14:paraId="5F6EF730" w14:textId="77777777" w:rsidR="00E04FC6" w:rsidRPr="0040487E" w:rsidRDefault="00E04FC6" w:rsidP="00E04FC6">
      <w:pPr>
        <w:widowControl/>
        <w:spacing w:line="480" w:lineRule="auto"/>
        <w:jc w:val="left"/>
        <w:rPr>
          <w:rFonts w:eastAsia="MS Mincho" w:cs="Times New Roman"/>
          <w:b/>
          <w:kern w:val="0"/>
          <w:sz w:val="22"/>
          <w14:ligatures w14:val="none"/>
        </w:rPr>
      </w:pPr>
      <w:r w:rsidRPr="0040487E">
        <w:rPr>
          <w:rFonts w:eastAsia="MS Mincho" w:cs="Times New Roman"/>
          <w:b/>
          <w:kern w:val="0"/>
          <w:sz w:val="22"/>
          <w14:ligatures w14:val="none"/>
        </w:rPr>
        <w:t>Supplementary Figure 3</w:t>
      </w:r>
    </w:p>
    <w:p w14:paraId="3F0DDC61" w14:textId="77777777" w:rsidR="00E04FC6" w:rsidRPr="0040487E" w:rsidRDefault="00E04FC6" w:rsidP="00E04FC6">
      <w:pPr>
        <w:widowControl/>
        <w:spacing w:line="480" w:lineRule="auto"/>
        <w:jc w:val="left"/>
        <w:rPr>
          <w:rFonts w:eastAsia="MS Mincho" w:cs="Times New Roman"/>
          <w:b/>
          <w:kern w:val="0"/>
          <w:sz w:val="22"/>
          <w14:ligatures w14:val="none"/>
        </w:rPr>
      </w:pPr>
      <w:r w:rsidRPr="0040487E">
        <w:rPr>
          <w:rFonts w:eastAsia="MS Mincho" w:cs="Times New Roman"/>
          <w:b/>
          <w:kern w:val="0"/>
          <w:sz w:val="22"/>
          <w14:ligatures w14:val="none"/>
        </w:rPr>
        <w:t>PGC-1α changes the mitochondrial membrane lipid profiles of female BAT</w:t>
      </w:r>
    </w:p>
    <w:p w14:paraId="11CC5D51" w14:textId="77777777" w:rsidR="00E04FC6" w:rsidRPr="0040487E" w:rsidRDefault="00E04FC6" w:rsidP="00E04FC6">
      <w:pPr>
        <w:widowControl/>
        <w:spacing w:line="480" w:lineRule="auto"/>
        <w:jc w:val="left"/>
        <w:rPr>
          <w:rFonts w:eastAsia="MS Mincho" w:cs="Times New Roman"/>
          <w:kern w:val="0"/>
          <w:sz w:val="22"/>
          <w14:ligatures w14:val="none"/>
        </w:rPr>
      </w:pPr>
      <w:r w:rsidRPr="0040487E">
        <w:rPr>
          <w:rFonts w:eastAsia="MS Mincho" w:cs="Times New Roman"/>
          <w:kern w:val="0"/>
          <w:sz w:val="22"/>
          <w14:ligatures w14:val="none"/>
        </w:rPr>
        <w:t xml:space="preserve">Top 5 lipids contributing to PLS3 loading. </w:t>
      </w:r>
    </w:p>
    <w:p w14:paraId="6824AB5D" w14:textId="77777777" w:rsidR="00E04FC6" w:rsidRPr="0040487E" w:rsidRDefault="00E04FC6" w:rsidP="00E04FC6">
      <w:pPr>
        <w:widowControl/>
        <w:spacing w:line="480" w:lineRule="auto"/>
        <w:jc w:val="left"/>
        <w:rPr>
          <w:rFonts w:eastAsia="MS Mincho" w:cs="Times New Roman"/>
          <w:kern w:val="0"/>
          <w:sz w:val="22"/>
          <w14:ligatures w14:val="none"/>
        </w:rPr>
      </w:pPr>
    </w:p>
    <w:p w14:paraId="61CEFECD" w14:textId="77777777" w:rsidR="00E04FC6" w:rsidRPr="0040487E" w:rsidRDefault="00E04FC6" w:rsidP="00E04FC6">
      <w:pPr>
        <w:widowControl/>
        <w:spacing w:line="480" w:lineRule="auto"/>
        <w:jc w:val="left"/>
        <w:rPr>
          <w:rFonts w:eastAsia="MS Mincho" w:cs="Times New Roman"/>
          <w:b/>
          <w:kern w:val="0"/>
          <w:sz w:val="22"/>
          <w14:ligatures w14:val="none"/>
        </w:rPr>
      </w:pPr>
      <w:r w:rsidRPr="0040487E">
        <w:rPr>
          <w:rFonts w:eastAsia="MS Mincho" w:cs="Times New Roman"/>
          <w:b/>
          <w:kern w:val="0"/>
          <w:sz w:val="22"/>
          <w14:ligatures w14:val="none"/>
        </w:rPr>
        <w:t>Supplementary Figure 4</w:t>
      </w:r>
    </w:p>
    <w:p w14:paraId="5D11ED84" w14:textId="77777777" w:rsidR="00E04FC6" w:rsidRPr="0040487E" w:rsidRDefault="00E04FC6" w:rsidP="00E04FC6">
      <w:pPr>
        <w:widowControl/>
        <w:spacing w:line="480" w:lineRule="auto"/>
        <w:jc w:val="left"/>
        <w:rPr>
          <w:rFonts w:eastAsia="MS Mincho" w:cs="Times New Roman"/>
          <w:b/>
          <w:kern w:val="0"/>
          <w:sz w:val="22"/>
          <w14:ligatures w14:val="none"/>
        </w:rPr>
      </w:pPr>
      <w:r w:rsidRPr="0040487E">
        <w:rPr>
          <w:rFonts w:eastAsia="MS Mincho" w:cs="Times New Roman"/>
          <w:b/>
          <w:kern w:val="0"/>
          <w:sz w:val="22"/>
          <w14:ligatures w14:val="none"/>
        </w:rPr>
        <w:t>Female BAT PGC-1α regulates systemic energy metabolism in coordination with estrogen signaling</w:t>
      </w:r>
    </w:p>
    <w:p w14:paraId="13D1C223" w14:textId="77777777" w:rsidR="00E04FC6" w:rsidRPr="0040487E" w:rsidRDefault="00E04FC6" w:rsidP="00E04FC6">
      <w:pPr>
        <w:widowControl/>
        <w:spacing w:line="480" w:lineRule="auto"/>
        <w:jc w:val="left"/>
        <w:rPr>
          <w:rFonts w:eastAsia="MS Mincho" w:cs="Times New Roman"/>
          <w:kern w:val="0"/>
          <w:sz w:val="22"/>
          <w14:ligatures w14:val="none"/>
        </w:rPr>
      </w:pPr>
      <w:r w:rsidRPr="0040487E">
        <w:rPr>
          <w:rFonts w:eastAsia="MS Mincho" w:cs="Times New Roman"/>
          <w:b/>
          <w:bCs/>
          <w:kern w:val="0"/>
          <w:sz w:val="22"/>
          <w14:ligatures w14:val="none"/>
        </w:rPr>
        <w:lastRenderedPageBreak/>
        <w:t>(a)</w:t>
      </w:r>
      <w:r w:rsidRPr="0040487E">
        <w:rPr>
          <w:rFonts w:eastAsia="MS Mincho" w:cs="Times New Roman"/>
          <w:i/>
          <w:iCs/>
          <w:kern w:val="0"/>
          <w:sz w:val="22"/>
          <w14:ligatures w14:val="none"/>
        </w:rPr>
        <w:t xml:space="preserve"> </w:t>
      </w:r>
      <w:r w:rsidRPr="0040487E">
        <w:rPr>
          <w:rFonts w:eastAsia="MS Mincho" w:cs="Times New Roman"/>
          <w:kern w:val="0"/>
          <w:sz w:val="22"/>
          <w14:ligatures w14:val="none"/>
        </w:rPr>
        <w:t>Experimental protocols of tamoxifen (TMX) or vehicle (Veh) treated mice. </w:t>
      </w:r>
      <w:r w:rsidRPr="0040487E">
        <w:rPr>
          <w:rFonts w:eastAsia="MS Mincho" w:cs="Times New Roman"/>
          <w:b/>
          <w:bCs/>
          <w:kern w:val="0"/>
          <w:sz w:val="22"/>
          <w14:ligatures w14:val="none"/>
        </w:rPr>
        <w:t>(b)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Gene expression of Chrebp β and DNL-related genes in BAT of male and female mice after 1, 4, and </w:t>
      </w:r>
      <w:r w:rsidRPr="003A15CE">
        <w:rPr>
          <w:rFonts w:eastAsia="MS Mincho" w:cs="Times New Roman"/>
          <w:kern w:val="0"/>
          <w:sz w:val="22"/>
          <w14:ligatures w14:val="none"/>
        </w:rPr>
        <w:t>8 weeks of TMX treatment. n = 5</w:t>
      </w:r>
      <w:r>
        <w:rPr>
          <w:rFonts w:eastAsia="MS Mincho" w:cs="Times New Roman"/>
          <w:kern w:val="0"/>
          <w:sz w:val="22"/>
          <w14:ligatures w14:val="none"/>
        </w:rPr>
        <w:t>–</w:t>
      </w:r>
      <w:r w:rsidRPr="003A15CE">
        <w:rPr>
          <w:rFonts w:eastAsia="MS Mincho" w:cs="Times New Roman"/>
          <w:kern w:val="0"/>
          <w:sz w:val="22"/>
          <w14:ligatures w14:val="none"/>
        </w:rPr>
        <w:t>10 per group. Note that TMX was also used to induce PGC-</w:t>
      </w:r>
      <w:r w:rsidRPr="00C63F2E">
        <w:rPr>
          <w:rFonts w:eastAsia="MS Mincho" w:cs="Times New Roman"/>
          <w:kern w:val="0"/>
          <w:sz w:val="22"/>
          <w14:ligatures w14:val="none"/>
        </w:rPr>
        <w:t>1α knockout, but the analysis of knockout mice was performed at least 8 weeks after TMX administration, while Chrebpβ and Acly gene expression in Female Control mice recovered to approximately the same level as that before TMX administration.</w:t>
      </w:r>
      <w:r w:rsidRPr="00C63F2E">
        <w:rPr>
          <w:rFonts w:eastAsia="MS Mincho" w:cs="Times New Roman"/>
          <w:b/>
          <w:bCs/>
          <w:kern w:val="0"/>
          <w:sz w:val="22"/>
          <w14:ligatures w14:val="none"/>
        </w:rPr>
        <w:t xml:space="preserve"> (c) </w:t>
      </w:r>
      <w:r w:rsidRPr="00C63F2E">
        <w:rPr>
          <w:rFonts w:eastAsia="MS Mincho" w:cs="Times New Roman"/>
          <w:kern w:val="0"/>
          <w:sz w:val="22"/>
          <w14:ligatures w14:val="none"/>
        </w:rPr>
        <w:t xml:space="preserve">BAT gene expression in sham operated (Sham) and ovariectomized (OVX) mice. n = 5 per group. </w:t>
      </w:r>
      <w:r w:rsidRPr="00C63F2E">
        <w:rPr>
          <w:rFonts w:eastAsia="MS Mincho" w:cs="Times New Roman"/>
          <w:b/>
          <w:bCs/>
          <w:kern w:val="0"/>
          <w:sz w:val="22"/>
          <w14:ligatures w14:val="none"/>
        </w:rPr>
        <w:t>(d)</w:t>
      </w:r>
      <w:r w:rsidRPr="00C63F2E">
        <w:rPr>
          <w:rFonts w:eastAsia="MS Mincho" w:cs="Times New Roman"/>
          <w:kern w:val="0"/>
          <w:sz w:val="22"/>
          <w14:ligatures w14:val="none"/>
        </w:rPr>
        <w:t xml:space="preserve"> Gene expression in BAT explants from wild-type male and female mice treated with 17β-estradiol (E2, 0nM, 10nM, 100 nM, 24 hours).</w:t>
      </w:r>
      <w:r w:rsidRPr="00C63F2E">
        <w:rPr>
          <w:rFonts w:eastAsia="MS Mincho" w:cs="Times New Roman"/>
          <w:b/>
          <w:bCs/>
          <w:kern w:val="0"/>
          <w:sz w:val="22"/>
          <w14:ligatures w14:val="none"/>
        </w:rPr>
        <w:t xml:space="preserve"> (e)</w:t>
      </w:r>
      <w:r w:rsidRPr="00C63F2E">
        <w:rPr>
          <w:rFonts w:eastAsia="MS Mincho" w:cs="Times New Roman"/>
          <w:kern w:val="0"/>
          <w:sz w:val="22"/>
          <w14:ligatures w14:val="none"/>
        </w:rPr>
        <w:t xml:space="preserve"> </w:t>
      </w:r>
      <w:r w:rsidRPr="00C63F2E">
        <w:rPr>
          <w:rFonts w:eastAsia="MS Mincho" w:cs="Times New Roman"/>
          <w:i/>
          <w:iCs/>
          <w:kern w:val="0"/>
          <w:sz w:val="22"/>
          <w14:ligatures w14:val="none"/>
        </w:rPr>
        <w:t>Esr1</w:t>
      </w:r>
      <w:r w:rsidRPr="00C63F2E">
        <w:rPr>
          <w:rFonts w:eastAsia="MS Mincho" w:cs="Times New Roman"/>
          <w:kern w:val="0"/>
          <w:sz w:val="22"/>
          <w14:ligatures w14:val="none"/>
        </w:rPr>
        <w:t xml:space="preserve"> mRNA levels in BAT of Control and KO mice.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n = 9-10 per group. Data are expressed as the mean ± SEM. Data were analyzed using unpaired two-sided t-test </w:t>
      </w:r>
      <w:r w:rsidRPr="0040487E">
        <w:rPr>
          <w:rFonts w:eastAsia="MS Mincho" w:cs="Times New Roman"/>
          <w:b/>
          <w:bCs/>
          <w:kern w:val="0"/>
          <w:sz w:val="22"/>
          <w14:ligatures w14:val="none"/>
        </w:rPr>
        <w:t>(b)(c)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and one-way ANOVA with Tukey’s post hoc test </w:t>
      </w:r>
      <w:r w:rsidRPr="0040487E">
        <w:rPr>
          <w:rFonts w:eastAsia="MS Mincho" w:cs="Times New Roman"/>
          <w:b/>
          <w:bCs/>
          <w:kern w:val="0"/>
          <w:sz w:val="22"/>
          <w14:ligatures w14:val="none"/>
        </w:rPr>
        <w:t>(d)(e)</w:t>
      </w:r>
      <w:r w:rsidRPr="0040487E">
        <w:rPr>
          <w:rFonts w:eastAsia="MS Mincho" w:cs="Times New Roman"/>
          <w:kern w:val="0"/>
          <w:sz w:val="22"/>
          <w14:ligatures w14:val="none"/>
        </w:rPr>
        <w:t>. Significance is indicated (*</w:t>
      </w:r>
      <w:r w:rsidRPr="0040487E">
        <w:rPr>
          <w:rFonts w:eastAsia="MS Mincho" w:cs="Times New Roman"/>
          <w:i/>
          <w:kern w:val="0"/>
          <w:sz w:val="22"/>
          <w14:ligatures w14:val="none"/>
        </w:rPr>
        <w:t>p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&lt; 0.05; **</w:t>
      </w:r>
      <w:r w:rsidRPr="0040487E">
        <w:rPr>
          <w:rFonts w:eastAsia="MS Mincho" w:cs="Times New Roman"/>
          <w:i/>
          <w:kern w:val="0"/>
          <w:sz w:val="22"/>
          <w14:ligatures w14:val="none"/>
        </w:rPr>
        <w:t>p</w:t>
      </w:r>
      <w:r w:rsidRPr="0040487E">
        <w:rPr>
          <w:rFonts w:eastAsia="MS Mincho" w:cs="Times New Roman"/>
          <w:kern w:val="0"/>
          <w:sz w:val="22"/>
          <w14:ligatures w14:val="none"/>
        </w:rPr>
        <w:t xml:space="preserve"> &lt; 0.01). ns, not significant.</w:t>
      </w:r>
    </w:p>
    <w:p w14:paraId="320462D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FC6"/>
    <w:rsid w:val="00755780"/>
    <w:rsid w:val="00857596"/>
    <w:rsid w:val="00E0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37B3C"/>
  <w15:chartTrackingRefBased/>
  <w15:docId w15:val="{98312533-7F9E-45CF-8699-3D0BC7CB7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FC6"/>
    <w:pPr>
      <w:widowControl w:val="0"/>
      <w:spacing w:after="0" w:line="240" w:lineRule="auto"/>
      <w:jc w:val="both"/>
    </w:pPr>
    <w:rPr>
      <w:rFonts w:ascii="Times New Roman" w:eastAsiaTheme="minorEastAsia" w:hAnsi="Times New Roman"/>
      <w:sz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383</Words>
  <Characters>2186</Characters>
  <Application>Microsoft Office Word</Application>
  <DocSecurity>0</DocSecurity>
  <Lines>18</Lines>
  <Paragraphs>5</Paragraphs>
  <ScaleCrop>false</ScaleCrop>
  <Company>Springer Nature</Company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2024-03-13T08:04:00Z</dcterms:created>
  <dcterms:modified xsi:type="dcterms:W3CDTF">2024-03-13T08:04:00Z</dcterms:modified>
</cp:coreProperties>
</file>