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CC75C" w14:textId="77777777" w:rsidR="00016541" w:rsidRPr="00934AA4" w:rsidRDefault="00016541" w:rsidP="00016541">
      <w:pPr>
        <w:pStyle w:val="1"/>
        <w:spacing w:before="0" w:after="0" w:line="240" w:lineRule="auto"/>
        <w:rPr>
          <w:rFonts w:ascii="Calibri" w:eastAsia="Calibri" w:hAnsi="Calibri" w:cs="Calibri"/>
          <w:b/>
          <w:sz w:val="42"/>
          <w:lang w:val="en-US"/>
        </w:rPr>
      </w:pPr>
      <w:r w:rsidRPr="00934AA4">
        <w:rPr>
          <w:rFonts w:ascii="Calibri" w:eastAsia="Calibri" w:hAnsi="Calibri" w:cs="Calibri"/>
          <w:b/>
          <w:sz w:val="42"/>
          <w:lang w:val="en-US"/>
        </w:rPr>
        <w:t>Supplementary information</w:t>
      </w:r>
    </w:p>
    <w:p w14:paraId="57E8D203" w14:textId="77777777" w:rsidR="00016541" w:rsidRPr="00934AA4" w:rsidRDefault="00016541" w:rsidP="00016541">
      <w:pPr>
        <w:spacing w:line="240" w:lineRule="auto"/>
        <w:rPr>
          <w:rFonts w:ascii="Calibri" w:eastAsia="Calibri" w:hAnsi="Calibri" w:cs="Calibri"/>
          <w:lang w:val="en-US"/>
        </w:rPr>
      </w:pPr>
    </w:p>
    <w:p w14:paraId="19CDA2C5" w14:textId="77777777" w:rsidR="00016541" w:rsidRPr="00934AA4" w:rsidRDefault="00016541" w:rsidP="00016541">
      <w:pPr>
        <w:spacing w:line="240" w:lineRule="auto"/>
        <w:rPr>
          <w:rFonts w:ascii="Calibri" w:eastAsia="Calibri" w:hAnsi="Calibri" w:cs="Calibri"/>
          <w:b/>
          <w:lang w:val="en-US"/>
        </w:rPr>
      </w:pPr>
    </w:p>
    <w:tbl>
      <w:tblPr>
        <w:tblpPr w:leftFromText="142" w:rightFromText="142" w:vertAnchor="page" w:tblpY="2891"/>
        <w:tblW w:w="9446" w:type="dxa"/>
        <w:tblCellMar>
          <w:left w:w="0" w:type="dxa"/>
          <w:right w:w="0" w:type="dxa"/>
        </w:tblCellMar>
        <w:tblLook w:val="0000" w:firstRow="0" w:lastRow="0" w:firstColumn="0" w:lastColumn="0" w:noHBand="0" w:noVBand="0"/>
      </w:tblPr>
      <w:tblGrid>
        <w:gridCol w:w="1108"/>
        <w:gridCol w:w="3520"/>
        <w:gridCol w:w="3578"/>
        <w:gridCol w:w="1240"/>
      </w:tblGrid>
      <w:tr w:rsidR="00016541" w:rsidRPr="00934AA4" w14:paraId="7021FEB4" w14:textId="77777777" w:rsidTr="004B59E1">
        <w:trPr>
          <w:trHeight w:val="226"/>
        </w:trPr>
        <w:tc>
          <w:tcPr>
            <w:tcW w:w="1108" w:type="dxa"/>
            <w:tcBorders>
              <w:top w:val="single" w:sz="8" w:space="0" w:color="000000"/>
              <w:left w:val="nil"/>
              <w:bottom w:val="single" w:sz="8" w:space="0" w:color="000000"/>
              <w:right w:val="nil"/>
            </w:tcBorders>
            <w:shd w:val="clear" w:color="auto" w:fill="auto"/>
            <w:vAlign w:val="center"/>
          </w:tcPr>
          <w:p w14:paraId="00EA25B4" w14:textId="77777777" w:rsidR="00016541" w:rsidRPr="00016541" w:rsidRDefault="00016541" w:rsidP="004B59E1">
            <w:pPr>
              <w:spacing w:line="240" w:lineRule="auto"/>
              <w:rPr>
                <w:rFonts w:ascii="Calibri" w:eastAsia="Calibri" w:hAnsi="Calibri" w:cs="Calibri"/>
                <w:bCs/>
                <w:lang w:val="en-US"/>
              </w:rPr>
            </w:pPr>
            <w:r w:rsidRPr="00016541">
              <w:rPr>
                <w:rFonts w:ascii="Calibri" w:eastAsia="Calibri" w:hAnsi="Calibri" w:cs="Calibri"/>
                <w:bCs/>
                <w:lang w:val="en-US"/>
              </w:rPr>
              <w:br w:type="page"/>
              <w:t>Gene</w:t>
            </w:r>
          </w:p>
        </w:tc>
        <w:tc>
          <w:tcPr>
            <w:tcW w:w="3520" w:type="dxa"/>
            <w:tcBorders>
              <w:top w:val="single" w:sz="8" w:space="0" w:color="000000"/>
              <w:left w:val="nil"/>
              <w:bottom w:val="single" w:sz="8" w:space="0" w:color="000000"/>
              <w:right w:val="nil"/>
            </w:tcBorders>
            <w:shd w:val="clear" w:color="auto" w:fill="auto"/>
            <w:vAlign w:val="center"/>
          </w:tcPr>
          <w:p w14:paraId="31B51E78" w14:textId="77777777" w:rsidR="00016541" w:rsidRPr="00016541" w:rsidRDefault="00016541" w:rsidP="004B59E1">
            <w:pPr>
              <w:spacing w:line="240" w:lineRule="auto"/>
              <w:rPr>
                <w:rFonts w:ascii="Calibri" w:eastAsia="Calibri" w:hAnsi="Calibri" w:cs="Calibri"/>
                <w:bCs/>
                <w:lang w:val="en-US"/>
              </w:rPr>
            </w:pPr>
            <w:r w:rsidRPr="00016541">
              <w:rPr>
                <w:rFonts w:ascii="Calibri" w:eastAsia="Calibri" w:hAnsi="Calibri" w:cs="Calibri"/>
                <w:bCs/>
                <w:lang w:val="en-US"/>
              </w:rPr>
              <w:t>Forward primer (5’- 3’)</w:t>
            </w:r>
          </w:p>
        </w:tc>
        <w:tc>
          <w:tcPr>
            <w:tcW w:w="3578" w:type="dxa"/>
            <w:tcBorders>
              <w:top w:val="single" w:sz="8" w:space="0" w:color="000000"/>
              <w:left w:val="nil"/>
              <w:bottom w:val="single" w:sz="8" w:space="0" w:color="000000"/>
              <w:right w:val="nil"/>
            </w:tcBorders>
            <w:shd w:val="clear" w:color="auto" w:fill="auto"/>
            <w:vAlign w:val="center"/>
          </w:tcPr>
          <w:p w14:paraId="0C5E9E4A" w14:textId="77777777" w:rsidR="00016541" w:rsidRPr="00016541" w:rsidRDefault="00016541" w:rsidP="004B59E1">
            <w:pPr>
              <w:spacing w:line="240" w:lineRule="auto"/>
              <w:rPr>
                <w:rFonts w:ascii="Calibri" w:eastAsia="Calibri" w:hAnsi="Calibri" w:cs="Calibri"/>
                <w:bCs/>
                <w:lang w:val="en-US"/>
              </w:rPr>
            </w:pPr>
            <w:r w:rsidRPr="00016541">
              <w:rPr>
                <w:rFonts w:ascii="Calibri" w:eastAsia="Calibri" w:hAnsi="Calibri" w:cs="Calibri"/>
                <w:bCs/>
                <w:lang w:val="en-US"/>
              </w:rPr>
              <w:t>Reverse primer (5’- 3’)</w:t>
            </w:r>
          </w:p>
        </w:tc>
        <w:tc>
          <w:tcPr>
            <w:tcW w:w="1240" w:type="dxa"/>
            <w:tcBorders>
              <w:top w:val="single" w:sz="8" w:space="0" w:color="000000"/>
              <w:left w:val="nil"/>
              <w:bottom w:val="single" w:sz="8" w:space="0" w:color="000000"/>
              <w:right w:val="nil"/>
            </w:tcBorders>
            <w:shd w:val="clear" w:color="auto" w:fill="auto"/>
            <w:vAlign w:val="center"/>
          </w:tcPr>
          <w:p w14:paraId="24EB40CF" w14:textId="77777777" w:rsidR="00016541" w:rsidRPr="00016541" w:rsidRDefault="00016541" w:rsidP="004B59E1">
            <w:pPr>
              <w:spacing w:line="240" w:lineRule="auto"/>
              <w:rPr>
                <w:rFonts w:ascii="Calibri" w:eastAsia="Calibri" w:hAnsi="Calibri" w:cs="Calibri"/>
                <w:bCs/>
                <w:lang w:val="en-US"/>
              </w:rPr>
            </w:pPr>
            <w:r w:rsidRPr="00016541">
              <w:rPr>
                <w:rFonts w:ascii="Calibri" w:eastAsia="Calibri" w:hAnsi="Calibri" w:cs="Calibri"/>
                <w:bCs/>
                <w:lang w:val="en-US"/>
              </w:rPr>
              <w:t>Reference</w:t>
            </w:r>
          </w:p>
        </w:tc>
      </w:tr>
      <w:tr w:rsidR="00016541" w:rsidRPr="00934AA4" w14:paraId="1B1EBB84" w14:textId="77777777" w:rsidTr="004B59E1">
        <w:trPr>
          <w:trHeight w:val="302"/>
        </w:trPr>
        <w:tc>
          <w:tcPr>
            <w:tcW w:w="1108" w:type="dxa"/>
            <w:tcBorders>
              <w:top w:val="single" w:sz="8" w:space="0" w:color="000000"/>
              <w:left w:val="nil"/>
              <w:bottom w:val="nil"/>
              <w:right w:val="nil"/>
            </w:tcBorders>
            <w:shd w:val="clear" w:color="auto" w:fill="auto"/>
            <w:vAlign w:val="center"/>
          </w:tcPr>
          <w:p w14:paraId="63353C1B"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C/EBPα</w:t>
            </w:r>
          </w:p>
        </w:tc>
        <w:tc>
          <w:tcPr>
            <w:tcW w:w="3520" w:type="dxa"/>
            <w:tcBorders>
              <w:top w:val="single" w:sz="8" w:space="0" w:color="000000"/>
              <w:left w:val="nil"/>
              <w:bottom w:val="nil"/>
              <w:right w:val="nil"/>
            </w:tcBorders>
            <w:shd w:val="clear" w:color="auto" w:fill="auto"/>
            <w:vAlign w:val="center"/>
          </w:tcPr>
          <w:p w14:paraId="0C4FD205"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CGCAAGAGCCGAGATAAAGC</w:t>
            </w:r>
          </w:p>
        </w:tc>
        <w:tc>
          <w:tcPr>
            <w:tcW w:w="3578" w:type="dxa"/>
            <w:tcBorders>
              <w:top w:val="single" w:sz="8" w:space="0" w:color="000000"/>
              <w:left w:val="nil"/>
              <w:bottom w:val="nil"/>
              <w:right w:val="nil"/>
            </w:tcBorders>
            <w:shd w:val="clear" w:color="auto" w:fill="auto"/>
            <w:vAlign w:val="center"/>
          </w:tcPr>
          <w:p w14:paraId="6D38C71B"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CGGTCATTGTCACTGGTCAACT</w:t>
            </w:r>
          </w:p>
        </w:tc>
        <w:tc>
          <w:tcPr>
            <w:tcW w:w="1240" w:type="dxa"/>
            <w:tcBorders>
              <w:top w:val="single" w:sz="8" w:space="0" w:color="000000"/>
              <w:left w:val="nil"/>
              <w:bottom w:val="nil"/>
              <w:right w:val="nil"/>
            </w:tcBorders>
            <w:shd w:val="clear" w:color="auto" w:fill="auto"/>
            <w:vAlign w:val="center"/>
          </w:tcPr>
          <w:p w14:paraId="363B46FA"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{"citationID":"AxME3FEb","properties":{"formattedCitation":"\\super 50\\nosupersub{}","plainCitation":"50","noteIndex":0},"citationItems":[{"id":"RlRTkZOB/5xsysmca","uris":["http://zotero.org/users/9508462/items/7KXGFMVB"],"itemData":{"id":117,"type":"article-journal","abstract":"Background: The bone phenotype of NHERF1-null mice was ascribed to indirect actions.\nResults: With dietary supplementation to maintain normal serum phosphate, NHERF1-deficient mice showed aberrant bone mineralization and decreased bone quality. Osteoblast differentiation from mesenchymal stem cells was impaired.\nConclusion: NHERF1 is expressed in mineralizing osteoblasts and directly regulates bone formation. Significance: We provide an experimentally validated mechanistic model of NHERF1 regulating bone formation.","container-title":"Journal of Biological Chemistry","DOI":"10.1074/jbc.M112.422766","ISSN":"00219258","issue":"52","journalAbbreviation":"Journal of Biological Chemistry","language":"en","page":"43312-43321","source":"DOI.org (Crossref)","title":"Na+/H+ Exchanger Regulatory Factor 1 (NHERF1) Directly Regulates Osteogenesis","URL":"https://linkinghub.elsevier.com/retrieve/pii/S0021925820417272","volume":"287","author":[{"family":"Liu","given":"Li"},{"family":"Alonso","given":"Veronica"},{"family":"Guo","given":"Lida"},{"family":"Tourkova","given":"Irina"},{"family":"Henderson","given":"Sarah E."},{"family":"Almarza","given":"Alejandro J."},{"family":"Friedman","given":"Peter A."},{"family":"Blair","given":"Harry C."}],"accessed":{"date-parts":[["2023",8,16]]},"issued":{"date-parts":[["2012",12]]}}}],"schema":"https://github.com/citation-style-language/schema/raw/master/csl-citation.json"}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50</w:t>
            </w:r>
            <w:r w:rsidRPr="00934AA4">
              <w:rPr>
                <w:rFonts w:ascii="Calibri" w:eastAsia="Calibri" w:hAnsi="Calibri" w:cs="Calibri"/>
                <w:lang w:val="en-US"/>
              </w:rPr>
              <w:fldChar w:fldCharType="end"/>
            </w:r>
          </w:p>
        </w:tc>
      </w:tr>
      <w:tr w:rsidR="00016541" w:rsidRPr="00934AA4" w14:paraId="2BED9965" w14:textId="77777777" w:rsidTr="004B59E1">
        <w:trPr>
          <w:trHeight w:val="302"/>
        </w:trPr>
        <w:tc>
          <w:tcPr>
            <w:tcW w:w="1108" w:type="dxa"/>
            <w:tcBorders>
              <w:top w:val="nil"/>
              <w:left w:val="nil"/>
              <w:bottom w:val="nil"/>
              <w:right w:val="nil"/>
            </w:tcBorders>
            <w:shd w:val="clear" w:color="auto" w:fill="auto"/>
            <w:vAlign w:val="center"/>
          </w:tcPr>
          <w:p w14:paraId="050C7081"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PPARγ</w:t>
            </w:r>
          </w:p>
        </w:tc>
        <w:tc>
          <w:tcPr>
            <w:tcW w:w="3520" w:type="dxa"/>
            <w:tcBorders>
              <w:top w:val="nil"/>
              <w:left w:val="nil"/>
              <w:bottom w:val="nil"/>
              <w:right w:val="nil"/>
            </w:tcBorders>
            <w:shd w:val="clear" w:color="auto" w:fill="auto"/>
            <w:vAlign w:val="center"/>
          </w:tcPr>
          <w:p w14:paraId="4944A528"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GAAAGACAACGGACAAATCACC</w:t>
            </w:r>
          </w:p>
        </w:tc>
        <w:tc>
          <w:tcPr>
            <w:tcW w:w="3578" w:type="dxa"/>
            <w:tcBorders>
              <w:top w:val="nil"/>
              <w:left w:val="nil"/>
              <w:bottom w:val="nil"/>
              <w:right w:val="nil"/>
            </w:tcBorders>
            <w:shd w:val="clear" w:color="auto" w:fill="auto"/>
            <w:vAlign w:val="center"/>
          </w:tcPr>
          <w:p w14:paraId="6980D462"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GGGGGTGATATGTTTGAACTTG</w:t>
            </w:r>
          </w:p>
        </w:tc>
        <w:tc>
          <w:tcPr>
            <w:tcW w:w="1240" w:type="dxa"/>
            <w:tcBorders>
              <w:top w:val="nil"/>
              <w:left w:val="nil"/>
              <w:bottom w:val="nil"/>
              <w:right w:val="nil"/>
            </w:tcBorders>
            <w:shd w:val="clear" w:color="auto" w:fill="auto"/>
            <w:vAlign w:val="center"/>
          </w:tcPr>
          <w:p w14:paraId="0E60A02D"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{"citationID":"k088gZU7","properties":{"formattedCitation":"\\super 51\\nosupersub{}","plainCitation":"51","noteIndex":0},"citationItems":[{"id":"RlRTkZOB/2r5sF6hD","uris":["http://zotero.org/users/9508462/items/566ZNY5G"],"itemData":{"id":119,"type":"article-journal","abstract":"Abstract\n            \n              Pseudolaric acid B (PB), isolated from the extract of the root bark of\n              Pseudolarix kaempferi Gordon\n              , has been used as a traditional remedy for the treatment of skin diseases. However, the information of PB on atopic dermatitis (AD) remains largely unknown. In the present study, oral administration with PB improved the severity scores of AD-like skin lesions dose-dependently in NC/Nga mice through reducing serum IgE, pro-inflammatory cytokines, and the infiltration of inflammatory cells. In addition, PB significantly attenuated the levels of IL-17 and IL-22, and the proportion of Th17 cells in NC/Nga mice, as well as decreased IL-17-induced inflammation in RAW264.7 cells. Moreover, PB inhibited the phosphorylation of IκBα and miR-155 expression both in NC/Nga mice and in IL-17-stimulated RAW264.7 cells, which could be reversed by GW9662, a specific antagonist for PPARγ. The incorporation of GW9662 reversed the inhibitory effect of PB on the RORγ-mediated activation of the\n              Il17\n              promoter. Transfection with PPARγ luciferase reporter gene further demonstrated the enhancement of PB on PPARγ transactivation. These findings indicate that PB could ameliorate AD-like skin lesions by inhibiting IL-17-induced inflammation in a PPARγ-dependent manner, which would provide experimental evidence of PB for the therapeutic potential on AD and other inflammatory skin diseases.","container-title":"Scientific Reports","DOI":"10.1038/s41598-017-08485-x","ISSN":"2045-2322","issue":"1","journalAbbreviation":"Sci Rep","language":"en","page":"7918","source":"DOI.org (Crossref)","title":"Pseudolaric acid B attenuates atopic dermatitis-like skin lesions by inhibiting interleukin-17-induced inflammation","URL":"https://www.nature.com/articles/s41598-017-08485-x","volume":"7","author":[{"family":"Yang","given":"Zhen"},{"family":"Liu","given":"Meilun"},{"family":"Wang","given":"Wei"},{"family":"Wang","given":"Yiteng"},{"family":"Cao","given":"Bo"},{"family":"Gao","given":"Ying"},{"family":"Chen","given":"Hong"},{"family":"Li","given":"Tan"}],"accessed":{"date-parts":[["2023",8,16]]},"issued":{"date-parts":[["2017",8,11]]}}}],"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51</w:t>
            </w:r>
            <w:r w:rsidRPr="00934AA4">
              <w:rPr>
                <w:rFonts w:ascii="Calibri" w:eastAsia="Calibri" w:hAnsi="Calibri" w:cs="Calibri"/>
                <w:lang w:val="en-US"/>
              </w:rPr>
              <w:fldChar w:fldCharType="end"/>
            </w:r>
          </w:p>
        </w:tc>
      </w:tr>
      <w:tr w:rsidR="00016541" w:rsidRPr="00934AA4" w14:paraId="40254EE5" w14:textId="77777777" w:rsidTr="004B59E1">
        <w:trPr>
          <w:trHeight w:val="302"/>
        </w:trPr>
        <w:tc>
          <w:tcPr>
            <w:tcW w:w="1108" w:type="dxa"/>
            <w:tcBorders>
              <w:top w:val="nil"/>
              <w:left w:val="nil"/>
              <w:bottom w:val="nil"/>
              <w:right w:val="nil"/>
            </w:tcBorders>
            <w:shd w:val="clear" w:color="auto" w:fill="auto"/>
            <w:vAlign w:val="center"/>
          </w:tcPr>
          <w:p w14:paraId="55227043"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KLF2</w:t>
            </w:r>
          </w:p>
        </w:tc>
        <w:tc>
          <w:tcPr>
            <w:tcW w:w="3520" w:type="dxa"/>
            <w:tcBorders>
              <w:top w:val="nil"/>
              <w:left w:val="nil"/>
              <w:bottom w:val="nil"/>
              <w:right w:val="nil"/>
            </w:tcBorders>
            <w:shd w:val="clear" w:color="auto" w:fill="auto"/>
            <w:vAlign w:val="center"/>
          </w:tcPr>
          <w:p w14:paraId="25399980"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CTGCGTACACACACAGGTGA</w:t>
            </w:r>
          </w:p>
        </w:tc>
        <w:tc>
          <w:tcPr>
            <w:tcW w:w="3578" w:type="dxa"/>
            <w:tcBorders>
              <w:top w:val="nil"/>
              <w:left w:val="nil"/>
              <w:bottom w:val="nil"/>
              <w:right w:val="nil"/>
            </w:tcBorders>
            <w:shd w:val="clear" w:color="auto" w:fill="auto"/>
            <w:vAlign w:val="center"/>
          </w:tcPr>
          <w:p w14:paraId="2DC29134"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GTGGCACTGAAAGGGTCTGT</w:t>
            </w:r>
          </w:p>
        </w:tc>
        <w:tc>
          <w:tcPr>
            <w:tcW w:w="1240" w:type="dxa"/>
            <w:tcBorders>
              <w:top w:val="nil"/>
              <w:left w:val="nil"/>
              <w:bottom w:val="nil"/>
              <w:right w:val="nil"/>
            </w:tcBorders>
            <w:shd w:val="clear" w:color="auto" w:fill="auto"/>
            <w:vAlign w:val="center"/>
          </w:tcPr>
          <w:p w14:paraId="1C49393B"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{"citationID":"EBXfOw6Q","properties":{"formattedCitation":"\\super 52\\nosupersub{}","plainCitation":"52","noteIndex":0},"citationItems":[{"id":"RlRTkZOB/XWisY2eW","uris":["http://zotero.org/users/9508462/items/MSJE4L7P"],"itemData":{"id":122,"type":"article-journal","container-title":"FEBS Open Bio","DOI":"10.1002/2211-5463.12619","ISSN":"2211-5463, 2211-5463","issue":"4","journalAbbreviation":"FEBS Open Bio","language":"en","page":"769-780","source":"DOI.org (Crossref)","title":"FGF11 influences 3T3‐L1 preadipocyte differentiation by modulating the expression of PPARγ regulators","URL":"https://febs.onlinelibrary.wiley.com/doi/10.1002/2211-5463.12619","volume":"9","author":[{"family":"Lee","given":"Kyeong Won"},{"family":"Jeong","given":"Jae‐Yeon"},{"family":"An","given":"Young Jun"},{"family":"Lee","given":"Jung‐Hyun"},{"family":"Yim","given":"Hyung‐Soon"}],"accessed":{"date-parts":[["2023",8,16]]},"issued":{"date-parts":[["2019",4]]}}}],"schema":"https://github.com/citation-style-language/schema/raw/master/csl-citation.json"}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52</w:t>
            </w:r>
            <w:r w:rsidRPr="00934AA4">
              <w:rPr>
                <w:rFonts w:ascii="Calibri" w:eastAsia="Calibri" w:hAnsi="Calibri" w:cs="Calibri"/>
                <w:lang w:val="en-US"/>
              </w:rPr>
              <w:fldChar w:fldCharType="end"/>
            </w:r>
          </w:p>
        </w:tc>
      </w:tr>
      <w:tr w:rsidR="00016541" w:rsidRPr="00934AA4" w14:paraId="324FEAE4" w14:textId="77777777" w:rsidTr="004B59E1">
        <w:trPr>
          <w:trHeight w:val="302"/>
        </w:trPr>
        <w:tc>
          <w:tcPr>
            <w:tcW w:w="1108" w:type="dxa"/>
            <w:tcBorders>
              <w:top w:val="nil"/>
              <w:left w:val="nil"/>
              <w:bottom w:val="nil"/>
              <w:right w:val="nil"/>
            </w:tcBorders>
            <w:shd w:val="clear" w:color="auto" w:fill="auto"/>
          </w:tcPr>
          <w:p w14:paraId="72508573"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PDK1</w:t>
            </w:r>
          </w:p>
        </w:tc>
        <w:tc>
          <w:tcPr>
            <w:tcW w:w="3520" w:type="dxa"/>
            <w:tcBorders>
              <w:top w:val="nil"/>
              <w:left w:val="nil"/>
              <w:bottom w:val="nil"/>
              <w:right w:val="nil"/>
            </w:tcBorders>
            <w:shd w:val="clear" w:color="auto" w:fill="auto"/>
            <w:vAlign w:val="center"/>
          </w:tcPr>
          <w:p w14:paraId="161C79F3"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CACCACGCGGACAAAGG</w:t>
            </w:r>
          </w:p>
        </w:tc>
        <w:tc>
          <w:tcPr>
            <w:tcW w:w="3578" w:type="dxa"/>
            <w:tcBorders>
              <w:top w:val="nil"/>
              <w:left w:val="nil"/>
              <w:bottom w:val="nil"/>
              <w:right w:val="nil"/>
            </w:tcBorders>
            <w:shd w:val="clear" w:color="auto" w:fill="auto"/>
            <w:vAlign w:val="center"/>
          </w:tcPr>
          <w:p w14:paraId="5D7F2BC7"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GCCCAGCGTGACGTGAA</w:t>
            </w:r>
          </w:p>
        </w:tc>
        <w:tc>
          <w:tcPr>
            <w:tcW w:w="1240" w:type="dxa"/>
            <w:tcBorders>
              <w:top w:val="nil"/>
              <w:left w:val="nil"/>
              <w:bottom w:val="nil"/>
              <w:right w:val="nil"/>
            </w:tcBorders>
            <w:shd w:val="clear" w:color="auto" w:fill="auto"/>
            <w:vAlign w:val="center"/>
          </w:tcPr>
          <w:p w14:paraId="72BF5C96"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{"citationID":"IPij8ox2","properties":{"formattedCitation":"\\super 53\\nosupersub{}","plainCitation":"53","noteIndex":0},"citationItems":[{"id":"RlRTkZOB/ALd6E49H","uris":["http://zotero.org/users/9508462/items/TZNU8YS5"],"itemData":{"id":124,"type":"article-journal","container-title":"Kidney International","DOI":"10.1016/j.kint.2016.10.011","ISSN":"00852538","issue":"4","journalAbbreviation":"Kidney International","language":"en","page":"880-895","source":"DOI.org (Crossref)","title":"Pyruvate dehydrogenase kinase 4 deficiency attenuates cisplatin-induced acute kidney injury","URL":"https://linkinghub.elsevier.com/retrieve/pii/S008525381630610X","volume":"91","author":[{"family":"Oh","given":"Chang Joo"},{"family":"Ha","given":"Chae-Myeong"},{"family":"Choi","given":"Young-Keun"},{"family":"Park","given":"Sungmi"},{"family":"Choe","given":"Mi Sun"},{"family":"Jeoung","given":"Nam Ho"},{"family":"Huh","given":"Yang Hoon"},{"family":"Kim","given":"Hyo-Jeong"},{"family":"Kweon","given":"Hee-Seok"},{"family":"Lee","given":"Ji-min"},{"family":"Lee","given":"Sun Joo"},{"family":"Jeon","given":"Jae-Han"},{"family":"Harris","given":"Robert A."},{"family":"Park","given":"Keun-Gyu"},{"family":"Lee","given":"In-Kyu"}],"accessed":{"date-parts":[["2023",8,16]]},"issued":{"date-parts":[["2017",4]]}}}],"schema":"https://github.com/citation-style-language/schema/raw/master/csl-citation.json"}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53</w:t>
            </w:r>
            <w:r w:rsidRPr="00934AA4">
              <w:rPr>
                <w:rFonts w:ascii="Calibri" w:eastAsia="Calibri" w:hAnsi="Calibri" w:cs="Calibri"/>
                <w:lang w:val="en-US"/>
              </w:rPr>
              <w:fldChar w:fldCharType="end"/>
            </w:r>
          </w:p>
        </w:tc>
      </w:tr>
      <w:tr w:rsidR="00016541" w:rsidRPr="00934AA4" w14:paraId="7ABAB9EC" w14:textId="77777777" w:rsidTr="004B59E1">
        <w:trPr>
          <w:trHeight w:val="302"/>
        </w:trPr>
        <w:tc>
          <w:tcPr>
            <w:tcW w:w="1108" w:type="dxa"/>
            <w:tcBorders>
              <w:top w:val="nil"/>
              <w:left w:val="nil"/>
              <w:bottom w:val="nil"/>
              <w:right w:val="nil"/>
            </w:tcBorders>
            <w:shd w:val="clear" w:color="auto" w:fill="auto"/>
          </w:tcPr>
          <w:p w14:paraId="3EF3052B"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FABP4</w:t>
            </w:r>
          </w:p>
        </w:tc>
        <w:tc>
          <w:tcPr>
            <w:tcW w:w="3520" w:type="dxa"/>
            <w:tcBorders>
              <w:top w:val="nil"/>
              <w:left w:val="nil"/>
              <w:bottom w:val="nil"/>
              <w:right w:val="nil"/>
            </w:tcBorders>
            <w:shd w:val="clear" w:color="auto" w:fill="auto"/>
            <w:vAlign w:val="center"/>
          </w:tcPr>
          <w:p w14:paraId="0C1A2262"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CATGGCCAAGCCCAACAT</w:t>
            </w:r>
          </w:p>
        </w:tc>
        <w:tc>
          <w:tcPr>
            <w:tcW w:w="3578" w:type="dxa"/>
            <w:tcBorders>
              <w:top w:val="nil"/>
              <w:left w:val="nil"/>
              <w:bottom w:val="nil"/>
              <w:right w:val="nil"/>
            </w:tcBorders>
            <w:shd w:val="clear" w:color="auto" w:fill="auto"/>
            <w:vAlign w:val="center"/>
          </w:tcPr>
          <w:p w14:paraId="61A5C252"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CGCCCAGTTTGAAGGAAATC</w:t>
            </w:r>
          </w:p>
        </w:tc>
        <w:tc>
          <w:tcPr>
            <w:tcW w:w="1240" w:type="dxa"/>
            <w:tcBorders>
              <w:top w:val="nil"/>
              <w:left w:val="nil"/>
              <w:bottom w:val="nil"/>
              <w:right w:val="nil"/>
            </w:tcBorders>
            <w:shd w:val="clear" w:color="auto" w:fill="auto"/>
            <w:vAlign w:val="center"/>
          </w:tcPr>
          <w:p w14:paraId="2F1CB0E3"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{"citationID":"qhozq2AR","properties":{"formattedCitation":"\\super 50\\nosupersub{}","plainCitation":"50","noteIndex":0},"citationItems":[{"id":"RlRTkZOB/5xsysmca","uris":["http://zotero.org/users/9508462/items/7KXGFMVB"],"itemData":{"id":117,"type":"article-journal","abstract":"Background: The bone phenotype of NHERF1-null mice was ascribed to indirect actions.\nResults: With dietary supplementation to maintain normal serum phosphate, NHERF1-deficient mice showed aberrant bone mineralization and decreased bone quality. Osteoblast differentiation from mesenchymal stem cells was impaired.\nConclusion: NHERF1 is expressed in mineralizing osteoblasts and directly regulates bone formation. Significance: We provide an experimentally validated mechanistic model of NHERF1 regulating bone formation.","container-title":"Journal of Biological Chemistry","DOI":"10.1074/jbc.M112.422766","ISSN":"00219258","issue":"52","journalAbbreviation":"Journal of Biological Chemistry","language":"en","page":"43312-43321","source":"DOI.org (Crossref)","title":"Na+/H+ Exchanger Regulatory Factor 1 (NHERF1) Directly Regulates Osteogenesis","URL":"https://linkinghub.elsevier.com/retrieve/pii/S0021925820417272","volume":"287","author":[{"family":"Liu","given":"Li"},{"family":"Alonso","given":"Veronica"},{"family":"Guo","given":"Lida"},{"family":"Tourkova","given":"Irina"},{"family":"Henderson","given":"Sarah E."},{"family":"Almarza","given":"Alejandro J."},{"family":"Friedman","given":"Peter A."},{"family":"Blair","given":"Harry C."}],"accessed":{"date-parts":[["2023",8,16]]},"issued":{"date-parts":[["2012",12]]}}}],"schema":"https://github.com/citation-style-language/schema/raw/master/csl-citation.json"}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50</w:t>
            </w:r>
            <w:r w:rsidRPr="00934AA4">
              <w:rPr>
                <w:rFonts w:ascii="Calibri" w:eastAsia="Calibri" w:hAnsi="Calibri" w:cs="Calibri"/>
                <w:lang w:val="en-US"/>
              </w:rPr>
              <w:fldChar w:fldCharType="end"/>
            </w:r>
          </w:p>
        </w:tc>
      </w:tr>
      <w:tr w:rsidR="00016541" w:rsidRPr="00934AA4" w14:paraId="4CC3C512" w14:textId="77777777" w:rsidTr="004B59E1">
        <w:trPr>
          <w:trHeight w:val="302"/>
        </w:trPr>
        <w:tc>
          <w:tcPr>
            <w:tcW w:w="1108" w:type="dxa"/>
            <w:tcBorders>
              <w:top w:val="nil"/>
              <w:left w:val="nil"/>
              <w:bottom w:val="nil"/>
              <w:right w:val="nil"/>
            </w:tcBorders>
            <w:shd w:val="clear" w:color="auto" w:fill="auto"/>
          </w:tcPr>
          <w:p w14:paraId="687B7B2F"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GLUT4</w:t>
            </w:r>
          </w:p>
        </w:tc>
        <w:tc>
          <w:tcPr>
            <w:tcW w:w="3520" w:type="dxa"/>
            <w:tcBorders>
              <w:top w:val="nil"/>
              <w:left w:val="nil"/>
              <w:bottom w:val="nil"/>
              <w:right w:val="nil"/>
            </w:tcBorders>
            <w:shd w:val="clear" w:color="auto" w:fill="auto"/>
            <w:vAlign w:val="center"/>
          </w:tcPr>
          <w:p w14:paraId="64319C01"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AGAGTCTAAAGCGCCT</w:t>
            </w:r>
          </w:p>
        </w:tc>
        <w:tc>
          <w:tcPr>
            <w:tcW w:w="3578" w:type="dxa"/>
            <w:tcBorders>
              <w:top w:val="nil"/>
              <w:left w:val="nil"/>
              <w:bottom w:val="nil"/>
              <w:right w:val="nil"/>
            </w:tcBorders>
            <w:shd w:val="clear" w:color="auto" w:fill="auto"/>
            <w:vAlign w:val="center"/>
          </w:tcPr>
          <w:p w14:paraId="5E3ABBB6"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CCGAGACCAACGTGAA</w:t>
            </w:r>
          </w:p>
        </w:tc>
        <w:tc>
          <w:tcPr>
            <w:tcW w:w="1240" w:type="dxa"/>
            <w:tcBorders>
              <w:top w:val="nil"/>
              <w:left w:val="nil"/>
              <w:bottom w:val="nil"/>
              <w:right w:val="nil"/>
            </w:tcBorders>
            <w:shd w:val="clear" w:color="auto" w:fill="auto"/>
            <w:vAlign w:val="center"/>
          </w:tcPr>
          <w:p w14:paraId="0E401DCC"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{"citationID":"BVy175M2","properties":{"formattedCitation":"\\super 54\\nosupersub{}","plainCitation":"54","noteIndex":0},"citationItems":[{"id":"RlRTkZOB/wGLg1pGw","uris":["http://zotero.org/users/9508462/items/JRB2F34B"],"itemData":{"id":127,"type":"article-journal","abstract":"Sarcopenia- or cachexia-related muscle atrophy is due to imbalanced energy metabolism and oxidative stress-induced muscle dysfunction. Monoterpenes play biological and pharmacological reactive oxygen species (ROS) scavenging roles. Hence, we explored the eﬀects of camphene, a bicyclic monoterpene, on skeletal muscle atrophy in vitro and in vivo. We treated L6 myoblast cells with camphene and then examined the ROS-related oxidative stress using Mito TrackerTM Red FM and anti-8-oxoguanine antibody staining. To investigate lipid metabolism, we performed real-time polymerase chain reactions, holotomographic microscopy, and respiratory gas analysis. Rat muscle atrophy in in vivo models was observed using 18F-ﬂuoro-2-deoxy-D-glucose positron emission tomography/computed tomography and immunocytochemistry. Camphene reversed the aberrant cell size and muscle morphology of L6 myoblasts under starvation and in in vivo models. Camphene also attenuated E3 ubiquitin ligase muscle RING-ﬁnger protein-1, mitochondrial ﬁssion, and 8-oxoguanine nuclear expression in starved myotubes and hydrogen peroxide (H2O2)-treated cells. Moreover, camphene signiﬁcantly regulated lipid metabolism in H2O2-treated cells and in vivo models. These ﬁndings suggest that camphene may potentially aﬀect skeletal muscle atrophy by regulating oxidative stress and lipid metabolism.","container-title":"Nutrients","DOI":"10.3390/nu12123731","ISSN":"2072-6643","issue":"12","journalAbbreviation":"Nutrients","language":"en","page":"3731","source":"DOI.org (Crossref)","title":"Camphene Attenuates Skeletal Muscle Atrophy by Regulating Oxidative Stress and Lipid Metabolism in Rats","URL":"https://www.mdpi.com/2072-6643/12/12/3731","volume":"12","author":[{"family":"Baek","given":"Suji"},{"family":"Kim","given":"Jisu"},{"family":"Moon","given":"Byung Seok"},{"family":"Park","given":"Sun Mi"},{"family":"Jung","given":"Da Eun"},{"family":"Kang","given":"Seo Young"},{"family":"Lee","given":"Sang Ju"},{"family":"Oh","given":"Seung Jun"},{"family":"Kwon","given":"Seung Hae"},{"family":"Nam","given":"Myung Hee"},{"family":"Kim","given":"Hye Ok"},{"family":"Yoon","given":"Hai Jeon"},{"family":"Kim","given":"Bom Sahn"},{"family":"Lee","given":"Kang Pa"}],"accessed":{"date-parts":[["2023",8,16]]},"issued":{"date-parts":[["2020",12,3]]}}}],"schema":"https://github.com/citation-style-language/schema/raw/master/csl-citation.json"}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54</w:t>
            </w:r>
            <w:r w:rsidRPr="00934AA4">
              <w:rPr>
                <w:rFonts w:ascii="Calibri" w:eastAsia="Calibri" w:hAnsi="Calibri" w:cs="Calibri"/>
                <w:lang w:val="en-US"/>
              </w:rPr>
              <w:fldChar w:fldCharType="end"/>
            </w:r>
          </w:p>
        </w:tc>
      </w:tr>
      <w:tr w:rsidR="00016541" w:rsidRPr="00934AA4" w14:paraId="4F912CC1" w14:textId="77777777" w:rsidTr="004B59E1">
        <w:trPr>
          <w:trHeight w:val="302"/>
        </w:trPr>
        <w:tc>
          <w:tcPr>
            <w:tcW w:w="1108" w:type="dxa"/>
            <w:tcBorders>
              <w:top w:val="nil"/>
              <w:left w:val="nil"/>
              <w:bottom w:val="nil"/>
              <w:right w:val="nil"/>
            </w:tcBorders>
            <w:shd w:val="clear" w:color="auto" w:fill="auto"/>
          </w:tcPr>
          <w:p w14:paraId="0D6C1298"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ADIPOQ</w:t>
            </w:r>
          </w:p>
        </w:tc>
        <w:tc>
          <w:tcPr>
            <w:tcW w:w="3520" w:type="dxa"/>
            <w:tcBorders>
              <w:top w:val="nil"/>
              <w:left w:val="nil"/>
              <w:bottom w:val="nil"/>
              <w:right w:val="nil"/>
            </w:tcBorders>
            <w:shd w:val="clear" w:color="auto" w:fill="auto"/>
            <w:vAlign w:val="center"/>
          </w:tcPr>
          <w:p w14:paraId="0611F689"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TGTTCCTCTTAATCCTGCCCA</w:t>
            </w:r>
          </w:p>
        </w:tc>
        <w:tc>
          <w:tcPr>
            <w:tcW w:w="3578" w:type="dxa"/>
            <w:tcBorders>
              <w:top w:val="nil"/>
              <w:left w:val="nil"/>
              <w:bottom w:val="nil"/>
              <w:right w:val="nil"/>
            </w:tcBorders>
            <w:shd w:val="clear" w:color="auto" w:fill="auto"/>
            <w:vAlign w:val="center"/>
          </w:tcPr>
          <w:p w14:paraId="7A2BAAC6"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CCAACCTGCACAAGTTCCCTT</w:t>
            </w:r>
          </w:p>
        </w:tc>
        <w:tc>
          <w:tcPr>
            <w:tcW w:w="1240" w:type="dxa"/>
            <w:tcBorders>
              <w:top w:val="nil"/>
              <w:left w:val="nil"/>
              <w:bottom w:val="nil"/>
              <w:right w:val="nil"/>
            </w:tcBorders>
            <w:shd w:val="clear" w:color="auto" w:fill="auto"/>
            <w:vAlign w:val="center"/>
          </w:tcPr>
          <w:p w14:paraId="7843794B"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{"citationID":"A9ZWiQ6I","properties":{"formattedCitation":"\\super 55\\nosupersub{}","plainCitation":"55","noteIndex":0},"citationItems":[{"id":"RlRTkZOB/E4Ic0vWg","uris":["http://zotero.org/users/9508462/items/V93AERZM"],"itemData":{"id":129,"type":"article-journal","abstract":"Background: Animal studies show that high fat (HF) diet-induced gut microbiota contributes to the development of obesity. Oil composition of high-fat diet affects metabolic inflammation differently with deleterious effects by saturated fat. The aim of the present study was to examine the diversity and metabolic capacity of the cecal bacterial community in C57BL/6 N mice administered two different diets, enriched respectively with coconut oil (HFC, high in saturated fat) or soy oil (HFS, high in polyunsaturated fat). The relative impact of each hypercaloric diet was evaluated after 2 and 8 weeks of feeding, and compared with that of a low-fat, control diet (LF).\nResults: The HFC diet induced the same body weight gain and fat storage as the HFS diet, but produced higher plasma cholesterol levels after 8 weeks of treatment. At the same time point, the cecal microbiota of HFC diet-fed mice was characterized by an increased relative abundance of Allobaculum, Anaerofustis, F16, Lactobacillus reuteri and Deltaproteobacteria, and a decreased relative abundance of Akkermansia muciniphila compared to HFS mice. Comparison of cecal microbiota of high-fat fed mice versus control mice indicated major changes that were shared between the HFC and the HFS diet, including the increase in Lactobacillus plantarum, Lutispora, and Syntrophomonas, while some other shifts were specifically associated to either coconut or soy oil. Prediction of bacterial gene functions showed that the cecal microbiota of HFC mice was depleted of pathways involved in fatty acid metabolism, amino acid metabolism, xenobiotic degradation and metabolism of terpenoids and polyketides compared to mice on HFS diet. Correlation analysis revealed remarkable relationships between compositional changes in the cecal microbiota and alterations in the metabolic and transcriptomic phenotypes of high-fat fed mice.\nConclusions: The study highlights significant differences in cecal microbiota composition and predictive functions of mice consuming a diet enriched in coconut vs soy oil. The correlations established between specific bacterial taxa and various traits linked to host lipid metabolism and energy storage give insights into the role and functioning of the gut microbiota that may contribute to diet-induced metabolic disorders.","container-title":"BMC Genomics","DOI":"10.1186/s12864-018-5202-z","ISSN":"1471-2164","issue":"1","journalAbbreviation":"BMC Genomics","language":"en","page":"808","source":"DOI.org (Crossref)","title":"Differential effects of coconut versus soy oil on gut microbiota composition and predicted metabolic function in adult mice","URL":"https://bmcgenomics.biomedcentral.com/articles/10.1186/s12864-018-5202-z","volume":"19","author":[{"family":"Patrone","given":"Vania"},{"family":"Minuti","given":"Andrea"},{"family":"Lizier","given":"Michela"},{"family":"Miragoli","given":"Francesco"},{"family":"Lucchini","given":"Franco"},{"family":"Trevisi","given":"Erminio"},{"family":"Rossi","given":"Filippo"},{"family":"Callegari","given":"Maria Luisa"}],"accessed":{"date-parts":[["2023",8,16]]},"issued":{"date-parts":[["2018",12]]}}}],"schema":"https://github.com/citation-style-language/schema/raw/master/csl-citation.json"}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55</w:t>
            </w:r>
            <w:r w:rsidRPr="00934AA4">
              <w:rPr>
                <w:rFonts w:ascii="Calibri" w:eastAsia="Calibri" w:hAnsi="Calibri" w:cs="Calibri"/>
                <w:lang w:val="en-US"/>
              </w:rPr>
              <w:fldChar w:fldCharType="end"/>
            </w:r>
          </w:p>
        </w:tc>
      </w:tr>
      <w:tr w:rsidR="00016541" w:rsidRPr="00934AA4" w14:paraId="2D4317F3" w14:textId="77777777" w:rsidTr="004B59E1">
        <w:trPr>
          <w:trHeight w:val="302"/>
        </w:trPr>
        <w:tc>
          <w:tcPr>
            <w:tcW w:w="1108" w:type="dxa"/>
            <w:tcBorders>
              <w:top w:val="nil"/>
              <w:left w:val="nil"/>
              <w:bottom w:val="nil"/>
              <w:right w:val="nil"/>
            </w:tcBorders>
            <w:shd w:val="clear" w:color="auto" w:fill="auto"/>
          </w:tcPr>
          <w:p w14:paraId="0F6EC15B"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ADIPOR2</w:t>
            </w:r>
          </w:p>
        </w:tc>
        <w:tc>
          <w:tcPr>
            <w:tcW w:w="3520" w:type="dxa"/>
            <w:tcBorders>
              <w:top w:val="nil"/>
              <w:left w:val="nil"/>
              <w:bottom w:val="nil"/>
              <w:right w:val="nil"/>
            </w:tcBorders>
            <w:shd w:val="clear" w:color="auto" w:fill="auto"/>
            <w:vAlign w:val="center"/>
          </w:tcPr>
          <w:p w14:paraId="26FC8059"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CACAACCTTGCTTCA</w:t>
            </w:r>
          </w:p>
        </w:tc>
        <w:tc>
          <w:tcPr>
            <w:tcW w:w="3578" w:type="dxa"/>
            <w:tcBorders>
              <w:top w:val="nil"/>
              <w:left w:val="nil"/>
              <w:bottom w:val="nil"/>
              <w:right w:val="nil"/>
            </w:tcBorders>
            <w:shd w:val="clear" w:color="auto" w:fill="auto"/>
            <w:vAlign w:val="center"/>
          </w:tcPr>
          <w:p w14:paraId="3FD4AA54"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ATACTGAGGGGTGGC</w:t>
            </w:r>
          </w:p>
        </w:tc>
        <w:tc>
          <w:tcPr>
            <w:tcW w:w="1240" w:type="dxa"/>
            <w:tcBorders>
              <w:top w:val="nil"/>
              <w:left w:val="nil"/>
              <w:bottom w:val="nil"/>
              <w:right w:val="nil"/>
            </w:tcBorders>
            <w:shd w:val="clear" w:color="auto" w:fill="auto"/>
            <w:vAlign w:val="center"/>
          </w:tcPr>
          <w:p w14:paraId="5C9723BE"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{"citationID":"hCcSvM77","properties":{"formattedCitation":"\\super 56\\nosupersub{}","plainCitation":"56","noteIndex":0},"citationItems":[{"id":"RlRTkZOB/w4qLj6gH","uris":["http://zotero.org/users/9508462/items/RTCTWW5E"],"itemData":{"id":131,"type":"article-journal","abstract":"Adiponectin is an adipose-derived hormone, with beneﬁcial effects on insulin sensitivity and inﬂammation. The aim of this study was to clarify the autocrine/paracrine effects of globular adiponectin (gAd) administrated during differentiation on the function of the mature adipocytes. Experiments were performed on 3T3-L1 preadipocytes treated with gAd (10 nM), starting at an early stage of differentiation. gAd treatment during differentiation was without effect on mRNA expression of adiponectin and AdipoR2, but increased AdipoR1 expression. PPARgamma, perillipin and FABP4 mRNA expressions were lower in gAd-treated adipocytes, accompanied by a reduction in lipid accumulation. While mRNA expression of HSL was not affected by gAd compared to untreated adipocytes, both ATGL and FAS were reduced, indicating that gAd regulates both lipolysis and lipogenesis. PPARa, ACOX2 and UCPs mRNA expressions were not affected by gAd, indicating that the reduction in lipid content is not attributed to an increase in fatty-acid oxidation. In accord with the lower PPARg expression, there was reduced Glut4 mRNA expression; however, insulin-induced PKB phosphorylation was enhanced by gAd, and glucose uptake was not altered. To investigate the effect of gAd on LPS-induced inﬂammatory response, cells were treated with gAd either during differentiation or 24 h before induction of inﬂammation in differentiated adipocytes. LPS-induced inﬂammatory response, as indicated by increase in IL6 and MCP-1 mRNA expression. gAd given through differentiation was much more effective in abrogating LPS-dependent cytokines production than gAd given to the mature adipocyte. In conclusion, elevated gAd at differentiation of 3T3-L1 cells leads to reduced lipid content, reduced lipid metabolism and high resistance to inﬂammation. J. Cell. Biochem. 116: 754–766, 2015. © 2014 Wiley Periodicals, Inc.","container-title":"Journal of Cellular Biochemistry","DOI":"10.1002/jcb.25031","ISSN":"07302312","issue":"5","journalAbbreviation":"J. Cell. Biochem.","language":"en","page":"754-766","source":"DOI.org (Crossref)","title":"Autocrine/Paracrine Function of Globular Adiponectin: Inhibition of Lipid Metabolism and Inflammatory Response in 3T3-L1 Adipocytes: AUTOCRINE/PARACRINE FUNCTION OF gAd","title-short":"Autocrine/Paracrine Function of Globular Adiponectin","URL":"https://onlinelibrary.wiley.com/doi/10.1002/jcb.25031","volume":"116","author":[{"family":"Lazra","given":"Yulia"},{"family":"Falach","given":"Alona"},{"family":"Frenkel","given":"Lital"},{"family":"Rozenberg","given":"Konstantin"},{"family":"Sampson","given":"Sanford"},{"family":"Rosenzweig","given":"Tovit"}],"accessed":{"date-parts":[["2023",8,16]]},"issued":{"date-parts":[["2015",5]]}}}],"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56</w:t>
            </w:r>
            <w:r w:rsidRPr="00934AA4">
              <w:rPr>
                <w:rFonts w:ascii="Calibri" w:eastAsia="Calibri" w:hAnsi="Calibri" w:cs="Calibri"/>
                <w:lang w:val="en-US"/>
              </w:rPr>
              <w:fldChar w:fldCharType="end"/>
            </w:r>
          </w:p>
        </w:tc>
      </w:tr>
      <w:tr w:rsidR="00016541" w:rsidRPr="00934AA4" w14:paraId="7F6BA153" w14:textId="77777777" w:rsidTr="004B59E1">
        <w:trPr>
          <w:trHeight w:val="302"/>
        </w:trPr>
        <w:tc>
          <w:tcPr>
            <w:tcW w:w="1108" w:type="dxa"/>
            <w:tcBorders>
              <w:top w:val="nil"/>
              <w:left w:val="nil"/>
              <w:bottom w:val="nil"/>
              <w:right w:val="nil"/>
            </w:tcBorders>
            <w:shd w:val="clear" w:color="auto" w:fill="auto"/>
          </w:tcPr>
          <w:p w14:paraId="01FA9CA6"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LEP</w:t>
            </w:r>
          </w:p>
        </w:tc>
        <w:tc>
          <w:tcPr>
            <w:tcW w:w="3520" w:type="dxa"/>
            <w:tcBorders>
              <w:top w:val="nil"/>
              <w:left w:val="nil"/>
              <w:bottom w:val="nil"/>
              <w:right w:val="nil"/>
            </w:tcBorders>
            <w:shd w:val="clear" w:color="auto" w:fill="auto"/>
            <w:vAlign w:val="center"/>
          </w:tcPr>
          <w:p w14:paraId="065837D8"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GAGACCCCTGTGTCGGTTC</w:t>
            </w:r>
          </w:p>
        </w:tc>
        <w:tc>
          <w:tcPr>
            <w:tcW w:w="3578" w:type="dxa"/>
            <w:tcBorders>
              <w:top w:val="nil"/>
              <w:left w:val="nil"/>
              <w:bottom w:val="nil"/>
              <w:right w:val="nil"/>
            </w:tcBorders>
            <w:shd w:val="clear" w:color="auto" w:fill="auto"/>
            <w:vAlign w:val="center"/>
          </w:tcPr>
          <w:p w14:paraId="0162FB0B"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CTGCGTGTGTGAAATGTCATTG</w:t>
            </w:r>
          </w:p>
        </w:tc>
        <w:tc>
          <w:tcPr>
            <w:tcW w:w="1240" w:type="dxa"/>
            <w:tcBorders>
              <w:top w:val="nil"/>
              <w:left w:val="nil"/>
              <w:bottom w:val="nil"/>
              <w:right w:val="nil"/>
            </w:tcBorders>
            <w:shd w:val="clear" w:color="auto" w:fill="auto"/>
            <w:vAlign w:val="center"/>
          </w:tcPr>
          <w:p w14:paraId="4D45877D"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{"citationID":"9NiAwO6Y","properties":{"formattedCitation":"\\super 57\\nosupersub{}","plainCitation":"57","noteIndex":0},"citationItems":[{"id":"RlRTkZOB/ji6I9mLo","uris":["http://zotero.org/users/9508462/items/NI2LHPM9"],"itemData":{"id":133,"type":"article-journal","abstract":"Sinusoidal endothelial dysfunction (SED) has been found to be an early event in nonalcoholic steatohepatitis (NASH) progression but the molecular mechanisms underlying its causation remains elusive. We hypothesized that adipokine leptin worsens sinusoidal injury by decreasing functionally active nitric oxide synthase 3 (NOS)3 via miR21. Using rodent models of NASH, and transgenic mice lacking leptin and leptin receptor, results showed that hyperleptinemia caused a 4–5 fold upregulation of hepatic miR21 as assessed by qRTPCR. The upregulation of miR21 led to a time-dependent repression of its target protein Grhl3 levels as shown by western blot analyses. NOS3-p/NOS3 ratio which is controlled by Grhl3 was significantly decreased in NASH models. SED markers ICAM-1, VEGFR-2, and Eselectin as assessed by immunofluorescence microscopy were significantly up regulated in the progressive phases of NASH. Lack of leptin or its receptor in vivo, reversed the upregulation of miR21 and restored the levels of Grhl3 and NOS3-p/NOS3 ratio coupled with decreased SED dysfunction markers. Interestingly, leptin supplementation in mice lacking leptin, significantly enhanced miR21 levels, decreased Grhl3 repression and NOS3 phosphorylation. Leptin supplementation in isolated primary endothelial cells, Kupffer cells and stellate cells showed increased mir21 expression in stellate cells while sinusoidal injury was significantly higher in all cell types. Finally miR21 KO mice showed increased NOS3-p/ NOS3 ratio and reversed SED markers in the rodent models of NASH. The experimental results described here show a close association of leptin-induced miR21 in aiding sinusoidal injury in NASH.","container-title":"PLOS ONE","DOI":"10.1371/journal.pone.0116780","ISSN":"1932-6203","issue":"2","journalAbbreviation":"PLoS ONE","language":"en","page":"e0116780","source":"DOI.org (Crossref)","title":"Upregulation of miR21 and Repression of Grhl3 by Leptin Mediates Sinusoidal Endothelial Injury in Experimental Nonalcoholic Steatohepatitis","URL":"https://dx.plos.org/10.1371/journal.pone.0116780","volume":"10","author":[{"family":"Pourhoseini","given":"Sahar"},{"family":"Seth","given":"Ratanesh Kumar"},{"family":"Das","given":"Suvarthi"},{"family":"Dattaroy","given":"Diptadip"},{"family":"Kadiiska","given":"Maria B."},{"family":"Xie","given":"Guanhua"},{"family":"Michelotti","given":"Gregory A."},{"family":"Nagarkatti","given":"Mitzi"},{"family":"Diehl","given":"Anna Mae"},{"family":"Chatterjee","given":"Saurabh"}],"accessed":{"date-parts":[["2023",8,16]]},"issued":{"date-parts":[["2015",2,6]]}}}],"schema":"https://github.com/citation-style-language/schema/raw/master/csl-citation.json"}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57</w:t>
            </w:r>
            <w:r w:rsidRPr="00934AA4">
              <w:rPr>
                <w:rFonts w:ascii="Calibri" w:eastAsia="Calibri" w:hAnsi="Calibri" w:cs="Calibri"/>
                <w:lang w:val="en-US"/>
              </w:rPr>
              <w:fldChar w:fldCharType="end"/>
            </w:r>
          </w:p>
        </w:tc>
      </w:tr>
      <w:tr w:rsidR="00016541" w:rsidRPr="00934AA4" w14:paraId="50E12469" w14:textId="77777777" w:rsidTr="004B59E1">
        <w:trPr>
          <w:trHeight w:val="302"/>
        </w:trPr>
        <w:tc>
          <w:tcPr>
            <w:tcW w:w="1108" w:type="dxa"/>
            <w:tcBorders>
              <w:top w:val="nil"/>
              <w:left w:val="nil"/>
              <w:bottom w:val="nil"/>
              <w:right w:val="nil"/>
            </w:tcBorders>
            <w:shd w:val="clear" w:color="auto" w:fill="auto"/>
          </w:tcPr>
          <w:p w14:paraId="5F18E689"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GPAM</w:t>
            </w:r>
          </w:p>
        </w:tc>
        <w:tc>
          <w:tcPr>
            <w:tcW w:w="3520" w:type="dxa"/>
            <w:tcBorders>
              <w:top w:val="nil"/>
              <w:left w:val="nil"/>
              <w:bottom w:val="nil"/>
              <w:right w:val="nil"/>
            </w:tcBorders>
            <w:shd w:val="clear" w:color="auto" w:fill="auto"/>
            <w:vAlign w:val="center"/>
          </w:tcPr>
          <w:p w14:paraId="5950F97F"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GAGGAGTCTTCAGTGACAGTTG</w:t>
            </w:r>
          </w:p>
        </w:tc>
        <w:tc>
          <w:tcPr>
            <w:tcW w:w="3578" w:type="dxa"/>
            <w:tcBorders>
              <w:top w:val="nil"/>
              <w:left w:val="nil"/>
              <w:bottom w:val="nil"/>
              <w:right w:val="nil"/>
            </w:tcBorders>
            <w:shd w:val="clear" w:color="auto" w:fill="auto"/>
            <w:vAlign w:val="center"/>
          </w:tcPr>
          <w:p w14:paraId="12807447"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CAGTCCTCACTGGTGTGTTT</w:t>
            </w:r>
          </w:p>
        </w:tc>
        <w:tc>
          <w:tcPr>
            <w:tcW w:w="1240" w:type="dxa"/>
            <w:tcBorders>
              <w:top w:val="nil"/>
              <w:left w:val="nil"/>
              <w:bottom w:val="nil"/>
              <w:right w:val="nil"/>
            </w:tcBorders>
            <w:shd w:val="clear" w:color="auto" w:fill="auto"/>
            <w:vAlign w:val="center"/>
          </w:tcPr>
          <w:p w14:paraId="64F973EC"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{"citationID":"2OFRQbXU","properties":{"formattedCitation":"\\super 58\\nosupersub{}","plainCitation":"58","noteIndex":0},"citationItems":[{"id":"RlRTkZOB/ewuIP4gv","uris":["http://zotero.org/users/9508462/items/3V6H3YTC"],"itemData":{"id":135,"type":"report","abstract":"Abstract\n          Overweight and obesity affect over 20% of children worldwide. Emerging evidence shows that nonnutritive sweeteners (NNS) could adversely influence weight gain and metabolic health, particularly during critical periods of development. Thus, we aimed to investigate the impact of prenatal NNS exposure on postnatal growth and adiposity. Among 2298 families participating in the CHILD cohort study, children born to mothers who regularly consumed NNS during pregnancy had elevated body mass index and adiposity at 3 years of age. In a complementary study designed to eliminate confounding by human lifestyle factors and investigate causal mechanisms, we exposed pregnant mice and cultured adipocytes to NNS (aspartame or sucralose) at doses relevant to human consumption. In mice, maternal NNS exposure caused elevated body weight, adiposity and insulin resistance in offspring, especially in males. Further, in 3T3-L1 pre-adipocyte cells, sucralose exposure during early stages of differentiation caused increased lipid accumulation and expression of adipocyte differentiation genes (e.g. C/EBP-α, FABP4, FAS). The same genes were upregulated in the adipose tissue of male mouse offspring born to sucralose-fed dams. Together, these clinical and experimental findings provide evidence suggesting that maternal NNS consumption induces obesity risk in the offspring through effects on adiposity and adipocyte differentiation.\n          \n            One Sentence Summary\n            Maternal consumption of non-nutritive sweeteners during pregnancy stimulates adipocyte differentiation, insulin resistance, weight gain, and adiposity in mouse and human offspring.","genre":"preprint","language":"en","note":"DOI: 10.1101/713974","publisher":"Developmental Biology","source":"DOI.org (Crossref)","title":"Non-nutritive sweetener consumption during pregnancy affects adiposity in mouse and human offspring","URL":"http://biorxiv.org/lookup/doi/10.1101/713974","author":[{"family":"Azad","given":"Meghan B."},{"family":"Archibald","given":"Alyssa"},{"family":"Tomczyk","given":"Mateusz M."},{"family":"Head","given":"Alanna"},{"family":"Cheung","given":"Kyle G."},{"family":"De Souza","given":"Russell J."},{"family":"Becker","given":"Allan B."},{"family":"Mandhane","given":"Piushkumar J."},{"family":"Turvey","given":"Stuart E."},{"family":"Moraes","given":"Theo J."},{"family":"Sears","given":"Malcolm R."},{"family":"Subbarao","given":"Padmaja"},{"family":"Dolinsky","given":"Vernon W."}],"accessed":{"date-parts":[["2023",8,16]]},"issued":{"date-parts":[["2019",7,27]]}}}],"schema":"https://github.com/citation-style-language/schema/raw/master/csl-citation.json"}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58</w:t>
            </w:r>
            <w:r w:rsidRPr="00934AA4">
              <w:rPr>
                <w:rFonts w:ascii="Calibri" w:eastAsia="Calibri" w:hAnsi="Calibri" w:cs="Calibri"/>
                <w:lang w:val="en-US"/>
              </w:rPr>
              <w:fldChar w:fldCharType="end"/>
            </w:r>
          </w:p>
        </w:tc>
      </w:tr>
      <w:tr w:rsidR="00016541" w:rsidRPr="00934AA4" w14:paraId="253F92D9" w14:textId="77777777" w:rsidTr="004B59E1">
        <w:trPr>
          <w:trHeight w:val="302"/>
        </w:trPr>
        <w:tc>
          <w:tcPr>
            <w:tcW w:w="1108" w:type="dxa"/>
            <w:tcBorders>
              <w:top w:val="nil"/>
              <w:left w:val="nil"/>
              <w:bottom w:val="single" w:sz="8" w:space="0" w:color="000000"/>
              <w:right w:val="nil"/>
            </w:tcBorders>
            <w:shd w:val="clear" w:color="auto" w:fill="auto"/>
          </w:tcPr>
          <w:p w14:paraId="683EBDC3"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β-</w:t>
            </w:r>
            <w:r>
              <w:rPr>
                <w:rFonts w:ascii="Calibri" w:eastAsia="Calibri" w:hAnsi="Calibri" w:cs="Calibri"/>
                <w:lang w:val="en-US"/>
              </w:rPr>
              <w:t>A</w:t>
            </w:r>
            <w:r w:rsidRPr="00934AA4">
              <w:rPr>
                <w:rFonts w:ascii="Calibri" w:eastAsia="Calibri" w:hAnsi="Calibri" w:cs="Calibri"/>
                <w:lang w:val="en-US"/>
              </w:rPr>
              <w:t>ctin</w:t>
            </w:r>
          </w:p>
        </w:tc>
        <w:tc>
          <w:tcPr>
            <w:tcW w:w="3520" w:type="dxa"/>
            <w:tcBorders>
              <w:top w:val="nil"/>
              <w:left w:val="nil"/>
              <w:bottom w:val="single" w:sz="8" w:space="0" w:color="000000"/>
              <w:right w:val="nil"/>
            </w:tcBorders>
            <w:shd w:val="clear" w:color="auto" w:fill="auto"/>
            <w:vAlign w:val="center"/>
          </w:tcPr>
          <w:p w14:paraId="4A02D814"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TGTCCACCTTCCAGCAGATGT</w:t>
            </w:r>
          </w:p>
        </w:tc>
        <w:tc>
          <w:tcPr>
            <w:tcW w:w="3578" w:type="dxa"/>
            <w:tcBorders>
              <w:top w:val="nil"/>
              <w:left w:val="nil"/>
              <w:bottom w:val="single" w:sz="8" w:space="0" w:color="000000"/>
              <w:right w:val="nil"/>
            </w:tcBorders>
            <w:shd w:val="clear" w:color="auto" w:fill="auto"/>
            <w:vAlign w:val="center"/>
          </w:tcPr>
          <w:p w14:paraId="6A2842DE"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t>AGCTCAGTAACAGTCCGCCTAGA</w:t>
            </w:r>
          </w:p>
        </w:tc>
        <w:tc>
          <w:tcPr>
            <w:tcW w:w="1240" w:type="dxa"/>
            <w:tcBorders>
              <w:top w:val="nil"/>
              <w:left w:val="nil"/>
              <w:bottom w:val="single" w:sz="8" w:space="0" w:color="000000"/>
              <w:right w:val="nil"/>
            </w:tcBorders>
            <w:shd w:val="clear" w:color="auto" w:fill="auto"/>
            <w:vAlign w:val="center"/>
          </w:tcPr>
          <w:p w14:paraId="259A230E" w14:textId="77777777" w:rsidR="00016541" w:rsidRPr="00934AA4" w:rsidRDefault="00016541" w:rsidP="004B59E1">
            <w:pPr>
              <w:spacing w:line="240" w:lineRule="auto"/>
              <w:rPr>
                <w:rFonts w:ascii="Calibri" w:eastAsia="Calibri" w:hAnsi="Calibri" w:cs="Calibri"/>
                <w:lang w:val="en-US"/>
              </w:rPr>
            </w:pPr>
            <w:r w:rsidRPr="00934AA4">
              <w:rPr>
                <w:rFonts w:ascii="Calibri" w:eastAsia="Calibri" w:hAnsi="Calibri" w:cs="Calibri"/>
                <w:lang w:val="en-US"/>
              </w:rPr>
              <w:fldChar w:fldCharType="begin"/>
            </w:r>
            <w:r>
              <w:rPr>
                <w:rFonts w:ascii="Calibri" w:eastAsia="Calibri" w:hAnsi="Calibri" w:cs="Calibri"/>
                <w:lang w:val="en-US"/>
              </w:rPr>
              <w:instrText xml:space="preserve"> ADDIN ZOTERO_ITEM CSL_CITATION {"citationID":"iZHG0N7E","properties":{"formattedCitation":"\\super 59\\nosupersub{}","plainCitation":"59","noteIndex":0},"citationItems":[{"id":"RlRTkZOB/sePHIEqY","uris":["http://zotero.org/users/9508462/items/FBNIVIC2"],"itemData":{"id":137,"type":"article-journal","abstract":"Probiotics are microorganisms that can benefit host health when ingested in a live state, and lactic acid bacteria are the most common type. Among fungi, Saccharomyces boulardii (SB) is the only strain known to have a probiotic function with beneficial effects on colitis; however, information on other probiotic yeast strains is limited. Therefore, this study aimed to discover yeast strains expressing intestinal anti-inflammatory activities by exhibiting probiotic properties in dextran sodium sulfate (DSS)-induced colitis mice model. Nuruk (Korean traditional fermentation starter) containing various microbial strains was used as a source for yeast strains, and S. cerevisiae 28-7 (SC28-7) strain was selected with in vitro and in vivo characteristics to enable survival in the intestines. After 14 days of pretreatment with the yeast strains, DSS was co-administered for six days to induce colitis in mice. The results revealed that the disease activity index score was lowered by SC28-7 treatment compared to the DSS group, and the colon length and weight/length ratio were recovered in a pattern similar to that of the normal group. SC28-7 administration significantly reduced the secretion of pro-inflammatory cytokines in the serum and modified the mRNA expression of inflammatory cytokines (interleukin-1β, transforming growth factor-β, and interferon-γ) and proteins involved in gut barrier functions (mucin 2, mucin 3, zonula occludens-1, and occludin) in colon tissues. These results indicate that SC28-7 attenuates DSS-induced colon damage and inflammation, supporting its future use as a probiotic yeast for treating and preventing intestinal inflammatory diseases such as inflammatory bowel disease.","container-title":"Journal of Microbiology and Biotechnology","DOI":"10.4014/jmb.2206.06035","ISSN":"1017-7825, 1738-8872","issue":"7","journalAbbreviation":"J. Microbiol. Biotechnol.","language":"en","page":"877-884","source":"DOI.org (Crossref)","title":"The Probiotic Effects of the &lt;i&gt;Saccharomyces cerevisiae&lt;/i&gt; 28-7 Strain Isolated from Nuruk in a DSS-Induced Colitis Mouse Model","URL":"http://www.jmb.or.kr/journal/view.html?doi=10.4014/jmb.2206.06035","volume":"32","author":[{"family":"Lee","given":"Jang Eun"},{"family":"Lee","given":"Eunjung"}],"accessed":{"date-parts":[["2023",8,16]]},"issued":{"date-parts":[["2022",7,28]]}}}],"schema":"https://github.com/citation-style-language/schema/raw/master/csl-citation.json"} </w:instrText>
            </w:r>
            <w:r w:rsidRPr="00934AA4">
              <w:rPr>
                <w:rFonts w:ascii="Calibri" w:eastAsia="Calibri" w:hAnsi="Calibri" w:cs="Calibri"/>
                <w:lang w:val="en-US"/>
              </w:rPr>
              <w:fldChar w:fldCharType="separate"/>
            </w:r>
            <w:r w:rsidRPr="00400CF3">
              <w:rPr>
                <w:rFonts w:ascii="Calibri" w:hAnsi="Calibri" w:cs="Calibri"/>
                <w:szCs w:val="24"/>
                <w:vertAlign w:val="superscript"/>
              </w:rPr>
              <w:t>59</w:t>
            </w:r>
            <w:r w:rsidRPr="00934AA4">
              <w:rPr>
                <w:rFonts w:ascii="Calibri" w:eastAsia="Calibri" w:hAnsi="Calibri" w:cs="Calibri"/>
                <w:lang w:val="en-US"/>
              </w:rPr>
              <w:fldChar w:fldCharType="end"/>
            </w:r>
          </w:p>
        </w:tc>
      </w:tr>
    </w:tbl>
    <w:p w14:paraId="2EF6C343" w14:textId="77777777" w:rsidR="00016541" w:rsidRDefault="00016541" w:rsidP="00016541">
      <w:pPr>
        <w:spacing w:line="240" w:lineRule="auto"/>
        <w:rPr>
          <w:rFonts w:ascii="Calibri" w:eastAsia="Calibri" w:hAnsi="Calibri" w:cs="Calibri"/>
          <w:bCs/>
          <w:lang w:val="en-US"/>
        </w:rPr>
      </w:pPr>
      <w:r w:rsidRPr="00934AA4">
        <w:rPr>
          <w:rFonts w:ascii="Calibri" w:eastAsia="Calibri" w:hAnsi="Calibri" w:cs="Calibri"/>
          <w:b/>
          <w:lang w:val="en-US"/>
        </w:rPr>
        <w:t xml:space="preserve">Table S1. </w:t>
      </w:r>
      <w:r w:rsidRPr="00E11DE3">
        <w:rPr>
          <w:rFonts w:ascii="Calibri" w:eastAsia="Calibri" w:hAnsi="Calibri" w:cs="Calibri"/>
          <w:bCs/>
          <w:lang w:val="en-US"/>
        </w:rPr>
        <w:t>Primer sequences used for quantitative real-time PCR</w:t>
      </w:r>
    </w:p>
    <w:p w14:paraId="12F1629B" w14:textId="77777777" w:rsidR="00CB2B85" w:rsidRPr="00934AA4" w:rsidRDefault="00CB2B85" w:rsidP="00016541">
      <w:pPr>
        <w:spacing w:line="240" w:lineRule="auto"/>
        <w:rPr>
          <w:rFonts w:ascii="Calibri" w:eastAsia="Calibri" w:hAnsi="Calibri" w:cs="Calibri"/>
          <w:lang w:val="en-US"/>
        </w:rPr>
        <w:sectPr w:rsidR="00CB2B85" w:rsidRPr="00934AA4" w:rsidSect="00B14D1C">
          <w:pgSz w:w="11900" w:h="16820"/>
          <w:pgMar w:top="1440" w:right="1080" w:bottom="1440" w:left="1080" w:header="851" w:footer="992" w:gutter="0"/>
          <w:cols w:space="720"/>
        </w:sectPr>
      </w:pPr>
    </w:p>
    <w:p w14:paraId="51608AA2" w14:textId="77777777" w:rsidR="00016541" w:rsidRPr="00934AA4" w:rsidRDefault="00016541" w:rsidP="00016541">
      <w:pPr>
        <w:spacing w:line="240" w:lineRule="auto"/>
        <w:rPr>
          <w:rFonts w:ascii="Calibri" w:eastAsia="Calibri" w:hAnsi="Calibri" w:cs="Calibri"/>
          <w:lang w:val="en-US"/>
        </w:rPr>
      </w:pPr>
      <w:r w:rsidRPr="00934AA4">
        <w:rPr>
          <w:rFonts w:ascii="Calibri" w:eastAsia="Calibri" w:hAnsi="Calibri" w:cs="Calibri"/>
          <w:noProof/>
          <w:lang w:val="en-US"/>
        </w:rPr>
        <w:lastRenderedPageBreak/>
        <w:drawing>
          <wp:inline distT="0" distB="0" distL="0" distR="0" wp14:anchorId="18839E6D" wp14:editId="0C6170F3">
            <wp:extent cx="5943600" cy="4083050"/>
            <wp:effectExtent l="0" t="0" r="0" b="0"/>
            <wp:docPr id="7" name="shape1032" descr="스크린샷, 다채로움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hape1032" descr="스크린샷, 다채로움이(가) 표시된 사진&#10;&#10;자동 생성된 설명"/>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943600" cy="4083050"/>
                    </a:xfrm>
                    <a:prstGeom prst="rect">
                      <a:avLst/>
                    </a:prstGeom>
                    <a:noFill/>
                    <a:ln>
                      <a:noFill/>
                    </a:ln>
                  </pic:spPr>
                </pic:pic>
              </a:graphicData>
            </a:graphic>
          </wp:inline>
        </w:drawing>
      </w:r>
    </w:p>
    <w:p w14:paraId="7FB336C6" w14:textId="77777777" w:rsidR="00016541" w:rsidRPr="00934AA4" w:rsidRDefault="00016541" w:rsidP="00016541">
      <w:pPr>
        <w:spacing w:line="240" w:lineRule="auto"/>
        <w:rPr>
          <w:rFonts w:ascii="Calibri" w:eastAsia="Calibri" w:hAnsi="Calibri" w:cs="Calibri"/>
          <w:lang w:val="en-US"/>
        </w:rPr>
      </w:pPr>
      <w:r w:rsidRPr="00934AA4">
        <w:rPr>
          <w:rFonts w:ascii="Calibri" w:eastAsia="Calibri" w:hAnsi="Calibri" w:cs="Calibri"/>
          <w:b/>
          <w:lang w:val="en-US"/>
        </w:rPr>
        <w:t xml:space="preserve">Figure S1. </w:t>
      </w:r>
      <w:r w:rsidRPr="00934AA4">
        <w:rPr>
          <w:rFonts w:ascii="Calibri" w:eastAsia="Calibri" w:hAnsi="Calibri" w:cs="Calibri"/>
          <w:lang w:val="en-US"/>
        </w:rPr>
        <w:t>Transfection efficiency of FAM-labeled bta-miR-375 mimic in 3T3-L1 cells</w:t>
      </w:r>
      <w:r>
        <w:rPr>
          <w:rFonts w:ascii="Calibri" w:eastAsia="Calibri" w:hAnsi="Calibri" w:cs="Calibri"/>
          <w:lang w:val="en-US"/>
        </w:rPr>
        <w:t xml:space="preserve"> </w:t>
      </w:r>
      <w:r w:rsidRPr="00934AA4">
        <w:rPr>
          <w:rFonts w:ascii="Calibri" w:eastAsia="Calibri" w:hAnsi="Calibri" w:cs="Calibri"/>
          <w:lang w:val="en-US"/>
        </w:rPr>
        <w:t>(scale bar, 25</w:t>
      </w:r>
      <w:r>
        <w:rPr>
          <w:rFonts w:ascii="Calibri" w:eastAsia="Calibri" w:hAnsi="Calibri" w:cs="Calibri"/>
          <w:lang w:val="en-US"/>
        </w:rPr>
        <w:t xml:space="preserve"> </w:t>
      </w:r>
      <w:r w:rsidRPr="00934AA4">
        <w:rPr>
          <w:rFonts w:ascii="Calibri" w:eastAsia="Calibri" w:hAnsi="Calibri" w:cs="Calibri"/>
          <w:lang w:val="en-US"/>
        </w:rPr>
        <w:t>μm).</w:t>
      </w:r>
    </w:p>
    <w:p w14:paraId="1949468A" w14:textId="77777777" w:rsidR="00016541" w:rsidRPr="00934AA4" w:rsidRDefault="00016541" w:rsidP="00016541">
      <w:pPr>
        <w:spacing w:line="240" w:lineRule="auto"/>
        <w:rPr>
          <w:rFonts w:ascii="Calibri" w:eastAsia="Calibri" w:hAnsi="Calibri" w:cs="Calibri"/>
          <w:lang w:val="en-US"/>
        </w:rPr>
      </w:pPr>
    </w:p>
    <w:p w14:paraId="2B23D24F" w14:textId="77777777" w:rsidR="00016541" w:rsidRPr="00934AA4" w:rsidRDefault="00016541" w:rsidP="00016541">
      <w:pPr>
        <w:spacing w:line="240" w:lineRule="auto"/>
        <w:rPr>
          <w:rFonts w:ascii="Calibri" w:eastAsia="Calibri" w:hAnsi="Calibri" w:cs="Calibri"/>
          <w:b/>
          <w:lang w:val="en-US"/>
        </w:rPr>
      </w:pPr>
    </w:p>
    <w:p w14:paraId="1847E0B1" w14:textId="77777777" w:rsidR="00016541" w:rsidRPr="00934AA4" w:rsidRDefault="00016541" w:rsidP="00016541">
      <w:pPr>
        <w:spacing w:line="240" w:lineRule="auto"/>
        <w:rPr>
          <w:rFonts w:ascii="Calibri" w:eastAsia="Calibri" w:hAnsi="Calibri" w:cs="Calibri"/>
          <w:lang w:val="en-US"/>
        </w:rPr>
      </w:pPr>
    </w:p>
    <w:p w14:paraId="6A67283F" w14:textId="51C041D2" w:rsidR="00D63988" w:rsidRPr="00016541" w:rsidRDefault="00D63988" w:rsidP="00CB2B85">
      <w:pPr>
        <w:spacing w:after="160" w:line="259" w:lineRule="auto"/>
        <w:jc w:val="both"/>
        <w:rPr>
          <w:rFonts w:hint="eastAsia"/>
          <w:lang w:val="en-US"/>
        </w:rPr>
      </w:pPr>
    </w:p>
    <w:sectPr w:rsidR="00D63988" w:rsidRPr="0001654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68EDC9" w14:textId="77777777" w:rsidR="00B14D1C" w:rsidRDefault="00B14D1C" w:rsidP="00CB2B85">
      <w:pPr>
        <w:spacing w:line="240" w:lineRule="auto"/>
      </w:pPr>
      <w:r>
        <w:separator/>
      </w:r>
    </w:p>
  </w:endnote>
  <w:endnote w:type="continuationSeparator" w:id="0">
    <w:p w14:paraId="70128ED9" w14:textId="77777777" w:rsidR="00B14D1C" w:rsidRDefault="00B14D1C" w:rsidP="00CB2B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E1D9A1" w14:textId="77777777" w:rsidR="00B14D1C" w:rsidRDefault="00B14D1C" w:rsidP="00CB2B85">
      <w:pPr>
        <w:spacing w:line="240" w:lineRule="auto"/>
      </w:pPr>
      <w:r>
        <w:separator/>
      </w:r>
    </w:p>
  </w:footnote>
  <w:footnote w:type="continuationSeparator" w:id="0">
    <w:p w14:paraId="513FE0CE" w14:textId="77777777" w:rsidR="00B14D1C" w:rsidRDefault="00B14D1C" w:rsidP="00CB2B8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541"/>
    <w:rsid w:val="00016541"/>
    <w:rsid w:val="00B14D1C"/>
    <w:rsid w:val="00CB2B85"/>
    <w:rsid w:val="00D6398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247A73"/>
  <w15:chartTrackingRefBased/>
  <w15:docId w15:val="{A08E555E-C8B4-4049-A37C-B39C7DA8C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6541"/>
    <w:pPr>
      <w:spacing w:after="0" w:line="276" w:lineRule="auto"/>
      <w:jc w:val="left"/>
    </w:pPr>
    <w:rPr>
      <w:rFonts w:ascii="Arial" w:hAnsi="Arial" w:cs="Arial"/>
      <w:kern w:val="0"/>
      <w:sz w:val="22"/>
      <w:lang w:val="en"/>
      <w14:ligatures w14:val="none"/>
    </w:rPr>
  </w:style>
  <w:style w:type="paragraph" w:styleId="1">
    <w:name w:val="heading 1"/>
    <w:basedOn w:val="a"/>
    <w:link w:val="1Char"/>
    <w:qFormat/>
    <w:rsid w:val="00016541"/>
    <w:pPr>
      <w:keepNext/>
      <w:keepLines/>
      <w:spacing w:before="400" w:after="120"/>
      <w:outlineLvl w:val="0"/>
    </w:pPr>
    <w:rPr>
      <w:sz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sid w:val="00016541"/>
    <w:rPr>
      <w:rFonts w:ascii="Arial" w:hAnsi="Arial" w:cs="Arial"/>
      <w:kern w:val="0"/>
      <w:sz w:val="40"/>
      <w:lang w:val="en"/>
      <w14:ligatures w14:val="none"/>
    </w:rPr>
  </w:style>
  <w:style w:type="paragraph" w:styleId="a3">
    <w:name w:val="header"/>
    <w:basedOn w:val="a"/>
    <w:link w:val="Char"/>
    <w:uiPriority w:val="99"/>
    <w:unhideWhenUsed/>
    <w:rsid w:val="00CB2B85"/>
    <w:pPr>
      <w:tabs>
        <w:tab w:val="center" w:pos="4513"/>
        <w:tab w:val="right" w:pos="9026"/>
      </w:tabs>
      <w:snapToGrid w:val="0"/>
    </w:pPr>
  </w:style>
  <w:style w:type="character" w:customStyle="1" w:styleId="Char">
    <w:name w:val="머리글 Char"/>
    <w:basedOn w:val="a0"/>
    <w:link w:val="a3"/>
    <w:uiPriority w:val="99"/>
    <w:rsid w:val="00CB2B85"/>
    <w:rPr>
      <w:rFonts w:ascii="Arial" w:hAnsi="Arial" w:cs="Arial"/>
      <w:kern w:val="0"/>
      <w:sz w:val="22"/>
      <w:lang w:val="en"/>
      <w14:ligatures w14:val="none"/>
    </w:rPr>
  </w:style>
  <w:style w:type="paragraph" w:styleId="a4">
    <w:name w:val="footer"/>
    <w:basedOn w:val="a"/>
    <w:link w:val="Char0"/>
    <w:uiPriority w:val="99"/>
    <w:unhideWhenUsed/>
    <w:rsid w:val="00CB2B85"/>
    <w:pPr>
      <w:tabs>
        <w:tab w:val="center" w:pos="4513"/>
        <w:tab w:val="right" w:pos="9026"/>
      </w:tabs>
      <w:snapToGrid w:val="0"/>
    </w:pPr>
  </w:style>
  <w:style w:type="character" w:customStyle="1" w:styleId="Char0">
    <w:name w:val="바닥글 Char"/>
    <w:basedOn w:val="a0"/>
    <w:link w:val="a4"/>
    <w:uiPriority w:val="99"/>
    <w:rsid w:val="00CB2B85"/>
    <w:rPr>
      <w:rFonts w:ascii="Arial" w:hAnsi="Arial" w:cs="Arial"/>
      <w:kern w:val="0"/>
      <w:sz w:val="22"/>
      <w:lang w:val="en"/>
      <w14:ligatures w14:val="none"/>
    </w:rPr>
  </w:style>
  <w:style w:type="paragraph" w:styleId="a5">
    <w:name w:val="Bibliography"/>
    <w:basedOn w:val="a"/>
    <w:next w:val="a"/>
    <w:uiPriority w:val="37"/>
    <w:unhideWhenUsed/>
    <w:rsid w:val="00CB2B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3636</Words>
  <Characters>24040</Characters>
  <Application>Microsoft Office Word</Application>
  <DocSecurity>0</DocSecurity>
  <Lines>858</Lines>
  <Paragraphs>747</Paragraphs>
  <ScaleCrop>false</ScaleCrop>
  <Company/>
  <LinksUpToDate>false</LinksUpToDate>
  <CharactersWithSpaces>26929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이지연</dc:creator>
  <cp:keywords/>
  <dc:description/>
  <cp:lastModifiedBy>지연 이</cp:lastModifiedBy>
  <cp:revision>2</cp:revision>
  <cp:lastPrinted>2024-01-04T02:41:00Z</cp:lastPrinted>
  <dcterms:created xsi:type="dcterms:W3CDTF">2024-01-04T02:39:00Z</dcterms:created>
  <dcterms:modified xsi:type="dcterms:W3CDTF">2024-02-18T02:55:00Z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662edfe71dc84759bdaebd988604d5f0a0a2f3eef6a495e3e3a1d0feaaa08c59</vt:lpwstr>
  </property>
  <property fmtid="{D5CDD505-2E9C-101B-9397-08002B2CF9AE}" pid="3" name="ZOTERO_PREF_1">
    <vt:lpwstr>&lt;data data-version="3" zotero-version="6.0.30"&gt;&lt;session id="iqUhDkqT"/&gt;&lt;style id="http://www.zotero.org/styles/scientific-reports" hasBibliography="1" bibliographyStyleHasBeenSet="1"/&gt;&lt;prefs&gt;&lt;pref name="fieldType" value="Field"/&gt;&lt;pref name="automaticJourn</vt:lpwstr>
  </property>
  <property fmtid="{D5CDD505-2E9C-101B-9397-08002B2CF9AE}" pid="4" name="ZOTERO_PREF_2">
    <vt:lpwstr>alAbbreviations" value="true"/&gt;&lt;/prefs&gt;&lt;/data&gt;</vt:lpwstr>
  </property>
</Properties>
</file>