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4556A" w14:textId="77777777" w:rsidR="000663E7" w:rsidRDefault="000663E7" w:rsidP="000663E7">
      <w:pPr>
        <w:pStyle w:val="Heading1"/>
        <w:spacing w:line="480" w:lineRule="auto"/>
        <w:rPr>
          <w:sz w:val="24"/>
          <w:szCs w:val="24"/>
        </w:rPr>
      </w:pPr>
      <w:r>
        <w:rPr>
          <w:sz w:val="24"/>
          <w:szCs w:val="24"/>
        </w:rPr>
        <w:t>Supplementary Information</w:t>
      </w:r>
    </w:p>
    <w:p w14:paraId="56EDA0CB" w14:textId="77777777" w:rsidR="000663E7" w:rsidRDefault="000663E7" w:rsidP="000663E7">
      <w:pPr>
        <w:pStyle w:val="Heading2"/>
        <w:rPr>
          <w:rStyle w:val="Heading2Char"/>
          <w:b/>
          <w:bCs/>
          <w:sz w:val="24"/>
          <w:szCs w:val="24"/>
        </w:rPr>
      </w:pPr>
      <w:r>
        <w:rPr>
          <w:rStyle w:val="Heading2Char"/>
          <w:sz w:val="24"/>
          <w:szCs w:val="24"/>
        </w:rPr>
        <w:t>S1 Experimental set-up diagram</w:t>
      </w:r>
    </w:p>
    <w:p w14:paraId="753E6B0D" w14:textId="77777777" w:rsidR="000663E7" w:rsidRDefault="000663E7" w:rsidP="000663E7">
      <w:pPr>
        <w:spacing w:line="360" w:lineRule="auto"/>
        <w:rPr>
          <w:rFonts w:eastAsia="SimSun" w:cs="Times New Roman"/>
        </w:rPr>
      </w:pPr>
      <w:r>
        <w:rPr>
          <w:rFonts w:eastAsia="SimSun" w:cs="Times New Roman"/>
          <w:sz w:val="24"/>
        </w:rPr>
        <w:t xml:space="preserve">The litter bag method was used for litter decomposition experiment, and freshly collected lotus leaves were thoroughly washed and air-dried under natural conditions for 72 h, then the plant samples were subjected at 105 ℃ for 15 min to terminate any biological activity and dried at 80 ℃ to a constant weight. The treated lotus leaves were cut into 10 cm pieces and packed into 300 mesh nylon mesh bags with the dimension of 15×20 cm. An acrylic tube was used as the experimental container, filled with 1.2 L of </w:t>
      </w:r>
      <w:proofErr w:type="gramStart"/>
      <w:r>
        <w:rPr>
          <w:rFonts w:eastAsia="SimSun" w:cs="Times New Roman"/>
          <w:sz w:val="24"/>
        </w:rPr>
        <w:t>water</w:t>
      </w:r>
      <w:proofErr w:type="gramEnd"/>
      <w:r>
        <w:rPr>
          <w:rFonts w:eastAsia="SimSun" w:cs="Times New Roman"/>
          <w:sz w:val="24"/>
        </w:rPr>
        <w:t xml:space="preserve"> and placed inside a nylon mesh bag contained aforementioned plant pieces (</w:t>
      </w:r>
      <w:r>
        <w:rPr>
          <w:rFonts w:eastAsia="SimSun" w:cs="Times New Roman"/>
          <w:b/>
          <w:bCs/>
          <w:sz w:val="24"/>
        </w:rPr>
        <w:t>Fig S1</w:t>
      </w:r>
      <w:r>
        <w:rPr>
          <w:rFonts w:eastAsia="SimSun" w:cs="Times New Roman"/>
          <w:sz w:val="24"/>
        </w:rPr>
        <w:t>). Four experimental treatment groups were set up, incorporating two influencing factors, among which the temperature factor included group A (20℃) and group B (35℃), the nutrient factor include ammonia nitrogen (NH</w:t>
      </w:r>
      <w:r>
        <w:rPr>
          <w:rFonts w:eastAsia="SimSun" w:cs="Times New Roman"/>
          <w:sz w:val="24"/>
          <w:vertAlign w:val="subscript"/>
        </w:rPr>
        <w:t>3</w:t>
      </w:r>
      <w:r>
        <w:rPr>
          <w:rFonts w:eastAsia="SimSun" w:cs="Times New Roman"/>
          <w:sz w:val="24"/>
        </w:rPr>
        <w:t>-N) concentration (0.8 and 1.2 mg/L) and sediment.</w:t>
      </w:r>
    </w:p>
    <w:p w14:paraId="769DD3B8" w14:textId="75F247C9" w:rsidR="000663E7" w:rsidRDefault="000663E7" w:rsidP="000663E7">
      <w:pPr>
        <w:spacing w:line="360" w:lineRule="auto"/>
        <w:rPr>
          <w:rFonts w:eastAsia="SimSun" w:cs="Times New Roman"/>
          <w:sz w:val="24"/>
        </w:rPr>
      </w:pPr>
      <w:r>
        <w:rPr>
          <w:rFonts w:eastAsia="SimSun" w:cs="Times New Roman"/>
          <w:noProof/>
          <w:sz w:val="24"/>
        </w:rPr>
        <w:drawing>
          <wp:inline distT="0" distB="0" distL="0" distR="0" wp14:anchorId="5E1CFA81" wp14:editId="171DC28C">
            <wp:extent cx="5575300" cy="3390900"/>
            <wp:effectExtent l="0" t="0" r="6350" b="0"/>
            <wp:docPr id="18996495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75300" cy="3390900"/>
                    </a:xfrm>
                    <a:prstGeom prst="rect">
                      <a:avLst/>
                    </a:prstGeom>
                    <a:noFill/>
                    <a:ln>
                      <a:noFill/>
                    </a:ln>
                  </pic:spPr>
                </pic:pic>
              </a:graphicData>
            </a:graphic>
          </wp:inline>
        </w:drawing>
      </w:r>
    </w:p>
    <w:p w14:paraId="1FD03FBE" w14:textId="77777777" w:rsidR="000663E7" w:rsidRDefault="000663E7" w:rsidP="000663E7">
      <w:pPr>
        <w:jc w:val="center"/>
        <w:rPr>
          <w:rFonts w:eastAsia="SimSun" w:cs="Times New Roman"/>
          <w:sz w:val="24"/>
        </w:rPr>
      </w:pPr>
      <w:r>
        <w:rPr>
          <w:rFonts w:cs="Times New Roman"/>
          <w:b/>
          <w:bCs/>
          <w:sz w:val="24"/>
        </w:rPr>
        <w:t>Fig. S1</w:t>
      </w:r>
      <w:r>
        <w:rPr>
          <w:rFonts w:eastAsia="SimSun" w:cs="Times New Roman"/>
          <w:b/>
          <w:bCs/>
          <w:sz w:val="24"/>
        </w:rPr>
        <w:t xml:space="preserve"> </w:t>
      </w:r>
      <w:r>
        <w:rPr>
          <w:rFonts w:eastAsia="SimSun" w:cs="Times New Roman"/>
          <w:sz w:val="24"/>
        </w:rPr>
        <w:t>Experimental set-up diagram</w:t>
      </w:r>
    </w:p>
    <w:p w14:paraId="132A2648" w14:textId="77777777" w:rsidR="000663E7" w:rsidRDefault="000663E7" w:rsidP="000663E7">
      <w:pPr>
        <w:spacing w:line="360" w:lineRule="auto"/>
        <w:rPr>
          <w:rFonts w:eastAsia="SimSun" w:cs="Times New Roman"/>
          <w:sz w:val="24"/>
        </w:rPr>
      </w:pPr>
    </w:p>
    <w:p w14:paraId="530B4BDB" w14:textId="77777777" w:rsidR="000663E7" w:rsidRDefault="000663E7" w:rsidP="000663E7">
      <w:pPr>
        <w:spacing w:line="360" w:lineRule="auto"/>
        <w:rPr>
          <w:rFonts w:eastAsia="SimSun" w:cs="Times New Roman"/>
          <w:sz w:val="24"/>
        </w:rPr>
      </w:pPr>
    </w:p>
    <w:p w14:paraId="7369F722" w14:textId="77777777" w:rsidR="000663E7" w:rsidRDefault="000663E7" w:rsidP="000663E7">
      <w:pPr>
        <w:pStyle w:val="Heading2"/>
        <w:wordWrap w:val="0"/>
        <w:rPr>
          <w:rStyle w:val="Heading2Char"/>
          <w:b/>
          <w:bCs/>
          <w:sz w:val="24"/>
          <w:szCs w:val="24"/>
        </w:rPr>
      </w:pPr>
      <w:r>
        <w:rPr>
          <w:rStyle w:val="Heading2Char"/>
          <w:sz w:val="24"/>
          <w:szCs w:val="24"/>
        </w:rPr>
        <w:t xml:space="preserve">S2 Spatial and temporal variation of bacterial community diversity in water </w:t>
      </w:r>
    </w:p>
    <w:p w14:paraId="433AC6BE" w14:textId="77777777" w:rsidR="000663E7" w:rsidRDefault="000663E7" w:rsidP="000663E7">
      <w:pPr>
        <w:spacing w:line="360" w:lineRule="auto"/>
        <w:ind w:firstLine="480"/>
        <w:rPr>
          <w:rFonts w:eastAsia="SimSun" w:cs="Times New Roman"/>
        </w:rPr>
      </w:pPr>
      <w:r>
        <w:rPr>
          <w:rFonts w:eastAsia="SimSun" w:cs="Times New Roman"/>
          <w:sz w:val="24"/>
        </w:rPr>
        <w:t xml:space="preserve">The sequence detection data of all the samples in the 72 h and 648 h of the whole experimental </w:t>
      </w:r>
      <w:r>
        <w:rPr>
          <w:rFonts w:eastAsia="SimSun" w:cs="Times New Roman"/>
          <w:sz w:val="24"/>
        </w:rPr>
        <w:lastRenderedPageBreak/>
        <w:t>cycle were statistically analyzed (</w:t>
      </w:r>
      <w:r>
        <w:rPr>
          <w:rFonts w:eastAsia="SimSun" w:cs="Times New Roman"/>
          <w:b/>
          <w:bCs/>
          <w:sz w:val="24"/>
        </w:rPr>
        <w:t>Table S1</w:t>
      </w:r>
      <w:r>
        <w:rPr>
          <w:rFonts w:eastAsia="SimSun" w:cs="Times New Roman"/>
          <w:sz w:val="24"/>
        </w:rPr>
        <w:t>), and the results after sequencing showed that the range of the number of sequences of all the valid sequenced genes was 39310~74772, and the sum of the number of sequences of all the valid genes was 434778. The number of OTUs of the samples was in the range of 83~315, and the difference in the number of OTUs indirectly showed the difference in the amount of biological information, and the amount of information of the organisms within the samples of different real groups also differed. In the same experimental group, the number of OTUs at 72 h was significantly lower than that at 648 h. A comparison of A2 and A3 showed that the number of OTUs in the group with added substrate was higher than that in the group without added substrate; a comparison of A3 and B3 showed that the number of OTUs in the group with high temperature was higher; a comparison of B1 and B3 showed that the number of OTUs in the group with high content of NH3-N was higher.</w:t>
      </w:r>
    </w:p>
    <w:p w14:paraId="40E7365F" w14:textId="77777777" w:rsidR="000663E7" w:rsidRDefault="000663E7" w:rsidP="000663E7">
      <w:pPr>
        <w:spacing w:line="360" w:lineRule="auto"/>
        <w:ind w:firstLineChars="200" w:firstLine="482"/>
        <w:rPr>
          <w:rFonts w:eastAsia="SimSun" w:cs="Times New Roman"/>
          <w:sz w:val="24"/>
        </w:rPr>
      </w:pPr>
      <w:r>
        <w:rPr>
          <w:rFonts w:eastAsia="SimSun" w:cs="Times New Roman"/>
          <w:b/>
          <w:bCs/>
          <w:sz w:val="24"/>
        </w:rPr>
        <w:t>Fig S2a</w:t>
      </w:r>
      <w:r>
        <w:rPr>
          <w:rFonts w:eastAsia="SimSun" w:cs="Times New Roman"/>
          <w:sz w:val="24"/>
        </w:rPr>
        <w:t xml:space="preserve"> shows the dilution curve of Shannon diversity index, the number of sequences gradually rises, the curve rises along with it, and then tends to flatten, and is always smooth state, representing that the change of the number of sequences can be enough to respond to the information of the diversity of bacteria within the sample. It can be used to continue the analysis. </w:t>
      </w:r>
      <w:r>
        <w:rPr>
          <w:rFonts w:eastAsia="SimSun" w:cs="Times New Roman"/>
          <w:b/>
          <w:bCs/>
          <w:sz w:val="24"/>
        </w:rPr>
        <w:t>Fig S2b</w:t>
      </w:r>
      <w:r>
        <w:rPr>
          <w:rFonts w:eastAsia="SimSun" w:cs="Times New Roman"/>
          <w:sz w:val="24"/>
        </w:rPr>
        <w:t xml:space="preserve"> is the Sobs diversity index dilution curve, from the figure can be seen Sobs index dilution curve, the number of sequences increases, Sobs curve rises, and then slowly flattens out, representing the number of samples OUT of the increasing value of the number of close to the flat, indicating that the amount of sequencing has a reasonable amount of sequencing can be used to reflect the level of diversity of microorganisms within the experimental setup.</w:t>
      </w:r>
    </w:p>
    <w:p w14:paraId="011DC211" w14:textId="77777777" w:rsidR="000663E7" w:rsidRDefault="000663E7" w:rsidP="000663E7">
      <w:pPr>
        <w:spacing w:line="360" w:lineRule="auto"/>
        <w:ind w:firstLineChars="200" w:firstLine="480"/>
        <w:rPr>
          <w:rFonts w:eastAsia="SimSun" w:cs="Times New Roman"/>
          <w:sz w:val="24"/>
        </w:rPr>
      </w:pPr>
    </w:p>
    <w:p w14:paraId="6DAABAB3" w14:textId="77777777" w:rsidR="000663E7" w:rsidRDefault="000663E7" w:rsidP="000663E7">
      <w:pPr>
        <w:spacing w:line="360" w:lineRule="auto"/>
        <w:ind w:firstLineChars="200" w:firstLine="480"/>
        <w:rPr>
          <w:rFonts w:eastAsia="SimSun" w:cs="Times New Roman"/>
          <w:sz w:val="24"/>
        </w:rPr>
      </w:pPr>
    </w:p>
    <w:p w14:paraId="49C94B88" w14:textId="77777777" w:rsidR="000663E7" w:rsidRDefault="000663E7" w:rsidP="000663E7">
      <w:pPr>
        <w:spacing w:line="360" w:lineRule="auto"/>
        <w:ind w:firstLineChars="200" w:firstLine="480"/>
        <w:rPr>
          <w:rFonts w:eastAsia="SimSun" w:cs="Times New Roman"/>
          <w:sz w:val="24"/>
        </w:rPr>
      </w:pPr>
    </w:p>
    <w:p w14:paraId="4A637201" w14:textId="77777777" w:rsidR="000663E7" w:rsidRDefault="000663E7" w:rsidP="000663E7">
      <w:pPr>
        <w:spacing w:line="360" w:lineRule="auto"/>
        <w:ind w:firstLineChars="200" w:firstLine="480"/>
        <w:rPr>
          <w:rFonts w:eastAsia="SimSun" w:cs="Times New Roman"/>
          <w:sz w:val="24"/>
        </w:rPr>
      </w:pPr>
    </w:p>
    <w:p w14:paraId="641962C8" w14:textId="77777777" w:rsidR="000663E7" w:rsidRDefault="000663E7" w:rsidP="000663E7">
      <w:pPr>
        <w:jc w:val="center"/>
        <w:rPr>
          <w:rFonts w:eastAsia="SimSun" w:cs="Times New Roman"/>
          <w:sz w:val="24"/>
        </w:rPr>
      </w:pPr>
      <w:r>
        <w:rPr>
          <w:rFonts w:eastAsia="SimSun" w:cs="Times New Roman"/>
          <w:b/>
          <w:bCs/>
          <w:sz w:val="24"/>
        </w:rPr>
        <w:t>Table S1</w:t>
      </w:r>
      <w:r>
        <w:rPr>
          <w:rFonts w:eastAsia="SimSun" w:cs="Times New Roman"/>
          <w:sz w:val="24"/>
        </w:rPr>
        <w:t xml:space="preserve"> The sequencing data </w:t>
      </w:r>
    </w:p>
    <w:tbl>
      <w:tblPr>
        <w:tblStyle w:val="TableGrid"/>
        <w:tblW w:w="8592"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1720"/>
        <w:gridCol w:w="1810"/>
        <w:gridCol w:w="1705"/>
        <w:gridCol w:w="1694"/>
      </w:tblGrid>
      <w:tr w:rsidR="000663E7" w14:paraId="1C965809" w14:textId="77777777" w:rsidTr="000663E7">
        <w:trPr>
          <w:trHeight w:val="451"/>
          <w:jc w:val="center"/>
        </w:trPr>
        <w:tc>
          <w:tcPr>
            <w:tcW w:w="1663" w:type="dxa"/>
            <w:tcBorders>
              <w:top w:val="single" w:sz="12" w:space="0" w:color="auto"/>
              <w:left w:val="nil"/>
              <w:bottom w:val="single" w:sz="4" w:space="0" w:color="auto"/>
              <w:right w:val="nil"/>
            </w:tcBorders>
            <w:vAlign w:val="center"/>
            <w:hideMark/>
          </w:tcPr>
          <w:p w14:paraId="3CEF8B5E" w14:textId="77777777" w:rsidR="000663E7" w:rsidRDefault="000663E7">
            <w:pPr>
              <w:jc w:val="center"/>
              <w:rPr>
                <w:sz w:val="21"/>
              </w:rPr>
            </w:pPr>
            <w:r>
              <w:rPr>
                <w:sz w:val="21"/>
              </w:rPr>
              <w:t>Group</w:t>
            </w:r>
          </w:p>
        </w:tc>
        <w:tc>
          <w:tcPr>
            <w:tcW w:w="1720" w:type="dxa"/>
            <w:tcBorders>
              <w:top w:val="single" w:sz="12" w:space="0" w:color="auto"/>
              <w:left w:val="nil"/>
              <w:bottom w:val="single" w:sz="4" w:space="0" w:color="auto"/>
              <w:right w:val="nil"/>
            </w:tcBorders>
            <w:vAlign w:val="center"/>
            <w:hideMark/>
          </w:tcPr>
          <w:p w14:paraId="4CC26087" w14:textId="77777777" w:rsidR="000663E7" w:rsidRDefault="000663E7">
            <w:pPr>
              <w:jc w:val="center"/>
              <w:rPr>
                <w:sz w:val="21"/>
              </w:rPr>
            </w:pPr>
            <w:r>
              <w:rPr>
                <w:sz w:val="21"/>
              </w:rPr>
              <w:t>sequence number</w:t>
            </w:r>
          </w:p>
        </w:tc>
        <w:tc>
          <w:tcPr>
            <w:tcW w:w="1810" w:type="dxa"/>
            <w:tcBorders>
              <w:top w:val="single" w:sz="12" w:space="0" w:color="auto"/>
              <w:left w:val="nil"/>
              <w:bottom w:val="single" w:sz="4" w:space="0" w:color="auto"/>
              <w:right w:val="nil"/>
            </w:tcBorders>
            <w:vAlign w:val="center"/>
            <w:hideMark/>
          </w:tcPr>
          <w:p w14:paraId="57FDEA8A" w14:textId="77777777" w:rsidR="000663E7" w:rsidRDefault="000663E7">
            <w:pPr>
              <w:jc w:val="center"/>
              <w:rPr>
                <w:sz w:val="21"/>
              </w:rPr>
            </w:pPr>
            <w:r>
              <w:rPr>
                <w:color w:val="333333"/>
                <w:sz w:val="21"/>
                <w:shd w:val="clear" w:color="auto" w:fill="FFFFFF"/>
              </w:rPr>
              <w:t>nucleobase number</w:t>
            </w:r>
          </w:p>
        </w:tc>
        <w:tc>
          <w:tcPr>
            <w:tcW w:w="1705" w:type="dxa"/>
            <w:tcBorders>
              <w:top w:val="single" w:sz="12" w:space="0" w:color="auto"/>
              <w:left w:val="nil"/>
              <w:bottom w:val="single" w:sz="4" w:space="0" w:color="auto"/>
              <w:right w:val="nil"/>
            </w:tcBorders>
            <w:vAlign w:val="center"/>
            <w:hideMark/>
          </w:tcPr>
          <w:p w14:paraId="431BA59F" w14:textId="77777777" w:rsidR="000663E7" w:rsidRDefault="000663E7">
            <w:pPr>
              <w:jc w:val="center"/>
              <w:rPr>
                <w:sz w:val="21"/>
              </w:rPr>
            </w:pPr>
            <w:r>
              <w:rPr>
                <w:sz w:val="21"/>
              </w:rPr>
              <w:t>Average sequence length</w:t>
            </w:r>
          </w:p>
        </w:tc>
        <w:tc>
          <w:tcPr>
            <w:tcW w:w="1694" w:type="dxa"/>
            <w:tcBorders>
              <w:top w:val="single" w:sz="12" w:space="0" w:color="auto"/>
              <w:left w:val="nil"/>
              <w:bottom w:val="single" w:sz="4" w:space="0" w:color="auto"/>
              <w:right w:val="nil"/>
            </w:tcBorders>
            <w:vAlign w:val="center"/>
            <w:hideMark/>
          </w:tcPr>
          <w:p w14:paraId="16AD9769" w14:textId="77777777" w:rsidR="000663E7" w:rsidRDefault="000663E7">
            <w:pPr>
              <w:jc w:val="center"/>
              <w:rPr>
                <w:sz w:val="21"/>
              </w:rPr>
            </w:pPr>
            <w:r>
              <w:rPr>
                <w:sz w:val="21"/>
              </w:rPr>
              <w:t>OUT number</w:t>
            </w:r>
          </w:p>
        </w:tc>
      </w:tr>
      <w:tr w:rsidR="000663E7" w14:paraId="1B3EDD6C" w14:textId="77777777" w:rsidTr="000663E7">
        <w:trPr>
          <w:trHeight w:val="366"/>
          <w:jc w:val="center"/>
        </w:trPr>
        <w:tc>
          <w:tcPr>
            <w:tcW w:w="1663" w:type="dxa"/>
            <w:tcBorders>
              <w:top w:val="single" w:sz="4" w:space="0" w:color="auto"/>
              <w:left w:val="nil"/>
              <w:bottom w:val="nil"/>
              <w:right w:val="nil"/>
            </w:tcBorders>
            <w:vAlign w:val="center"/>
            <w:hideMark/>
          </w:tcPr>
          <w:p w14:paraId="4EBC1049" w14:textId="77777777" w:rsidR="000663E7" w:rsidRDefault="000663E7">
            <w:pPr>
              <w:jc w:val="center"/>
              <w:rPr>
                <w:sz w:val="21"/>
              </w:rPr>
            </w:pPr>
            <w:r>
              <w:rPr>
                <w:sz w:val="21"/>
              </w:rPr>
              <w:t>A2-1</w:t>
            </w:r>
          </w:p>
        </w:tc>
        <w:tc>
          <w:tcPr>
            <w:tcW w:w="1720" w:type="dxa"/>
            <w:tcBorders>
              <w:top w:val="single" w:sz="4" w:space="0" w:color="auto"/>
              <w:left w:val="nil"/>
              <w:bottom w:val="nil"/>
              <w:right w:val="nil"/>
            </w:tcBorders>
            <w:vAlign w:val="center"/>
            <w:hideMark/>
          </w:tcPr>
          <w:p w14:paraId="1FC99125" w14:textId="77777777" w:rsidR="000663E7" w:rsidRDefault="000663E7">
            <w:pPr>
              <w:jc w:val="center"/>
              <w:rPr>
                <w:sz w:val="21"/>
              </w:rPr>
            </w:pPr>
            <w:r>
              <w:rPr>
                <w:sz w:val="21"/>
              </w:rPr>
              <w:t>39310</w:t>
            </w:r>
          </w:p>
        </w:tc>
        <w:tc>
          <w:tcPr>
            <w:tcW w:w="1810" w:type="dxa"/>
            <w:tcBorders>
              <w:top w:val="single" w:sz="4" w:space="0" w:color="auto"/>
              <w:left w:val="nil"/>
              <w:bottom w:val="nil"/>
              <w:right w:val="nil"/>
            </w:tcBorders>
            <w:vAlign w:val="center"/>
            <w:hideMark/>
          </w:tcPr>
          <w:p w14:paraId="12D1FD01" w14:textId="77777777" w:rsidR="000663E7" w:rsidRDefault="000663E7">
            <w:pPr>
              <w:jc w:val="center"/>
              <w:rPr>
                <w:sz w:val="21"/>
              </w:rPr>
            </w:pPr>
            <w:r>
              <w:rPr>
                <w:sz w:val="21"/>
              </w:rPr>
              <w:t>16499002</w:t>
            </w:r>
          </w:p>
        </w:tc>
        <w:tc>
          <w:tcPr>
            <w:tcW w:w="1705" w:type="dxa"/>
            <w:tcBorders>
              <w:top w:val="single" w:sz="4" w:space="0" w:color="auto"/>
              <w:left w:val="nil"/>
              <w:bottom w:val="nil"/>
              <w:right w:val="nil"/>
            </w:tcBorders>
            <w:vAlign w:val="center"/>
            <w:hideMark/>
          </w:tcPr>
          <w:p w14:paraId="1CE3CA8F" w14:textId="77777777" w:rsidR="000663E7" w:rsidRDefault="000663E7">
            <w:pPr>
              <w:jc w:val="center"/>
              <w:rPr>
                <w:sz w:val="21"/>
              </w:rPr>
            </w:pPr>
            <w:r>
              <w:rPr>
                <w:sz w:val="21"/>
              </w:rPr>
              <w:t xml:space="preserve">419.7 </w:t>
            </w:r>
          </w:p>
        </w:tc>
        <w:tc>
          <w:tcPr>
            <w:tcW w:w="1694" w:type="dxa"/>
            <w:tcBorders>
              <w:top w:val="single" w:sz="4" w:space="0" w:color="auto"/>
              <w:left w:val="nil"/>
              <w:bottom w:val="nil"/>
              <w:right w:val="nil"/>
            </w:tcBorders>
            <w:vAlign w:val="center"/>
            <w:hideMark/>
          </w:tcPr>
          <w:p w14:paraId="69DE9674" w14:textId="77777777" w:rsidR="000663E7" w:rsidRDefault="000663E7">
            <w:pPr>
              <w:jc w:val="center"/>
              <w:rPr>
                <w:sz w:val="21"/>
              </w:rPr>
            </w:pPr>
            <w:r>
              <w:rPr>
                <w:sz w:val="21"/>
              </w:rPr>
              <w:t>170</w:t>
            </w:r>
          </w:p>
        </w:tc>
      </w:tr>
      <w:tr w:rsidR="000663E7" w14:paraId="471394B5" w14:textId="77777777" w:rsidTr="000663E7">
        <w:trPr>
          <w:trHeight w:val="354"/>
          <w:jc w:val="center"/>
        </w:trPr>
        <w:tc>
          <w:tcPr>
            <w:tcW w:w="1663" w:type="dxa"/>
            <w:vAlign w:val="center"/>
            <w:hideMark/>
          </w:tcPr>
          <w:p w14:paraId="55C146AF" w14:textId="77777777" w:rsidR="000663E7" w:rsidRDefault="000663E7">
            <w:pPr>
              <w:jc w:val="center"/>
              <w:rPr>
                <w:sz w:val="21"/>
              </w:rPr>
            </w:pPr>
            <w:r>
              <w:rPr>
                <w:sz w:val="21"/>
              </w:rPr>
              <w:t>A2-2</w:t>
            </w:r>
          </w:p>
        </w:tc>
        <w:tc>
          <w:tcPr>
            <w:tcW w:w="1720" w:type="dxa"/>
            <w:vAlign w:val="center"/>
            <w:hideMark/>
          </w:tcPr>
          <w:p w14:paraId="72C1883B" w14:textId="77777777" w:rsidR="000663E7" w:rsidRDefault="000663E7">
            <w:pPr>
              <w:jc w:val="center"/>
              <w:rPr>
                <w:sz w:val="21"/>
              </w:rPr>
            </w:pPr>
            <w:r>
              <w:rPr>
                <w:sz w:val="21"/>
              </w:rPr>
              <w:t>74772</w:t>
            </w:r>
          </w:p>
        </w:tc>
        <w:tc>
          <w:tcPr>
            <w:tcW w:w="1810" w:type="dxa"/>
            <w:vAlign w:val="center"/>
            <w:hideMark/>
          </w:tcPr>
          <w:p w14:paraId="0594256A" w14:textId="77777777" w:rsidR="000663E7" w:rsidRDefault="000663E7">
            <w:pPr>
              <w:jc w:val="center"/>
              <w:rPr>
                <w:sz w:val="21"/>
              </w:rPr>
            </w:pPr>
            <w:r>
              <w:rPr>
                <w:sz w:val="21"/>
              </w:rPr>
              <w:t>31516391</w:t>
            </w:r>
          </w:p>
        </w:tc>
        <w:tc>
          <w:tcPr>
            <w:tcW w:w="1705" w:type="dxa"/>
            <w:vAlign w:val="center"/>
            <w:hideMark/>
          </w:tcPr>
          <w:p w14:paraId="1F6C0F3A" w14:textId="77777777" w:rsidR="000663E7" w:rsidRDefault="000663E7">
            <w:pPr>
              <w:jc w:val="center"/>
              <w:rPr>
                <w:sz w:val="21"/>
              </w:rPr>
            </w:pPr>
            <w:r>
              <w:rPr>
                <w:sz w:val="21"/>
              </w:rPr>
              <w:t xml:space="preserve">421.5 </w:t>
            </w:r>
          </w:p>
        </w:tc>
        <w:tc>
          <w:tcPr>
            <w:tcW w:w="1694" w:type="dxa"/>
            <w:vAlign w:val="center"/>
            <w:hideMark/>
          </w:tcPr>
          <w:p w14:paraId="0F90F4FF" w14:textId="77777777" w:rsidR="000663E7" w:rsidRDefault="000663E7">
            <w:pPr>
              <w:jc w:val="center"/>
              <w:rPr>
                <w:sz w:val="21"/>
              </w:rPr>
            </w:pPr>
            <w:r>
              <w:rPr>
                <w:sz w:val="21"/>
              </w:rPr>
              <w:t>315</w:t>
            </w:r>
          </w:p>
        </w:tc>
      </w:tr>
      <w:tr w:rsidR="000663E7" w14:paraId="406686AC" w14:textId="77777777" w:rsidTr="000663E7">
        <w:trPr>
          <w:trHeight w:val="354"/>
          <w:jc w:val="center"/>
        </w:trPr>
        <w:tc>
          <w:tcPr>
            <w:tcW w:w="1663" w:type="dxa"/>
            <w:vAlign w:val="center"/>
            <w:hideMark/>
          </w:tcPr>
          <w:p w14:paraId="553CB4D3" w14:textId="77777777" w:rsidR="000663E7" w:rsidRDefault="000663E7">
            <w:pPr>
              <w:jc w:val="center"/>
              <w:rPr>
                <w:sz w:val="21"/>
              </w:rPr>
            </w:pPr>
            <w:r>
              <w:rPr>
                <w:sz w:val="21"/>
              </w:rPr>
              <w:t>A3-1</w:t>
            </w:r>
          </w:p>
        </w:tc>
        <w:tc>
          <w:tcPr>
            <w:tcW w:w="1720" w:type="dxa"/>
            <w:vAlign w:val="center"/>
            <w:hideMark/>
          </w:tcPr>
          <w:p w14:paraId="14F1F106" w14:textId="77777777" w:rsidR="000663E7" w:rsidRDefault="000663E7">
            <w:pPr>
              <w:jc w:val="center"/>
              <w:rPr>
                <w:sz w:val="21"/>
              </w:rPr>
            </w:pPr>
            <w:r>
              <w:rPr>
                <w:sz w:val="21"/>
              </w:rPr>
              <w:t>44400</w:t>
            </w:r>
          </w:p>
        </w:tc>
        <w:tc>
          <w:tcPr>
            <w:tcW w:w="1810" w:type="dxa"/>
            <w:vAlign w:val="center"/>
            <w:hideMark/>
          </w:tcPr>
          <w:p w14:paraId="20B83C03" w14:textId="77777777" w:rsidR="000663E7" w:rsidRDefault="000663E7">
            <w:pPr>
              <w:jc w:val="center"/>
              <w:rPr>
                <w:sz w:val="21"/>
              </w:rPr>
            </w:pPr>
            <w:r>
              <w:rPr>
                <w:sz w:val="21"/>
              </w:rPr>
              <w:t>18944030</w:t>
            </w:r>
          </w:p>
        </w:tc>
        <w:tc>
          <w:tcPr>
            <w:tcW w:w="1705" w:type="dxa"/>
            <w:vAlign w:val="center"/>
            <w:hideMark/>
          </w:tcPr>
          <w:p w14:paraId="56E307D8" w14:textId="77777777" w:rsidR="000663E7" w:rsidRDefault="000663E7">
            <w:pPr>
              <w:jc w:val="center"/>
              <w:rPr>
                <w:sz w:val="21"/>
              </w:rPr>
            </w:pPr>
            <w:r>
              <w:rPr>
                <w:sz w:val="21"/>
              </w:rPr>
              <w:t xml:space="preserve">426.7 </w:t>
            </w:r>
          </w:p>
        </w:tc>
        <w:tc>
          <w:tcPr>
            <w:tcW w:w="1694" w:type="dxa"/>
            <w:vAlign w:val="center"/>
            <w:hideMark/>
          </w:tcPr>
          <w:p w14:paraId="5EB0D19E" w14:textId="77777777" w:rsidR="000663E7" w:rsidRDefault="000663E7">
            <w:pPr>
              <w:jc w:val="center"/>
              <w:rPr>
                <w:sz w:val="21"/>
              </w:rPr>
            </w:pPr>
            <w:r>
              <w:rPr>
                <w:sz w:val="21"/>
              </w:rPr>
              <w:t>121</w:t>
            </w:r>
          </w:p>
        </w:tc>
      </w:tr>
      <w:tr w:rsidR="000663E7" w14:paraId="56774BDA" w14:textId="77777777" w:rsidTr="000663E7">
        <w:trPr>
          <w:trHeight w:val="354"/>
          <w:jc w:val="center"/>
        </w:trPr>
        <w:tc>
          <w:tcPr>
            <w:tcW w:w="1663" w:type="dxa"/>
            <w:vAlign w:val="center"/>
            <w:hideMark/>
          </w:tcPr>
          <w:p w14:paraId="38493A05" w14:textId="77777777" w:rsidR="000663E7" w:rsidRDefault="000663E7">
            <w:pPr>
              <w:jc w:val="center"/>
              <w:rPr>
                <w:sz w:val="21"/>
              </w:rPr>
            </w:pPr>
            <w:r>
              <w:rPr>
                <w:sz w:val="21"/>
              </w:rPr>
              <w:lastRenderedPageBreak/>
              <w:t>A3-2</w:t>
            </w:r>
          </w:p>
        </w:tc>
        <w:tc>
          <w:tcPr>
            <w:tcW w:w="1720" w:type="dxa"/>
            <w:vAlign w:val="center"/>
            <w:hideMark/>
          </w:tcPr>
          <w:p w14:paraId="6C439ADE" w14:textId="77777777" w:rsidR="000663E7" w:rsidRDefault="000663E7">
            <w:pPr>
              <w:jc w:val="center"/>
              <w:rPr>
                <w:sz w:val="21"/>
              </w:rPr>
            </w:pPr>
            <w:r>
              <w:rPr>
                <w:sz w:val="21"/>
              </w:rPr>
              <w:t>61517</w:t>
            </w:r>
          </w:p>
        </w:tc>
        <w:tc>
          <w:tcPr>
            <w:tcW w:w="1810" w:type="dxa"/>
            <w:vAlign w:val="center"/>
            <w:hideMark/>
          </w:tcPr>
          <w:p w14:paraId="78993AAB" w14:textId="77777777" w:rsidR="000663E7" w:rsidRDefault="000663E7">
            <w:pPr>
              <w:jc w:val="center"/>
              <w:rPr>
                <w:sz w:val="21"/>
              </w:rPr>
            </w:pPr>
            <w:r>
              <w:rPr>
                <w:sz w:val="21"/>
              </w:rPr>
              <w:t>25992378</w:t>
            </w:r>
          </w:p>
        </w:tc>
        <w:tc>
          <w:tcPr>
            <w:tcW w:w="1705" w:type="dxa"/>
            <w:vAlign w:val="center"/>
            <w:hideMark/>
          </w:tcPr>
          <w:p w14:paraId="296CB46C" w14:textId="77777777" w:rsidR="000663E7" w:rsidRDefault="000663E7">
            <w:pPr>
              <w:jc w:val="center"/>
              <w:rPr>
                <w:sz w:val="21"/>
              </w:rPr>
            </w:pPr>
            <w:r>
              <w:rPr>
                <w:sz w:val="21"/>
              </w:rPr>
              <w:t xml:space="preserve">422.5 </w:t>
            </w:r>
          </w:p>
        </w:tc>
        <w:tc>
          <w:tcPr>
            <w:tcW w:w="1694" w:type="dxa"/>
            <w:vAlign w:val="center"/>
            <w:hideMark/>
          </w:tcPr>
          <w:p w14:paraId="4A526847" w14:textId="77777777" w:rsidR="000663E7" w:rsidRDefault="000663E7">
            <w:pPr>
              <w:jc w:val="center"/>
              <w:rPr>
                <w:sz w:val="21"/>
              </w:rPr>
            </w:pPr>
            <w:r>
              <w:rPr>
                <w:sz w:val="21"/>
              </w:rPr>
              <w:t>215</w:t>
            </w:r>
          </w:p>
        </w:tc>
      </w:tr>
      <w:tr w:rsidR="000663E7" w14:paraId="32F0C1E3" w14:textId="77777777" w:rsidTr="000663E7">
        <w:trPr>
          <w:trHeight w:val="354"/>
          <w:jc w:val="center"/>
        </w:trPr>
        <w:tc>
          <w:tcPr>
            <w:tcW w:w="1663" w:type="dxa"/>
            <w:vAlign w:val="center"/>
            <w:hideMark/>
          </w:tcPr>
          <w:p w14:paraId="39A5BECA" w14:textId="77777777" w:rsidR="000663E7" w:rsidRDefault="000663E7">
            <w:pPr>
              <w:jc w:val="center"/>
              <w:rPr>
                <w:sz w:val="21"/>
              </w:rPr>
            </w:pPr>
            <w:r>
              <w:rPr>
                <w:sz w:val="21"/>
              </w:rPr>
              <w:t>B1-1</w:t>
            </w:r>
          </w:p>
        </w:tc>
        <w:tc>
          <w:tcPr>
            <w:tcW w:w="1720" w:type="dxa"/>
            <w:vAlign w:val="center"/>
            <w:hideMark/>
          </w:tcPr>
          <w:p w14:paraId="269527FF" w14:textId="77777777" w:rsidR="000663E7" w:rsidRDefault="000663E7">
            <w:pPr>
              <w:jc w:val="center"/>
              <w:rPr>
                <w:sz w:val="21"/>
              </w:rPr>
            </w:pPr>
            <w:r>
              <w:rPr>
                <w:sz w:val="21"/>
              </w:rPr>
              <w:t>42085</w:t>
            </w:r>
          </w:p>
        </w:tc>
        <w:tc>
          <w:tcPr>
            <w:tcW w:w="1810" w:type="dxa"/>
            <w:vAlign w:val="center"/>
            <w:hideMark/>
          </w:tcPr>
          <w:p w14:paraId="432C2898" w14:textId="77777777" w:rsidR="000663E7" w:rsidRDefault="000663E7">
            <w:pPr>
              <w:jc w:val="center"/>
              <w:rPr>
                <w:sz w:val="21"/>
              </w:rPr>
            </w:pPr>
            <w:r>
              <w:rPr>
                <w:sz w:val="21"/>
              </w:rPr>
              <w:t>17942714</w:t>
            </w:r>
          </w:p>
        </w:tc>
        <w:tc>
          <w:tcPr>
            <w:tcW w:w="1705" w:type="dxa"/>
            <w:vAlign w:val="center"/>
            <w:hideMark/>
          </w:tcPr>
          <w:p w14:paraId="101E2996" w14:textId="77777777" w:rsidR="000663E7" w:rsidRDefault="000663E7">
            <w:pPr>
              <w:jc w:val="center"/>
              <w:rPr>
                <w:sz w:val="21"/>
              </w:rPr>
            </w:pPr>
            <w:r>
              <w:rPr>
                <w:sz w:val="21"/>
              </w:rPr>
              <w:t xml:space="preserve">426.3 </w:t>
            </w:r>
          </w:p>
        </w:tc>
        <w:tc>
          <w:tcPr>
            <w:tcW w:w="1694" w:type="dxa"/>
            <w:vAlign w:val="center"/>
            <w:hideMark/>
          </w:tcPr>
          <w:p w14:paraId="702E1537" w14:textId="77777777" w:rsidR="000663E7" w:rsidRDefault="000663E7">
            <w:pPr>
              <w:jc w:val="center"/>
              <w:rPr>
                <w:sz w:val="21"/>
              </w:rPr>
            </w:pPr>
            <w:r>
              <w:rPr>
                <w:sz w:val="21"/>
              </w:rPr>
              <w:t>98</w:t>
            </w:r>
          </w:p>
        </w:tc>
      </w:tr>
      <w:tr w:rsidR="000663E7" w14:paraId="45688771" w14:textId="77777777" w:rsidTr="000663E7">
        <w:trPr>
          <w:trHeight w:val="354"/>
          <w:jc w:val="center"/>
        </w:trPr>
        <w:tc>
          <w:tcPr>
            <w:tcW w:w="1663" w:type="dxa"/>
            <w:vAlign w:val="center"/>
            <w:hideMark/>
          </w:tcPr>
          <w:p w14:paraId="594AF250" w14:textId="77777777" w:rsidR="000663E7" w:rsidRDefault="000663E7">
            <w:pPr>
              <w:jc w:val="center"/>
              <w:rPr>
                <w:sz w:val="21"/>
              </w:rPr>
            </w:pPr>
            <w:r>
              <w:rPr>
                <w:sz w:val="21"/>
              </w:rPr>
              <w:t>B1-2</w:t>
            </w:r>
          </w:p>
        </w:tc>
        <w:tc>
          <w:tcPr>
            <w:tcW w:w="1720" w:type="dxa"/>
            <w:vAlign w:val="center"/>
            <w:hideMark/>
          </w:tcPr>
          <w:p w14:paraId="2B3EC087" w14:textId="77777777" w:rsidR="000663E7" w:rsidRDefault="000663E7">
            <w:pPr>
              <w:jc w:val="center"/>
              <w:rPr>
                <w:sz w:val="21"/>
              </w:rPr>
            </w:pPr>
            <w:r>
              <w:rPr>
                <w:sz w:val="21"/>
              </w:rPr>
              <w:t>72959</w:t>
            </w:r>
          </w:p>
        </w:tc>
        <w:tc>
          <w:tcPr>
            <w:tcW w:w="1810" w:type="dxa"/>
            <w:vAlign w:val="center"/>
            <w:hideMark/>
          </w:tcPr>
          <w:p w14:paraId="216CD03D" w14:textId="77777777" w:rsidR="000663E7" w:rsidRDefault="000663E7">
            <w:pPr>
              <w:jc w:val="center"/>
              <w:rPr>
                <w:sz w:val="21"/>
              </w:rPr>
            </w:pPr>
            <w:r>
              <w:rPr>
                <w:sz w:val="21"/>
              </w:rPr>
              <w:t>30281201</w:t>
            </w:r>
          </w:p>
        </w:tc>
        <w:tc>
          <w:tcPr>
            <w:tcW w:w="1705" w:type="dxa"/>
            <w:vAlign w:val="center"/>
            <w:hideMark/>
          </w:tcPr>
          <w:p w14:paraId="667D7BCA" w14:textId="77777777" w:rsidR="000663E7" w:rsidRDefault="000663E7">
            <w:pPr>
              <w:jc w:val="center"/>
              <w:rPr>
                <w:sz w:val="21"/>
              </w:rPr>
            </w:pPr>
            <w:r>
              <w:rPr>
                <w:sz w:val="21"/>
              </w:rPr>
              <w:t xml:space="preserve">415.0 </w:t>
            </w:r>
          </w:p>
        </w:tc>
        <w:tc>
          <w:tcPr>
            <w:tcW w:w="1694" w:type="dxa"/>
            <w:vAlign w:val="center"/>
            <w:hideMark/>
          </w:tcPr>
          <w:p w14:paraId="7702E718" w14:textId="77777777" w:rsidR="000663E7" w:rsidRDefault="000663E7">
            <w:pPr>
              <w:jc w:val="center"/>
              <w:rPr>
                <w:sz w:val="21"/>
              </w:rPr>
            </w:pPr>
            <w:r>
              <w:rPr>
                <w:sz w:val="21"/>
              </w:rPr>
              <w:t>298</w:t>
            </w:r>
          </w:p>
        </w:tc>
      </w:tr>
      <w:tr w:rsidR="000663E7" w14:paraId="216F775E" w14:textId="77777777" w:rsidTr="000663E7">
        <w:trPr>
          <w:trHeight w:val="354"/>
          <w:jc w:val="center"/>
        </w:trPr>
        <w:tc>
          <w:tcPr>
            <w:tcW w:w="1663" w:type="dxa"/>
            <w:vAlign w:val="center"/>
            <w:hideMark/>
          </w:tcPr>
          <w:p w14:paraId="5620E07A" w14:textId="77777777" w:rsidR="000663E7" w:rsidRDefault="000663E7">
            <w:pPr>
              <w:jc w:val="center"/>
              <w:rPr>
                <w:sz w:val="21"/>
              </w:rPr>
            </w:pPr>
            <w:r>
              <w:rPr>
                <w:sz w:val="21"/>
              </w:rPr>
              <w:t>B3-1</w:t>
            </w:r>
          </w:p>
        </w:tc>
        <w:tc>
          <w:tcPr>
            <w:tcW w:w="1720" w:type="dxa"/>
            <w:vAlign w:val="center"/>
            <w:hideMark/>
          </w:tcPr>
          <w:p w14:paraId="46508DC6" w14:textId="77777777" w:rsidR="000663E7" w:rsidRDefault="000663E7">
            <w:pPr>
              <w:jc w:val="center"/>
              <w:rPr>
                <w:sz w:val="21"/>
              </w:rPr>
            </w:pPr>
            <w:r>
              <w:rPr>
                <w:sz w:val="21"/>
              </w:rPr>
              <w:t>42665</w:t>
            </w:r>
          </w:p>
        </w:tc>
        <w:tc>
          <w:tcPr>
            <w:tcW w:w="1810" w:type="dxa"/>
            <w:vAlign w:val="center"/>
            <w:hideMark/>
          </w:tcPr>
          <w:p w14:paraId="1B5BBC86" w14:textId="77777777" w:rsidR="000663E7" w:rsidRDefault="000663E7">
            <w:pPr>
              <w:jc w:val="center"/>
              <w:rPr>
                <w:sz w:val="21"/>
              </w:rPr>
            </w:pPr>
            <w:r>
              <w:rPr>
                <w:sz w:val="21"/>
              </w:rPr>
              <w:t>18005597</w:t>
            </w:r>
          </w:p>
        </w:tc>
        <w:tc>
          <w:tcPr>
            <w:tcW w:w="1705" w:type="dxa"/>
            <w:vAlign w:val="center"/>
            <w:hideMark/>
          </w:tcPr>
          <w:p w14:paraId="295C211F" w14:textId="77777777" w:rsidR="000663E7" w:rsidRDefault="000663E7">
            <w:pPr>
              <w:jc w:val="center"/>
              <w:rPr>
                <w:sz w:val="21"/>
              </w:rPr>
            </w:pPr>
            <w:r>
              <w:rPr>
                <w:sz w:val="21"/>
              </w:rPr>
              <w:t xml:space="preserve">422.0 </w:t>
            </w:r>
          </w:p>
        </w:tc>
        <w:tc>
          <w:tcPr>
            <w:tcW w:w="1694" w:type="dxa"/>
            <w:vAlign w:val="center"/>
            <w:hideMark/>
          </w:tcPr>
          <w:p w14:paraId="4E6F5DD4" w14:textId="77777777" w:rsidR="000663E7" w:rsidRDefault="000663E7">
            <w:pPr>
              <w:jc w:val="center"/>
              <w:rPr>
                <w:sz w:val="21"/>
              </w:rPr>
            </w:pPr>
            <w:r>
              <w:rPr>
                <w:sz w:val="21"/>
              </w:rPr>
              <w:t>83</w:t>
            </w:r>
          </w:p>
        </w:tc>
      </w:tr>
      <w:tr w:rsidR="000663E7" w14:paraId="72A47C9A" w14:textId="77777777" w:rsidTr="000663E7">
        <w:trPr>
          <w:trHeight w:val="354"/>
          <w:jc w:val="center"/>
        </w:trPr>
        <w:tc>
          <w:tcPr>
            <w:tcW w:w="1663" w:type="dxa"/>
            <w:tcBorders>
              <w:top w:val="nil"/>
              <w:left w:val="nil"/>
              <w:bottom w:val="single" w:sz="12" w:space="0" w:color="auto"/>
              <w:right w:val="nil"/>
            </w:tcBorders>
            <w:vAlign w:val="center"/>
            <w:hideMark/>
          </w:tcPr>
          <w:p w14:paraId="4C431376" w14:textId="77777777" w:rsidR="000663E7" w:rsidRDefault="000663E7">
            <w:pPr>
              <w:jc w:val="center"/>
              <w:rPr>
                <w:sz w:val="21"/>
              </w:rPr>
            </w:pPr>
            <w:r>
              <w:rPr>
                <w:sz w:val="21"/>
              </w:rPr>
              <w:t>B3-2</w:t>
            </w:r>
          </w:p>
        </w:tc>
        <w:tc>
          <w:tcPr>
            <w:tcW w:w="1720" w:type="dxa"/>
            <w:tcBorders>
              <w:top w:val="nil"/>
              <w:left w:val="nil"/>
              <w:bottom w:val="single" w:sz="12" w:space="0" w:color="auto"/>
              <w:right w:val="nil"/>
            </w:tcBorders>
            <w:vAlign w:val="center"/>
            <w:hideMark/>
          </w:tcPr>
          <w:p w14:paraId="444E6631" w14:textId="77777777" w:rsidR="000663E7" w:rsidRDefault="000663E7">
            <w:pPr>
              <w:jc w:val="center"/>
              <w:rPr>
                <w:sz w:val="21"/>
              </w:rPr>
            </w:pPr>
            <w:r>
              <w:rPr>
                <w:sz w:val="21"/>
              </w:rPr>
              <w:t>57070</w:t>
            </w:r>
          </w:p>
        </w:tc>
        <w:tc>
          <w:tcPr>
            <w:tcW w:w="1810" w:type="dxa"/>
            <w:tcBorders>
              <w:top w:val="nil"/>
              <w:left w:val="nil"/>
              <w:bottom w:val="single" w:sz="12" w:space="0" w:color="auto"/>
              <w:right w:val="nil"/>
            </w:tcBorders>
            <w:vAlign w:val="center"/>
            <w:hideMark/>
          </w:tcPr>
          <w:p w14:paraId="0EB334DA" w14:textId="77777777" w:rsidR="000663E7" w:rsidRDefault="000663E7">
            <w:pPr>
              <w:jc w:val="center"/>
              <w:rPr>
                <w:sz w:val="21"/>
              </w:rPr>
            </w:pPr>
            <w:r>
              <w:rPr>
                <w:sz w:val="21"/>
              </w:rPr>
              <w:t>23747852</w:t>
            </w:r>
          </w:p>
        </w:tc>
        <w:tc>
          <w:tcPr>
            <w:tcW w:w="1705" w:type="dxa"/>
            <w:tcBorders>
              <w:top w:val="nil"/>
              <w:left w:val="nil"/>
              <w:bottom w:val="single" w:sz="12" w:space="0" w:color="auto"/>
              <w:right w:val="nil"/>
            </w:tcBorders>
            <w:vAlign w:val="center"/>
            <w:hideMark/>
          </w:tcPr>
          <w:p w14:paraId="0BFF5AE0" w14:textId="77777777" w:rsidR="000663E7" w:rsidRDefault="000663E7">
            <w:pPr>
              <w:jc w:val="center"/>
              <w:rPr>
                <w:sz w:val="21"/>
              </w:rPr>
            </w:pPr>
            <w:r>
              <w:rPr>
                <w:sz w:val="21"/>
              </w:rPr>
              <w:t xml:space="preserve">416.1 </w:t>
            </w:r>
          </w:p>
        </w:tc>
        <w:tc>
          <w:tcPr>
            <w:tcW w:w="1694" w:type="dxa"/>
            <w:tcBorders>
              <w:top w:val="nil"/>
              <w:left w:val="nil"/>
              <w:bottom w:val="single" w:sz="12" w:space="0" w:color="auto"/>
              <w:right w:val="nil"/>
            </w:tcBorders>
            <w:vAlign w:val="center"/>
            <w:hideMark/>
          </w:tcPr>
          <w:p w14:paraId="5E4E0862" w14:textId="77777777" w:rsidR="000663E7" w:rsidRDefault="000663E7">
            <w:pPr>
              <w:jc w:val="center"/>
              <w:rPr>
                <w:sz w:val="21"/>
              </w:rPr>
            </w:pPr>
            <w:r>
              <w:rPr>
                <w:sz w:val="21"/>
              </w:rPr>
              <w:t>210</w:t>
            </w:r>
          </w:p>
        </w:tc>
      </w:tr>
    </w:tbl>
    <w:p w14:paraId="2B4D1A74" w14:textId="77777777" w:rsidR="000663E7" w:rsidRDefault="000663E7" w:rsidP="000663E7">
      <w:pPr>
        <w:spacing w:afterLines="50" w:after="120" w:line="360" w:lineRule="auto"/>
        <w:jc w:val="left"/>
        <w:rPr>
          <w:rFonts w:cs="Times New Roman"/>
          <w:b/>
          <w:sz w:val="28"/>
          <w:szCs w:val="28"/>
        </w:rPr>
      </w:pPr>
    </w:p>
    <w:p w14:paraId="47FCAD61" w14:textId="075D4233" w:rsidR="000663E7" w:rsidRDefault="000663E7" w:rsidP="000663E7">
      <w:pPr>
        <w:spacing w:afterLines="50" w:after="120" w:line="360" w:lineRule="auto"/>
        <w:jc w:val="left"/>
        <w:rPr>
          <w:rFonts w:cs="Times New Roman"/>
          <w:b/>
          <w:sz w:val="28"/>
          <w:szCs w:val="28"/>
        </w:rPr>
      </w:pPr>
      <w:r>
        <w:rPr>
          <w:rFonts w:cs="Times New Roman"/>
          <w:b/>
          <w:noProof/>
          <w:sz w:val="28"/>
          <w:szCs w:val="28"/>
        </w:rPr>
        <w:drawing>
          <wp:inline distT="0" distB="0" distL="0" distR="0" wp14:anchorId="18C31310" wp14:editId="4A4D0247">
            <wp:extent cx="5276850" cy="2133600"/>
            <wp:effectExtent l="0" t="0" r="0" b="0"/>
            <wp:docPr id="19416929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6850" cy="2133600"/>
                    </a:xfrm>
                    <a:prstGeom prst="rect">
                      <a:avLst/>
                    </a:prstGeom>
                    <a:noFill/>
                    <a:ln>
                      <a:noFill/>
                    </a:ln>
                  </pic:spPr>
                </pic:pic>
              </a:graphicData>
            </a:graphic>
          </wp:inline>
        </w:drawing>
      </w:r>
    </w:p>
    <w:p w14:paraId="439448E4" w14:textId="77777777" w:rsidR="000663E7" w:rsidRDefault="000663E7" w:rsidP="000663E7">
      <w:pPr>
        <w:jc w:val="center"/>
        <w:rPr>
          <w:rFonts w:eastAsia="SimSun" w:cs="Times New Roman"/>
        </w:rPr>
      </w:pPr>
      <w:r>
        <w:rPr>
          <w:rFonts w:cs="Times New Roman"/>
          <w:b/>
          <w:bCs/>
          <w:sz w:val="24"/>
        </w:rPr>
        <w:t>Fig. S2</w:t>
      </w:r>
      <w:r>
        <w:rPr>
          <w:rFonts w:eastAsia="SimSun" w:cs="Times New Roman"/>
        </w:rPr>
        <w:t xml:space="preserve"> Sobs (a) and Shannon (b) rarefaction curves </w:t>
      </w:r>
    </w:p>
    <w:p w14:paraId="2ABD26D3" w14:textId="70A35F16" w:rsidR="000663E7" w:rsidRDefault="000663E7" w:rsidP="000663E7">
      <w:pPr>
        <w:spacing w:afterLines="50" w:after="120" w:line="360" w:lineRule="auto"/>
        <w:ind w:left="562" w:hangingChars="200" w:hanging="562"/>
        <w:jc w:val="left"/>
        <w:rPr>
          <w:rFonts w:cs="Times New Roman"/>
          <w:b/>
          <w:sz w:val="28"/>
          <w:szCs w:val="28"/>
        </w:rPr>
      </w:pPr>
      <w:r>
        <w:rPr>
          <w:rFonts w:cs="Times New Roman"/>
          <w:b/>
          <w:noProof/>
          <w:sz w:val="28"/>
          <w:szCs w:val="28"/>
        </w:rPr>
        <w:lastRenderedPageBreak/>
        <w:drawing>
          <wp:inline distT="0" distB="0" distL="0" distR="0" wp14:anchorId="0EBF0B62" wp14:editId="3CD91FBD">
            <wp:extent cx="5276850" cy="4165600"/>
            <wp:effectExtent l="0" t="0" r="0" b="6350"/>
            <wp:docPr id="390445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6850" cy="4165600"/>
                    </a:xfrm>
                    <a:prstGeom prst="rect">
                      <a:avLst/>
                    </a:prstGeom>
                    <a:noFill/>
                    <a:ln>
                      <a:noFill/>
                    </a:ln>
                  </pic:spPr>
                </pic:pic>
              </a:graphicData>
            </a:graphic>
          </wp:inline>
        </w:drawing>
      </w:r>
    </w:p>
    <w:p w14:paraId="358737E2" w14:textId="77777777" w:rsidR="000663E7" w:rsidRDefault="000663E7" w:rsidP="000663E7">
      <w:pPr>
        <w:spacing w:after="80"/>
        <w:rPr>
          <w:rFonts w:cs="Times New Roman"/>
          <w:sz w:val="24"/>
        </w:rPr>
      </w:pPr>
      <w:r>
        <w:rPr>
          <w:rFonts w:cs="Times New Roman"/>
          <w:b/>
          <w:bCs/>
          <w:sz w:val="24"/>
        </w:rPr>
        <w:t>Fig. S3</w:t>
      </w:r>
      <w:r>
        <w:rPr>
          <w:rFonts w:eastAsia="SimSun" w:cs="Times New Roman"/>
        </w:rPr>
        <w:t xml:space="preserve"> </w:t>
      </w:r>
      <w:r>
        <w:rPr>
          <w:rFonts w:cs="Times New Roman"/>
          <w:sz w:val="24"/>
        </w:rPr>
        <w:t>Microbial community pie plot in 72h(a); Microbial community pie plot</w:t>
      </w:r>
      <w:r>
        <w:rPr>
          <w:rFonts w:cs="Times New Roman"/>
        </w:rPr>
        <w:t xml:space="preserve"> </w:t>
      </w:r>
      <w:r>
        <w:rPr>
          <w:rFonts w:cs="Times New Roman"/>
          <w:sz w:val="24"/>
        </w:rPr>
        <w:t>in 648h(b).</w:t>
      </w:r>
    </w:p>
    <w:p w14:paraId="1F779AAB" w14:textId="77777777" w:rsidR="000663E7" w:rsidRDefault="000663E7" w:rsidP="000663E7">
      <w:pPr>
        <w:jc w:val="center"/>
        <w:rPr>
          <w:rFonts w:eastAsia="SimSun" w:cs="Times New Roman"/>
        </w:rPr>
      </w:pPr>
    </w:p>
    <w:p w14:paraId="4A754320" w14:textId="77777777" w:rsidR="000663E7" w:rsidRDefault="000663E7" w:rsidP="000663E7">
      <w:pPr>
        <w:spacing w:afterLines="50" w:after="120" w:line="360" w:lineRule="auto"/>
        <w:jc w:val="left"/>
        <w:rPr>
          <w:rFonts w:cs="Times New Roman"/>
          <w:b/>
          <w:sz w:val="28"/>
          <w:szCs w:val="28"/>
        </w:rPr>
      </w:pPr>
    </w:p>
    <w:p w14:paraId="0F9CF486" w14:textId="77777777" w:rsidR="000663E7" w:rsidRDefault="000663E7" w:rsidP="000663E7">
      <w:pPr>
        <w:pStyle w:val="EndNoteBibliography"/>
        <w:spacing w:line="480" w:lineRule="auto"/>
        <w:rPr>
          <w:rFonts w:ascii="Times New Roman" w:eastAsiaTheme="minorEastAsia" w:hAnsi="Times New Roman" w:cs="Times New Roman"/>
        </w:rPr>
      </w:pPr>
    </w:p>
    <w:p w14:paraId="1AC38E73"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3E7"/>
    <w:rsid w:val="000663E7"/>
    <w:rsid w:val="005374D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BECCF"/>
  <w15:chartTrackingRefBased/>
  <w15:docId w15:val="{A60B59C6-C99F-4D97-B406-B2606BC32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3E7"/>
    <w:pPr>
      <w:widowControl w:val="0"/>
      <w:spacing w:after="0" w:line="480" w:lineRule="auto"/>
      <w:jc w:val="both"/>
    </w:pPr>
    <w:rPr>
      <w:rFonts w:ascii="Times New Roman" w:eastAsia="Times New Roman" w:hAnsi="Times New Roman" w:cs="Arial Unicode MS"/>
      <w:color w:val="000000"/>
      <w:sz w:val="20"/>
      <w:szCs w:val="21"/>
      <w:u w:color="000000"/>
      <w:lang w:eastAsia="zh-CN"/>
      <w14:ligatures w14:val="none"/>
    </w:rPr>
  </w:style>
  <w:style w:type="paragraph" w:styleId="Heading1">
    <w:name w:val="heading 1"/>
    <w:next w:val="Normal"/>
    <w:link w:val="Heading1Char"/>
    <w:uiPriority w:val="9"/>
    <w:qFormat/>
    <w:rsid w:val="000663E7"/>
    <w:pPr>
      <w:keepNext/>
      <w:keepLines/>
      <w:widowControl w:val="0"/>
      <w:spacing w:after="0" w:line="360" w:lineRule="auto"/>
      <w:jc w:val="both"/>
      <w:outlineLvl w:val="0"/>
    </w:pPr>
    <w:rPr>
      <w:rFonts w:ascii="Times New Roman" w:eastAsia="Times New Roman" w:hAnsi="Times New Roman" w:cs="Times New Roman"/>
      <w:b/>
      <w:bCs/>
      <w:color w:val="000000"/>
      <w:kern w:val="44"/>
      <w:sz w:val="21"/>
      <w:szCs w:val="21"/>
      <w:u w:color="000000"/>
      <w:lang w:eastAsia="zh-CN"/>
      <w14:ligatures w14:val="none"/>
    </w:rPr>
  </w:style>
  <w:style w:type="paragraph" w:styleId="Heading2">
    <w:name w:val="heading 2"/>
    <w:next w:val="Normal"/>
    <w:link w:val="Heading2Char"/>
    <w:uiPriority w:val="9"/>
    <w:semiHidden/>
    <w:unhideWhenUsed/>
    <w:qFormat/>
    <w:rsid w:val="000663E7"/>
    <w:pPr>
      <w:keepNext/>
      <w:keepLines/>
      <w:widowControl w:val="0"/>
      <w:spacing w:after="0" w:line="360" w:lineRule="auto"/>
      <w:jc w:val="both"/>
      <w:outlineLvl w:val="1"/>
    </w:pPr>
    <w:rPr>
      <w:rFonts w:ascii="Times New Roman" w:eastAsia="Arial Unicode MS" w:hAnsi="Times New Roman" w:cs="Arial Unicode MS"/>
      <w:b/>
      <w:bCs/>
      <w:color w:val="000000"/>
      <w:sz w:val="21"/>
      <w:szCs w:val="21"/>
      <w:u w:color="00000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3E7"/>
    <w:rPr>
      <w:rFonts w:ascii="Times New Roman" w:eastAsia="Times New Roman" w:hAnsi="Times New Roman" w:cs="Times New Roman"/>
      <w:b/>
      <w:bCs/>
      <w:color w:val="000000"/>
      <w:kern w:val="44"/>
      <w:sz w:val="21"/>
      <w:szCs w:val="21"/>
      <w:u w:color="000000"/>
      <w:lang w:eastAsia="zh-CN"/>
      <w14:ligatures w14:val="none"/>
    </w:rPr>
  </w:style>
  <w:style w:type="character" w:customStyle="1" w:styleId="Heading2Char">
    <w:name w:val="Heading 2 Char"/>
    <w:basedOn w:val="DefaultParagraphFont"/>
    <w:link w:val="Heading2"/>
    <w:uiPriority w:val="9"/>
    <w:semiHidden/>
    <w:rsid w:val="000663E7"/>
    <w:rPr>
      <w:rFonts w:ascii="Times New Roman" w:eastAsia="Arial Unicode MS" w:hAnsi="Times New Roman" w:cs="Arial Unicode MS"/>
      <w:b/>
      <w:bCs/>
      <w:color w:val="000000"/>
      <w:sz w:val="21"/>
      <w:szCs w:val="21"/>
      <w:u w:color="000000"/>
      <w:lang w:eastAsia="zh-CN"/>
      <w14:ligatures w14:val="none"/>
    </w:rPr>
  </w:style>
  <w:style w:type="paragraph" w:customStyle="1" w:styleId="EndNoteBibliography">
    <w:name w:val="EndNote Bibliography"/>
    <w:qFormat/>
    <w:rsid w:val="000663E7"/>
    <w:pPr>
      <w:widowControl w:val="0"/>
      <w:spacing w:after="0" w:line="240" w:lineRule="auto"/>
      <w:jc w:val="both"/>
    </w:pPr>
    <w:rPr>
      <w:rFonts w:ascii="Calibri" w:eastAsia="Calibri" w:hAnsi="Calibri" w:cs="Calibri"/>
      <w:color w:val="000000"/>
      <w:sz w:val="20"/>
      <w:szCs w:val="20"/>
      <w:u w:color="000000"/>
      <w:lang w:eastAsia="zh-CN"/>
      <w14:ligatures w14:val="none"/>
    </w:rPr>
  </w:style>
  <w:style w:type="table" w:styleId="TableGrid">
    <w:name w:val="Table Grid"/>
    <w:basedOn w:val="TableNormal"/>
    <w:uiPriority w:val="39"/>
    <w:qFormat/>
    <w:rsid w:val="000663E7"/>
    <w:pPr>
      <w:spacing w:after="0" w:line="240" w:lineRule="auto"/>
    </w:pPr>
    <w:rPr>
      <w:rFonts w:ascii="Times New Roman" w:eastAsiaTheme="minorEastAsia" w:hAnsi="Times New Roman" w:cs="Times New Roman"/>
      <w:kern w:val="0"/>
      <w:sz w:val="20"/>
      <w:szCs w:val="20"/>
      <w:lang w:eastAsia="zh-CN"/>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231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520</Words>
  <Characters>2970</Characters>
  <Application>Microsoft Office Word</Application>
  <DocSecurity>0</DocSecurity>
  <Lines>24</Lines>
  <Paragraphs>6</Paragraphs>
  <ScaleCrop>false</ScaleCrop>
  <Company>Springer Nature</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2024-03-19T14:35:00Z</dcterms:created>
  <dcterms:modified xsi:type="dcterms:W3CDTF">2024-03-19T14:35:00Z</dcterms:modified>
</cp:coreProperties>
</file>