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25C5A" w14:textId="77777777" w:rsidR="00C81AF3" w:rsidRDefault="00C81AF3" w:rsidP="00C81AF3">
      <w:pPr>
        <w:spacing w:line="480" w:lineRule="auto"/>
        <w:ind w:left="-57"/>
        <w:jc w:val="both"/>
        <w:rPr>
          <w:rFonts w:ascii="Times New Roman" w:eastAsia="Times New Roman" w:hAnsi="Times New Roman" w:cs="Times New Roman"/>
          <w:b/>
        </w:rPr>
      </w:pPr>
      <w:r>
        <w:rPr>
          <w:rFonts w:ascii="Times New Roman" w:eastAsia="Times New Roman" w:hAnsi="Times New Roman" w:cs="Times New Roman"/>
          <w:b/>
        </w:rPr>
        <w:t>APPENDIX</w:t>
      </w:r>
    </w:p>
    <w:p w14:paraId="450DAA08"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t>APPENDIX A - Ethical Approval</w:t>
      </w:r>
    </w:p>
    <w:p w14:paraId="3840DDBB" w14:textId="77777777" w:rsidR="00C81AF3" w:rsidRDefault="00C81AF3" w:rsidP="00C81AF3">
      <w:pPr>
        <w:spacing w:line="480" w:lineRule="auto"/>
        <w:ind w:left="-57"/>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4828F7E8" wp14:editId="66BB4DA7">
            <wp:extent cx="3588808" cy="5383212"/>
            <wp:effectExtent l="0" t="0" r="0" b="0"/>
            <wp:docPr id="52" name="image6.png" descr="A document with a signature&#10;&#10;Description automatically generated"/>
            <wp:cNvGraphicFramePr/>
            <a:graphic xmlns:a="http://schemas.openxmlformats.org/drawingml/2006/main">
              <a:graphicData uri="http://schemas.openxmlformats.org/drawingml/2006/picture">
                <pic:pic xmlns:pic="http://schemas.openxmlformats.org/drawingml/2006/picture">
                  <pic:nvPicPr>
                    <pic:cNvPr id="52" name="image6.png" descr="A document with a signature&#10;&#10;Description automatically generated"/>
                    <pic:cNvPicPr preferRelativeResize="0"/>
                  </pic:nvPicPr>
                  <pic:blipFill>
                    <a:blip r:embed="rId5"/>
                    <a:srcRect/>
                    <a:stretch>
                      <a:fillRect/>
                    </a:stretch>
                  </pic:blipFill>
                  <pic:spPr>
                    <a:xfrm rot="16200000">
                      <a:off x="0" y="0"/>
                      <a:ext cx="3588808" cy="5383212"/>
                    </a:xfrm>
                    <a:prstGeom prst="rect">
                      <a:avLst/>
                    </a:prstGeom>
                    <a:ln/>
                  </pic:spPr>
                </pic:pic>
              </a:graphicData>
            </a:graphic>
          </wp:inline>
        </w:drawing>
      </w:r>
    </w:p>
    <w:p w14:paraId="2B872D32" w14:textId="77777777" w:rsidR="00C81AF3" w:rsidRDefault="00C81AF3" w:rsidP="00C81AF3">
      <w:pPr>
        <w:spacing w:line="480" w:lineRule="auto"/>
        <w:ind w:left="-57"/>
        <w:jc w:val="center"/>
        <w:rPr>
          <w:rFonts w:ascii="Times New Roman" w:eastAsia="Times New Roman" w:hAnsi="Times New Roman" w:cs="Times New Roman"/>
        </w:rPr>
      </w:pPr>
    </w:p>
    <w:p w14:paraId="7BDD9DF8"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3A9EFFB9" wp14:editId="00C51FF2">
            <wp:extent cx="3796923" cy="5614884"/>
            <wp:effectExtent l="0" t="0" r="0" b="0"/>
            <wp:docPr id="55" name="image11.png" descr="A letter of ethical ultrasound&#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5" name="image11.png" descr="A letter of ethical ultrasound&#10;&#10;Description automatically generated with medium confidence"/>
                    <pic:cNvPicPr preferRelativeResize="0"/>
                  </pic:nvPicPr>
                  <pic:blipFill>
                    <a:blip r:embed="rId6"/>
                    <a:srcRect/>
                    <a:stretch>
                      <a:fillRect/>
                    </a:stretch>
                  </pic:blipFill>
                  <pic:spPr>
                    <a:xfrm rot="16200000">
                      <a:off x="0" y="0"/>
                      <a:ext cx="3796923" cy="5614884"/>
                    </a:xfrm>
                    <a:prstGeom prst="rect">
                      <a:avLst/>
                    </a:prstGeom>
                    <a:ln/>
                  </pic:spPr>
                </pic:pic>
              </a:graphicData>
            </a:graphic>
          </wp:inline>
        </w:drawing>
      </w:r>
    </w:p>
    <w:p w14:paraId="000225E3"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B - Annual Ethical Renewal for 2022</w:t>
      </w:r>
    </w:p>
    <w:p w14:paraId="6D74336E"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2567422F" wp14:editId="0562D28E">
            <wp:extent cx="5399095" cy="7226300"/>
            <wp:effectExtent l="0" t="0" r="0" b="0"/>
            <wp:docPr id="54" name="image10.png" descr="A letter of a medical repor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4" name="image10.png" descr="A letter of a medical report&#10;&#10;Description automatically generated with medium confidence"/>
                    <pic:cNvPicPr preferRelativeResize="0"/>
                  </pic:nvPicPr>
                  <pic:blipFill>
                    <a:blip r:embed="rId7"/>
                    <a:srcRect/>
                    <a:stretch>
                      <a:fillRect/>
                    </a:stretch>
                  </pic:blipFill>
                  <pic:spPr>
                    <a:xfrm>
                      <a:off x="0" y="0"/>
                      <a:ext cx="5399095" cy="7226300"/>
                    </a:xfrm>
                    <a:prstGeom prst="rect">
                      <a:avLst/>
                    </a:prstGeom>
                    <a:ln/>
                  </pic:spPr>
                </pic:pic>
              </a:graphicData>
            </a:graphic>
          </wp:inline>
        </w:drawing>
      </w:r>
    </w:p>
    <w:p w14:paraId="1DE5E51F" w14:textId="77777777" w:rsidR="00C81AF3" w:rsidRDefault="00C81AF3" w:rsidP="00C81AF3">
      <w:pPr>
        <w:spacing w:line="480" w:lineRule="auto"/>
        <w:ind w:left="-57"/>
        <w:rPr>
          <w:rFonts w:ascii="Times New Roman" w:eastAsia="Times New Roman" w:hAnsi="Times New Roman" w:cs="Times New Roman"/>
        </w:rPr>
      </w:pPr>
      <w:r>
        <w:br w:type="page"/>
      </w:r>
    </w:p>
    <w:p w14:paraId="179395BB"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C - Study protocol</w:t>
      </w:r>
    </w:p>
    <w:p w14:paraId="13E3D4A5" w14:textId="77777777" w:rsidR="00C81AF3" w:rsidRDefault="00C81AF3" w:rsidP="00C81AF3">
      <w:pPr>
        <w:spacing w:line="480" w:lineRule="auto"/>
        <w:ind w:left="-57"/>
        <w:rPr>
          <w:rFonts w:ascii="Times New Roman" w:eastAsia="Times New Roman" w:hAnsi="Times New Roman" w:cs="Times New Roman"/>
          <w:b/>
          <w:u w:val="single"/>
        </w:rPr>
      </w:pPr>
      <w:r>
        <w:rPr>
          <w:rFonts w:ascii="Times New Roman" w:eastAsia="Times New Roman" w:hAnsi="Times New Roman" w:cs="Times New Roman"/>
          <w:b/>
          <w:u w:val="single"/>
        </w:rPr>
        <w:t>STUDY PROTOCOL:</w:t>
      </w:r>
    </w:p>
    <w:p w14:paraId="266169C7" w14:textId="77777777" w:rsidR="00C81AF3" w:rsidRDefault="00C81AF3" w:rsidP="00C81AF3">
      <w:pPr>
        <w:spacing w:line="480" w:lineRule="auto"/>
        <w:jc w:val="center"/>
        <w:rPr>
          <w:rFonts w:ascii="Times New Roman" w:eastAsia="Times New Roman" w:hAnsi="Times New Roman" w:cs="Times New Roman"/>
          <w:b/>
          <w:u w:val="single"/>
        </w:rPr>
      </w:pPr>
      <w:r>
        <w:rPr>
          <w:rFonts w:ascii="Times New Roman" w:eastAsia="Times New Roman" w:hAnsi="Times New Roman" w:cs="Times New Roman"/>
          <w:b/>
          <w:u w:val="single"/>
        </w:rPr>
        <w:t>A comparison of intraoperative ultrasound and post-operative MRI in paediatric intra axial tumours</w:t>
      </w:r>
    </w:p>
    <w:p w14:paraId="0223B4BD" w14:textId="77777777" w:rsidR="00C81AF3" w:rsidRDefault="00C81AF3" w:rsidP="00C81AF3">
      <w:pPr>
        <w:spacing w:line="480" w:lineRule="auto"/>
        <w:jc w:val="center"/>
        <w:rPr>
          <w:rFonts w:ascii="Times New Roman" w:eastAsia="Times New Roman" w:hAnsi="Times New Roman" w:cs="Times New Roman"/>
          <w:b/>
          <w:u w:val="single"/>
        </w:rPr>
      </w:pPr>
      <w:r>
        <w:rPr>
          <w:rFonts w:ascii="Times New Roman" w:eastAsia="Times New Roman" w:hAnsi="Times New Roman" w:cs="Times New Roman"/>
          <w:b/>
          <w:u w:val="single"/>
        </w:rPr>
        <w:t xml:space="preserve"> </w:t>
      </w:r>
    </w:p>
    <w:p w14:paraId="2ED9680A"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Protocol number, version number and date:</w:t>
      </w:r>
    </w:p>
    <w:p w14:paraId="65791602"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55443 Version 3.0, 26/03/2021</w:t>
      </w:r>
    </w:p>
    <w:p w14:paraId="714E3B6B"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614A58E7"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Name and Institution of Principal investigator:</w:t>
      </w:r>
    </w:p>
    <w:p w14:paraId="7C417872"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Dr Nadiah Ahmad Fuad, Hospital Tunku Azizah, Kuala Lumpur</w:t>
      </w:r>
    </w:p>
    <w:p w14:paraId="76B6A825"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585D81A9"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Name and Institution of Co-Investigators:</w:t>
      </w:r>
    </w:p>
    <w:p w14:paraId="164411BB"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Dr. Azmi bin Alias Tunku Azizah, Kuala Lumpur</w:t>
      </w:r>
    </w:p>
    <w:p w14:paraId="4C68E489"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Dr. Fadzlishah Johanabas bin Rosli, Hospital Tunku Azizah, Kuala Lumpur</w:t>
      </w:r>
    </w:p>
    <w:p w14:paraId="6F143F0C"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Dr. Rohazly binti Ismail, Hospital Tunku Azizah, Kuala Lumpur</w:t>
      </w:r>
    </w:p>
    <w:p w14:paraId="76C3A30C"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Prof. Dr. Zamzuri Idris, Universiti Sains Malaysia, Kubang Kerian, Kelantan</w:t>
      </w:r>
    </w:p>
    <w:p w14:paraId="4A52EE95"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6A97A145"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5612B76C"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Name and address of Sponsor:</w:t>
      </w:r>
    </w:p>
    <w:p w14:paraId="27137E88"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Nil. Investigator initiated research, self-sponsor.</w:t>
      </w:r>
    </w:p>
    <w:p w14:paraId="31E9E825"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p w14:paraId="757BAAE1"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Study site/s:</w:t>
      </w:r>
    </w:p>
    <w:p w14:paraId="245778F8" w14:textId="77777777" w:rsidR="00C81AF3" w:rsidRDefault="00C81AF3" w:rsidP="00C81AF3">
      <w:pPr>
        <w:spacing w:line="480" w:lineRule="auto"/>
        <w:rPr>
          <w:rFonts w:ascii="Times New Roman" w:eastAsia="Times New Roman" w:hAnsi="Times New Roman" w:cs="Times New Roman"/>
        </w:rPr>
      </w:pPr>
      <w:r>
        <w:rPr>
          <w:rFonts w:ascii="Times New Roman" w:eastAsia="Times New Roman" w:hAnsi="Times New Roman" w:cs="Times New Roman"/>
        </w:rPr>
        <w:t>Hospital Tunku Azizah, Kuala Lumpur</w:t>
      </w:r>
    </w:p>
    <w:p w14:paraId="4AC8860E" w14:textId="77777777" w:rsidR="00C81AF3" w:rsidRDefault="00C81AF3" w:rsidP="00C81AF3">
      <w:pPr>
        <w:spacing w:line="480" w:lineRule="auto"/>
        <w:rPr>
          <w:rFonts w:ascii="Times New Roman" w:eastAsia="Times New Roman" w:hAnsi="Times New Roman" w:cs="Times New Roman"/>
        </w:rPr>
      </w:pPr>
    </w:p>
    <w:p w14:paraId="09CB9743" w14:textId="77777777" w:rsidR="00C81AF3" w:rsidRDefault="00C81AF3" w:rsidP="00C81AF3">
      <w:pPr>
        <w:spacing w:line="480" w:lineRule="auto"/>
        <w:rPr>
          <w:rFonts w:ascii="Times New Roman" w:eastAsia="Times New Roman" w:hAnsi="Times New Roman" w:cs="Times New Roman"/>
        </w:rPr>
      </w:pPr>
    </w:p>
    <w:p w14:paraId="6276A673" w14:textId="77777777" w:rsidR="00C81AF3" w:rsidRDefault="00C81AF3" w:rsidP="00C81AF3">
      <w:pPr>
        <w:ind w:left="-57" w:firstLine="720"/>
        <w:jc w:val="center"/>
        <w:rPr>
          <w:rFonts w:ascii="Times New Roman" w:eastAsia="Times New Roman" w:hAnsi="Times New Roman" w:cs="Times New Roman"/>
        </w:rPr>
      </w:pPr>
      <w:r>
        <w:rPr>
          <w:rFonts w:ascii="Times New Roman" w:eastAsia="Times New Roman" w:hAnsi="Times New Roman" w:cs="Times New Roman"/>
        </w:rPr>
        <w:lastRenderedPageBreak/>
        <w:t xml:space="preserve">LIST OF ABBREVIATIONS </w:t>
      </w:r>
    </w:p>
    <w:p w14:paraId="7CDC840F" w14:textId="77777777" w:rsidR="00C81AF3" w:rsidRDefault="00C81AF3" w:rsidP="00C81AF3">
      <w:pPr>
        <w:ind w:left="-57" w:firstLine="720"/>
        <w:jc w:val="center"/>
        <w:rPr>
          <w:rFonts w:ascii="Times New Roman" w:eastAsia="Times New Roman" w:hAnsi="Times New Roman" w:cs="Times New Roman"/>
        </w:rPr>
      </w:pPr>
    </w:p>
    <w:tbl>
      <w:tblPr>
        <w:tblW w:w="8502" w:type="dxa"/>
        <w:tblBorders>
          <w:top w:val="nil"/>
          <w:left w:val="nil"/>
          <w:bottom w:val="nil"/>
          <w:right w:val="nil"/>
          <w:insideH w:val="nil"/>
          <w:insideV w:val="nil"/>
        </w:tblBorders>
        <w:tblLayout w:type="fixed"/>
        <w:tblLook w:val="0600" w:firstRow="0" w:lastRow="0" w:firstColumn="0" w:lastColumn="0" w:noHBand="1" w:noVBand="1"/>
      </w:tblPr>
      <w:tblGrid>
        <w:gridCol w:w="2517"/>
        <w:gridCol w:w="5985"/>
      </w:tblGrid>
      <w:tr w:rsidR="00C81AF3" w14:paraId="0B9F255C" w14:textId="77777777" w:rsidTr="004F5C10">
        <w:trPr>
          <w:trHeight w:val="590"/>
        </w:trPr>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C31E13"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IOUS</w:t>
            </w:r>
          </w:p>
        </w:tc>
        <w:tc>
          <w:tcPr>
            <w:tcW w:w="598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26584AA"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Intraoperative ultrasound</w:t>
            </w:r>
          </w:p>
        </w:tc>
      </w:tr>
      <w:tr w:rsidR="00C81AF3" w14:paraId="4F8B1949" w14:textId="77777777" w:rsidTr="004F5C10">
        <w:trPr>
          <w:trHeight w:val="590"/>
        </w:trPr>
        <w:tc>
          <w:tcPr>
            <w:tcW w:w="25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368E55B"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CNS</w:t>
            </w:r>
          </w:p>
        </w:tc>
        <w:tc>
          <w:tcPr>
            <w:tcW w:w="5985" w:type="dxa"/>
            <w:tcBorders>
              <w:top w:val="nil"/>
              <w:left w:val="nil"/>
              <w:bottom w:val="single" w:sz="8" w:space="0" w:color="000000"/>
              <w:right w:val="single" w:sz="8" w:space="0" w:color="000000"/>
            </w:tcBorders>
            <w:tcMar>
              <w:top w:w="100" w:type="dxa"/>
              <w:left w:w="100" w:type="dxa"/>
              <w:bottom w:w="100" w:type="dxa"/>
              <w:right w:w="100" w:type="dxa"/>
            </w:tcMar>
          </w:tcPr>
          <w:p w14:paraId="1A33C7F7"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Central Nervous System</w:t>
            </w:r>
          </w:p>
        </w:tc>
      </w:tr>
      <w:tr w:rsidR="00C81AF3" w14:paraId="431D2D16" w14:textId="77777777" w:rsidTr="004F5C10">
        <w:trPr>
          <w:trHeight w:val="590"/>
        </w:trPr>
        <w:tc>
          <w:tcPr>
            <w:tcW w:w="25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655D518"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MRI</w:t>
            </w:r>
          </w:p>
        </w:tc>
        <w:tc>
          <w:tcPr>
            <w:tcW w:w="5985" w:type="dxa"/>
            <w:tcBorders>
              <w:top w:val="nil"/>
              <w:left w:val="nil"/>
              <w:bottom w:val="single" w:sz="8" w:space="0" w:color="000000"/>
              <w:right w:val="single" w:sz="8" w:space="0" w:color="000000"/>
            </w:tcBorders>
            <w:tcMar>
              <w:top w:w="100" w:type="dxa"/>
              <w:left w:w="100" w:type="dxa"/>
              <w:bottom w:w="100" w:type="dxa"/>
              <w:right w:w="100" w:type="dxa"/>
            </w:tcMar>
          </w:tcPr>
          <w:p w14:paraId="45DCCFD0"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Magnetic resonance imaging</w:t>
            </w:r>
          </w:p>
        </w:tc>
      </w:tr>
      <w:tr w:rsidR="00C81AF3" w14:paraId="58B17EFE" w14:textId="77777777" w:rsidTr="004F5C10">
        <w:trPr>
          <w:trHeight w:val="590"/>
        </w:trPr>
        <w:tc>
          <w:tcPr>
            <w:tcW w:w="25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1578C9E"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GCS</w:t>
            </w:r>
          </w:p>
        </w:tc>
        <w:tc>
          <w:tcPr>
            <w:tcW w:w="5985" w:type="dxa"/>
            <w:tcBorders>
              <w:top w:val="nil"/>
              <w:left w:val="nil"/>
              <w:bottom w:val="single" w:sz="8" w:space="0" w:color="000000"/>
              <w:right w:val="single" w:sz="8" w:space="0" w:color="000000"/>
            </w:tcBorders>
            <w:tcMar>
              <w:top w:w="100" w:type="dxa"/>
              <w:left w:w="100" w:type="dxa"/>
              <w:bottom w:w="100" w:type="dxa"/>
              <w:right w:w="100" w:type="dxa"/>
            </w:tcMar>
          </w:tcPr>
          <w:p w14:paraId="26BA6B42"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Glasgow Coma Scale</w:t>
            </w:r>
          </w:p>
        </w:tc>
      </w:tr>
      <w:tr w:rsidR="00C81AF3" w14:paraId="3FC6E2FB" w14:textId="77777777" w:rsidTr="004F5C10">
        <w:trPr>
          <w:trHeight w:val="590"/>
        </w:trPr>
        <w:tc>
          <w:tcPr>
            <w:tcW w:w="251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C61C312"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GTR</w:t>
            </w:r>
          </w:p>
        </w:tc>
        <w:tc>
          <w:tcPr>
            <w:tcW w:w="5985" w:type="dxa"/>
            <w:tcBorders>
              <w:top w:val="nil"/>
              <w:left w:val="nil"/>
              <w:bottom w:val="single" w:sz="8" w:space="0" w:color="000000"/>
              <w:right w:val="single" w:sz="8" w:space="0" w:color="000000"/>
            </w:tcBorders>
            <w:tcMar>
              <w:top w:w="100" w:type="dxa"/>
              <w:left w:w="100" w:type="dxa"/>
              <w:bottom w:w="100" w:type="dxa"/>
              <w:right w:w="100" w:type="dxa"/>
            </w:tcMar>
          </w:tcPr>
          <w:p w14:paraId="3D85597D" w14:textId="77777777" w:rsidR="00C81AF3" w:rsidRDefault="00C81AF3" w:rsidP="004F5C10">
            <w:pPr>
              <w:jc w:val="center"/>
              <w:rPr>
                <w:rFonts w:ascii="Times New Roman" w:eastAsia="Times New Roman" w:hAnsi="Times New Roman" w:cs="Times New Roman"/>
              </w:rPr>
            </w:pPr>
            <w:r>
              <w:rPr>
                <w:rFonts w:ascii="Times New Roman" w:eastAsia="Times New Roman" w:hAnsi="Times New Roman" w:cs="Times New Roman"/>
              </w:rPr>
              <w:t>Gross total resection</w:t>
            </w:r>
          </w:p>
        </w:tc>
      </w:tr>
    </w:tbl>
    <w:p w14:paraId="4BFE9777" w14:textId="77777777" w:rsidR="00C81AF3" w:rsidRDefault="00C81AF3" w:rsidP="00C81AF3">
      <w:pPr>
        <w:ind w:left="-57" w:firstLine="720"/>
        <w:jc w:val="center"/>
        <w:rPr>
          <w:rFonts w:ascii="Times New Roman" w:eastAsia="Times New Roman" w:hAnsi="Times New Roman" w:cs="Times New Roman"/>
        </w:rPr>
      </w:pPr>
    </w:p>
    <w:p w14:paraId="010599BC" w14:textId="77777777" w:rsidR="00C81AF3" w:rsidRDefault="00C81AF3" w:rsidP="00C81AF3">
      <w:pPr>
        <w:ind w:left="-57"/>
        <w:jc w:val="both"/>
        <w:rPr>
          <w:rFonts w:ascii="Times New Roman" w:eastAsia="Times New Roman" w:hAnsi="Times New Roman" w:cs="Times New Roman"/>
        </w:rPr>
      </w:pPr>
    </w:p>
    <w:p w14:paraId="4EE76B2E" w14:textId="77777777" w:rsidR="00C81AF3" w:rsidRDefault="00C81AF3" w:rsidP="00C81AF3">
      <w:pPr>
        <w:ind w:left="-57"/>
        <w:jc w:val="both"/>
        <w:rPr>
          <w:rFonts w:ascii="Times New Roman" w:eastAsia="Times New Roman" w:hAnsi="Times New Roman" w:cs="Times New Roman"/>
        </w:rPr>
      </w:pPr>
      <w:r>
        <w:br w:type="page"/>
      </w:r>
    </w:p>
    <w:p w14:paraId="1F07B229" w14:textId="77777777" w:rsidR="00C81AF3" w:rsidRDefault="00C81AF3" w:rsidP="00C81AF3">
      <w:pPr>
        <w:ind w:left="-57"/>
        <w:jc w:val="both"/>
        <w:rPr>
          <w:rFonts w:ascii="Times New Roman" w:eastAsia="Times New Roman" w:hAnsi="Times New Roman" w:cs="Times New Roman"/>
          <w:b/>
        </w:rPr>
      </w:pPr>
      <w:r>
        <w:rPr>
          <w:rFonts w:ascii="Times New Roman" w:eastAsia="Times New Roman" w:hAnsi="Times New Roman" w:cs="Times New Roman"/>
          <w:b/>
        </w:rPr>
        <w:lastRenderedPageBreak/>
        <w:t>Research Synopsis</w:t>
      </w:r>
    </w:p>
    <w:tbl>
      <w:tblPr>
        <w:tblW w:w="8502" w:type="dxa"/>
        <w:tblBorders>
          <w:top w:val="nil"/>
          <w:left w:val="nil"/>
          <w:bottom w:val="nil"/>
          <w:right w:val="nil"/>
          <w:insideH w:val="nil"/>
          <w:insideV w:val="nil"/>
        </w:tblBorders>
        <w:tblLayout w:type="fixed"/>
        <w:tblLook w:val="0600" w:firstRow="0" w:lastRow="0" w:firstColumn="0" w:lastColumn="0" w:noHBand="1" w:noVBand="1"/>
      </w:tblPr>
      <w:tblGrid>
        <w:gridCol w:w="2167"/>
        <w:gridCol w:w="6335"/>
      </w:tblGrid>
      <w:tr w:rsidR="00C81AF3" w14:paraId="4D72F34F" w14:textId="77777777" w:rsidTr="004F5C10">
        <w:trPr>
          <w:trHeight w:val="1055"/>
        </w:trPr>
        <w:tc>
          <w:tcPr>
            <w:tcW w:w="216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4A83CC"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Study title</w:t>
            </w:r>
          </w:p>
        </w:tc>
        <w:tc>
          <w:tcPr>
            <w:tcW w:w="63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16AEE5BB"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A comparison of intraoperative ultrasound and post operative MRI in pediatric intra axial tumors</w:t>
            </w:r>
          </w:p>
          <w:p w14:paraId="4EAFE863" w14:textId="77777777" w:rsidR="00C81AF3" w:rsidRDefault="00C81AF3" w:rsidP="004F5C10">
            <w:pPr>
              <w:spacing w:line="480" w:lineRule="auto"/>
              <w:rPr>
                <w:rFonts w:ascii="Times New Roman" w:eastAsia="Times New Roman" w:hAnsi="Times New Roman" w:cs="Times New Roman"/>
                <w:u w:val="single"/>
              </w:rPr>
            </w:pPr>
            <w:r>
              <w:rPr>
                <w:rFonts w:ascii="Times New Roman" w:eastAsia="Times New Roman" w:hAnsi="Times New Roman" w:cs="Times New Roman"/>
                <w:u w:val="single"/>
              </w:rPr>
              <w:t xml:space="preserve"> </w:t>
            </w:r>
          </w:p>
        </w:tc>
      </w:tr>
      <w:tr w:rsidR="00C81AF3" w14:paraId="3FF205BD" w14:textId="77777777" w:rsidTr="004F5C10">
        <w:trPr>
          <w:trHeight w:val="1325"/>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DECF344"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Study Population</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163D622E"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Pediatric patients &lt;12 years old with intra axial tumors undergoing elective surgery for tumor resection in Hospital Tunku Azizah between 1 Dec 2019- 30 Nov 2021</w:t>
            </w:r>
          </w:p>
          <w:p w14:paraId="4BEC3675" w14:textId="77777777" w:rsidR="00C81AF3" w:rsidRDefault="00C81AF3" w:rsidP="004F5C10">
            <w:pPr>
              <w:spacing w:line="480" w:lineRule="auto"/>
              <w:rPr>
                <w:rFonts w:ascii="Times New Roman" w:eastAsia="Times New Roman" w:hAnsi="Times New Roman" w:cs="Times New Roman"/>
                <w:u w:val="single"/>
              </w:rPr>
            </w:pPr>
            <w:r>
              <w:rPr>
                <w:rFonts w:ascii="Times New Roman" w:eastAsia="Times New Roman" w:hAnsi="Times New Roman" w:cs="Times New Roman"/>
                <w:u w:val="single"/>
              </w:rPr>
              <w:t xml:space="preserve"> </w:t>
            </w:r>
          </w:p>
        </w:tc>
      </w:tr>
      <w:tr w:rsidR="00C81AF3" w14:paraId="0746911D" w14:textId="77777777" w:rsidTr="004F5C10">
        <w:trPr>
          <w:trHeight w:val="770"/>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2D2F854"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Study Design</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328D9219"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A prospective observational study.</w:t>
            </w:r>
          </w:p>
          <w:p w14:paraId="7C2A8BEA"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C81AF3" w14:paraId="798C2D7C" w14:textId="77777777" w:rsidTr="004F5C10">
        <w:trPr>
          <w:trHeight w:val="1325"/>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939B7D0"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General Objective</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764D7BD4" w14:textId="77777777" w:rsidR="00C81AF3" w:rsidRDefault="00C81AF3" w:rsidP="004F5C10">
            <w:pPr>
              <w:spacing w:line="276" w:lineRule="auto"/>
              <w:jc w:val="both"/>
              <w:rPr>
                <w:rFonts w:ascii="Times New Roman" w:eastAsia="Times New Roman" w:hAnsi="Times New Roman" w:cs="Times New Roman"/>
              </w:rPr>
            </w:pPr>
            <w:r>
              <w:rPr>
                <w:rFonts w:ascii="Times New Roman" w:eastAsia="Times New Roman" w:hAnsi="Times New Roman" w:cs="Times New Roman"/>
              </w:rPr>
              <w:t>To study the equivalance of intraoperative ultrasound for intra axial tumors post resection, in comparison with post-operative MRI.</w:t>
            </w:r>
          </w:p>
          <w:p w14:paraId="159468FB" w14:textId="77777777" w:rsidR="00C81AF3" w:rsidRDefault="00C81AF3" w:rsidP="004F5C10">
            <w:pPr>
              <w:spacing w:line="480" w:lineRule="auto"/>
              <w:rPr>
                <w:rFonts w:ascii="Times New Roman" w:eastAsia="Times New Roman" w:hAnsi="Times New Roman" w:cs="Times New Roman"/>
                <w:u w:val="single"/>
              </w:rPr>
            </w:pPr>
            <w:r>
              <w:rPr>
                <w:rFonts w:ascii="Times New Roman" w:eastAsia="Times New Roman" w:hAnsi="Times New Roman" w:cs="Times New Roman"/>
                <w:u w:val="single"/>
              </w:rPr>
              <w:t xml:space="preserve"> </w:t>
            </w:r>
          </w:p>
        </w:tc>
      </w:tr>
      <w:tr w:rsidR="00C81AF3" w14:paraId="11158D88" w14:textId="77777777" w:rsidTr="004F5C10">
        <w:trPr>
          <w:trHeight w:val="1880"/>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1B9F91E"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Specific Objectives</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2696AC2C" w14:textId="77777777" w:rsidR="00C81AF3" w:rsidRDefault="00C81AF3" w:rsidP="004F5C10">
            <w:pPr>
              <w:spacing w:line="276" w:lineRule="auto"/>
              <w:ind w:left="1080" w:hanging="36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To evaluate intraoperative ultrasound as a realtime navigation, as an adjunct in surgical excision of intra axial tumors in pediatric patients</w:t>
            </w:r>
          </w:p>
          <w:p w14:paraId="7D57D744" w14:textId="77777777" w:rsidR="00C81AF3" w:rsidRDefault="00C81AF3" w:rsidP="004F5C10">
            <w:pPr>
              <w:spacing w:line="276" w:lineRule="auto"/>
              <w:ind w:left="1080" w:hanging="360"/>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To observe findings in post resection IOUS with post operative MRI in pediatric intra axial tumors</w:t>
            </w:r>
          </w:p>
          <w:p w14:paraId="2DEA5041" w14:textId="77777777" w:rsidR="00C81AF3" w:rsidRDefault="00C81AF3" w:rsidP="004F5C10">
            <w:pPr>
              <w:spacing w:line="276" w:lineRule="auto"/>
              <w:ind w:left="720"/>
              <w:rPr>
                <w:rFonts w:ascii="Times New Roman" w:eastAsia="Times New Roman" w:hAnsi="Times New Roman" w:cs="Times New Roman"/>
              </w:rPr>
            </w:pPr>
            <w:r>
              <w:rPr>
                <w:rFonts w:ascii="Times New Roman" w:eastAsia="Times New Roman" w:hAnsi="Times New Roman" w:cs="Times New Roman"/>
              </w:rPr>
              <w:t xml:space="preserve"> </w:t>
            </w:r>
          </w:p>
        </w:tc>
      </w:tr>
      <w:tr w:rsidR="00C81AF3" w14:paraId="5C7EB1BB" w14:textId="77777777" w:rsidTr="004F5C10">
        <w:trPr>
          <w:trHeight w:val="1055"/>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E34B90"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Study endpoints/outcomes</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64D68CC8" w14:textId="77777777" w:rsidR="00C81AF3" w:rsidRDefault="00C81AF3" w:rsidP="004F5C10">
            <w:pPr>
              <w:spacing w:line="276" w:lineRule="auto"/>
              <w:ind w:left="1080" w:hanging="360"/>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Findings of post resection IOUS compared with Post-operative MRI brain</w:t>
            </w:r>
          </w:p>
          <w:p w14:paraId="15E3BAB7" w14:textId="77777777" w:rsidR="00C81AF3" w:rsidRDefault="00C81AF3" w:rsidP="004F5C10">
            <w:pPr>
              <w:spacing w:line="276" w:lineRule="auto"/>
              <w:ind w:left="720"/>
              <w:rPr>
                <w:rFonts w:ascii="Times New Roman" w:eastAsia="Times New Roman" w:hAnsi="Times New Roman" w:cs="Times New Roman"/>
              </w:rPr>
            </w:pPr>
            <w:r>
              <w:rPr>
                <w:rFonts w:ascii="Times New Roman" w:eastAsia="Times New Roman" w:hAnsi="Times New Roman" w:cs="Times New Roman"/>
              </w:rPr>
              <w:t xml:space="preserve"> </w:t>
            </w:r>
          </w:p>
        </w:tc>
      </w:tr>
      <w:tr w:rsidR="00C81AF3" w14:paraId="3A9AA49C" w14:textId="77777777" w:rsidTr="004F5C10">
        <w:trPr>
          <w:trHeight w:val="770"/>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3753611"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Sample Size</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42A7E991"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14</w:t>
            </w:r>
          </w:p>
          <w:p w14:paraId="3EB82CC7"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C81AF3" w14:paraId="3FF5B61D" w14:textId="77777777" w:rsidTr="004F5C10">
        <w:trPr>
          <w:trHeight w:val="770"/>
        </w:trPr>
        <w:tc>
          <w:tcPr>
            <w:tcW w:w="2167"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9A9D81A"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Study Duration</w:t>
            </w:r>
          </w:p>
        </w:tc>
        <w:tc>
          <w:tcPr>
            <w:tcW w:w="6335" w:type="dxa"/>
            <w:tcBorders>
              <w:top w:val="nil"/>
              <w:left w:val="nil"/>
              <w:bottom w:val="single" w:sz="8" w:space="0" w:color="000000"/>
              <w:right w:val="single" w:sz="8" w:space="0" w:color="000000"/>
            </w:tcBorders>
            <w:tcMar>
              <w:top w:w="100" w:type="dxa"/>
              <w:left w:w="100" w:type="dxa"/>
              <w:bottom w:w="100" w:type="dxa"/>
              <w:right w:w="100" w:type="dxa"/>
            </w:tcMar>
          </w:tcPr>
          <w:p w14:paraId="63D438B5"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1 Dec 2019- 30 Nov 2021</w:t>
            </w:r>
          </w:p>
          <w:p w14:paraId="5F905ABC" w14:textId="77777777" w:rsidR="00C81AF3" w:rsidRDefault="00C81AF3" w:rsidP="004F5C10">
            <w:pPr>
              <w:spacing w:line="480" w:lineRule="auto"/>
              <w:rPr>
                <w:rFonts w:ascii="Times New Roman" w:eastAsia="Times New Roman" w:hAnsi="Times New Roman" w:cs="Times New Roman"/>
              </w:rPr>
            </w:pPr>
            <w:r>
              <w:rPr>
                <w:rFonts w:ascii="Times New Roman" w:eastAsia="Times New Roman" w:hAnsi="Times New Roman" w:cs="Times New Roman"/>
              </w:rPr>
              <w:t xml:space="preserve"> </w:t>
            </w:r>
          </w:p>
        </w:tc>
      </w:tr>
    </w:tbl>
    <w:p w14:paraId="50584BE1" w14:textId="77777777" w:rsidR="00C81AF3" w:rsidRDefault="00C81AF3" w:rsidP="00C81AF3">
      <w:pPr>
        <w:spacing w:line="480" w:lineRule="auto"/>
        <w:ind w:left="-57"/>
        <w:jc w:val="both"/>
        <w:rPr>
          <w:rFonts w:ascii="Times New Roman" w:eastAsia="Times New Roman" w:hAnsi="Times New Roman" w:cs="Times New Roman"/>
          <w:b/>
        </w:rPr>
      </w:pPr>
    </w:p>
    <w:p w14:paraId="6663CC4E" w14:textId="77777777" w:rsidR="00C81AF3" w:rsidRDefault="00C81AF3" w:rsidP="00C81AF3">
      <w:pPr>
        <w:rPr>
          <w:rFonts w:ascii="Times New Roman" w:eastAsia="Times New Roman" w:hAnsi="Times New Roman" w:cs="Times New Roman"/>
          <w:b/>
        </w:rPr>
      </w:pPr>
    </w:p>
    <w:p w14:paraId="1DA1B6D0" w14:textId="77777777" w:rsidR="00C81AF3" w:rsidRDefault="00C81AF3" w:rsidP="00C81AF3">
      <w:pPr>
        <w:numPr>
          <w:ilvl w:val="0"/>
          <w:numId w:val="3"/>
        </w:numPr>
        <w:spacing w:line="480" w:lineRule="auto"/>
        <w:ind w:left="-57"/>
        <w:jc w:val="both"/>
        <w:rPr>
          <w:rFonts w:ascii="Times New Roman" w:eastAsia="Times New Roman" w:hAnsi="Times New Roman" w:cs="Times New Roman"/>
          <w:b/>
        </w:rPr>
      </w:pPr>
      <w:r>
        <w:rPr>
          <w:rFonts w:ascii="Times New Roman" w:eastAsia="Times New Roman" w:hAnsi="Times New Roman" w:cs="Times New Roman"/>
          <w:b/>
        </w:rPr>
        <w:t>INTRODUCTION &amp; LITERATURE REVIEW</w:t>
      </w:r>
    </w:p>
    <w:p w14:paraId="5FEF014F" w14:textId="77777777" w:rsidR="00C81AF3" w:rsidRDefault="00C81AF3" w:rsidP="00C81AF3">
      <w:pPr>
        <w:keepNext/>
        <w:spacing w:after="200" w:line="480" w:lineRule="auto"/>
        <w:jc w:val="both"/>
        <w:rPr>
          <w:rFonts w:ascii="Times New Roman" w:eastAsia="Times New Roman" w:hAnsi="Times New Roman" w:cs="Times New Roman"/>
        </w:rPr>
      </w:pPr>
      <w:r>
        <w:rPr>
          <w:rFonts w:ascii="Times New Roman" w:eastAsia="Times New Roman" w:hAnsi="Times New Roman" w:cs="Times New Roman"/>
        </w:rPr>
        <w:t>Malignant tumours of the CNS is the second most common paediatric malignancy, following haematological disorders. It is generally accepted that positive outcomes in paediatric CNS tumours depend significantly on the extent of tumour resection. In light of this, techniques to improve resection results have significant clinical implications in the paediatric population. [10-11] In the past decade, few methods of intraoperative adjuncts to aid in tumour resection have been applied. Amongst them are neuro-navigation, intraoperative ultrasound, intraoperative CT/ MRI and 5-aminolevulinic acid. These methods help to localise and identify tumour borders, as well as aiding in maximum tumour resection. [2] In recent years, intraoperative ultrasound has evolved into a widespread neuroimaging tool that offers real-time surgical guidance, and is a widely accessible imaging modality with minimal identified risk or additional operative time. [1,10] In this study, we would like to observe the accuracy of intraoperative ultrasound performed pre and post resection. Post resection ultrasound is then compared with postoperative MRI. This study is primarily aimed to evaluate the correlation between findings in IOUS with postoperative MRI to provide further support for the role of IOUS in enhancing tumour surgery especially in paediatric population. Most of the IOUS applications in brain tumours derive from adult series, hence our study is aimed to replicate the positive results in the paediatric population instead.</w:t>
      </w:r>
    </w:p>
    <w:p w14:paraId="6F1212EE" w14:textId="77777777" w:rsidR="00C81AF3" w:rsidRDefault="00C81AF3" w:rsidP="00C81AF3">
      <w:pPr>
        <w:keepNext/>
        <w:spacing w:after="200"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The goal of cerebral glioma surgery is not only maximal but also safe tumour resection, in which the maximum neurologically permissible tumour volume should be resected, but eloquent areas must be spared and neurological damage minimised. [1,4] Image-guided surgery based on neuronavigation is widely used and has become an essential tool in this recent decade. [9] The accuracy of neuronavigation systems are based on pre operative data limited to intraoperative changes. These limitations can be </w:t>
      </w:r>
      <w:r>
        <w:rPr>
          <w:rFonts w:ascii="Times New Roman" w:eastAsia="Times New Roman" w:hAnsi="Times New Roman" w:cs="Times New Roman"/>
        </w:rPr>
        <w:lastRenderedPageBreak/>
        <w:t xml:space="preserve">addressed by intraoperative MRI and CT however both modalities require long acquisition time and enormous economic investment. These intraoperative modalities significantly lengthen operating time, require additional staff to run the scanners, increase the risk of breaks in sterility, and have much higher overhead and running costs. Contrast is required for tissue demarcation, and ionising radiation is emitted in the case of intraoperative CT. Furthermore, intraoperative CT is rarely acceptable for paediatric patients due to the ionising radiation. [3,27,28] In a review of IOUS as effective neuronavigation in paediatric tumour surgery, safe maximal tumour resection can be achieved through accurate localization and intraoperative mapping of eloquent areas required for functions such as language, sensation, or movement. [3] The main advantage of IOUS in brain tumour surgery lies in its real time property. It can generate a complete overview of the tumour and the surrounding structures within seconds. IOUS also can repeatedly evaluate the extent and location of residual tumour tissue at any stage of the surgery. The ability to depict real time anatomic data during a surgical procedure is very useful for surgical decision making. [4,5,7] IOUS is an effective way to localise and characterise lesions and to assist with the monitoring of the surgical field for the improvement of resectability and reduction of the risk of parenchymal injury. [4] In a retrospective study of 260 patients by Sweeney et al., treated for brain tumour with IOUS performed and post operative MRI done within 1 week, authors reported an intended gross tumour resection rate of 81% across diverse cases. IOUS was able to correctly identify residual tumour in 100% of cases. [1] IOUS provided useful intraoperative information, allowing the surgeon to visualise the extent of residual tumour when making the decision to proceed or conclude the resection based on the benefit/risk ratio. [3] In cases of deep-seated tumours, IOUS helps in finding a cleavage plane for resection. In epilepsy surgery, it is difficult for the surgeon to distinguish dysplastic lesions from </w:t>
      </w:r>
      <w:r>
        <w:rPr>
          <w:rFonts w:ascii="Times New Roman" w:eastAsia="Times New Roman" w:hAnsi="Times New Roman" w:cs="Times New Roman"/>
        </w:rPr>
        <w:lastRenderedPageBreak/>
        <w:t xml:space="preserve">normal cortex. In cases like this, IOUS can depict cortical dysplasia with high resolution. Post resection, IOUS can be used to identify tumour residuals. [15-18] Roth et al., reported that the majority of glial tumours in paediatric patients are low-grade tumours. In this group of tumours (e.g. pilocytic astrocytoma), prognosis is directly related to the extent of resection. Quite frequently, low grade tumours include a subtle component, which may be hard to differentiate from the normal surrounding brain tissue. In addition, during surgery of deep-seated ventricular lesions, as well as periventricular lesions, a large amount of cerebrospinal fluid may be removed. Thus, a real-time imaging modality combined with navigational capabilities may be helpful. [5] Also, precise skin incisions, smaller craniotomies and easy localization of intracranial pathologies are fundamental applications of neuronavigation systems in neurosurgery in general and paediatric neurosurgery in particular. [10,21] </w:t>
      </w:r>
    </w:p>
    <w:p w14:paraId="236D2F7F" w14:textId="77777777" w:rsidR="00C81AF3" w:rsidRDefault="00C81AF3" w:rsidP="00C81AF3">
      <w:pPr>
        <w:keepNext/>
        <w:spacing w:after="200"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The neuro-oncological paediatric population has several peculiarities when compared to adults, including a larger variety of histological subtypes and lesions are frequently located in the posterior fossa. As most studies are derived from the adult population, therefore there is a gap in evaluation of the IOUS usefulness for paediatric intra axial tumour resection. [28] The pivotal role of accurate assessment of residual tumour in paediatric patients is underlined by the International Society for Paediatric Oncology of a new scale to quantify both the operator’s assessment and the postoperative imaging data. This new scale has guided us to objectively compare our IOUS resection evaluation with early postoperative MRI findings. [28] In our practice, IOUS is used routinely in adult and paediatric patients with intra axial tumours, but we acknowledge that IOUS has some limitations. A practical limitation is user dependency. As with many aspects of neurosurgery, user dependency is subject to a steep learning curve, but this </w:t>
      </w:r>
      <w:r>
        <w:rPr>
          <w:rFonts w:ascii="Times New Roman" w:eastAsia="Times New Roman" w:hAnsi="Times New Roman" w:cs="Times New Roman"/>
        </w:rPr>
        <w:lastRenderedPageBreak/>
        <w:t>limitation can be overcome readily over time. IOUS is therefore an essential adjunct in modern neurosurgery.</w:t>
      </w:r>
    </w:p>
    <w:p w14:paraId="2EC3D881"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2. OBJECTIVES </w:t>
      </w:r>
    </w:p>
    <w:p w14:paraId="2A559DA3" w14:textId="77777777" w:rsidR="00C81AF3" w:rsidRDefault="00C81AF3" w:rsidP="00C81AF3">
      <w:pPr>
        <w:keepNext/>
        <w:spacing w:line="276" w:lineRule="auto"/>
        <w:ind w:left="720" w:hanging="360"/>
        <w:jc w:val="both"/>
        <w:rPr>
          <w:rFonts w:ascii="Times New Roman" w:eastAsia="Times New Roman" w:hAnsi="Times New Roman" w:cs="Times New Roman"/>
        </w:rPr>
      </w:pPr>
      <w:r>
        <w:rPr>
          <w:rFonts w:ascii="Times New Roman" w:eastAsia="Times New Roman" w:hAnsi="Times New Roman" w:cs="Times New Roman"/>
        </w:rPr>
        <w:t>2.1</w:t>
      </w:r>
      <w:r>
        <w:rPr>
          <w:rFonts w:ascii="Times New Roman" w:eastAsia="Times New Roman" w:hAnsi="Times New Roman" w:cs="Times New Roman"/>
          <w:sz w:val="14"/>
          <w:szCs w:val="14"/>
        </w:rPr>
        <w:t xml:space="preserve">  </w:t>
      </w:r>
      <w:r>
        <w:rPr>
          <w:rFonts w:ascii="Times New Roman" w:eastAsia="Times New Roman" w:hAnsi="Times New Roman" w:cs="Times New Roman"/>
        </w:rPr>
        <w:t>General objective:</w:t>
      </w:r>
    </w:p>
    <w:p w14:paraId="318D48B6" w14:textId="77777777" w:rsidR="00C81AF3" w:rsidRDefault="00C81AF3" w:rsidP="00C81AF3">
      <w:pPr>
        <w:keepNext/>
        <w:spacing w:line="276" w:lineRule="auto"/>
        <w:ind w:left="360"/>
        <w:jc w:val="both"/>
        <w:rPr>
          <w:rFonts w:ascii="Times New Roman" w:eastAsia="Times New Roman" w:hAnsi="Times New Roman" w:cs="Times New Roman"/>
        </w:rPr>
      </w:pPr>
      <w:r>
        <w:rPr>
          <w:rFonts w:ascii="Times New Roman" w:eastAsia="Times New Roman" w:hAnsi="Times New Roman" w:cs="Times New Roman"/>
        </w:rPr>
        <w:t>To study the equivalence of intraoperative ultrasound for intra axial tumours post resection, in comparison with post-operative MRI.</w:t>
      </w:r>
    </w:p>
    <w:p w14:paraId="142B476F" w14:textId="77777777" w:rsidR="00C81AF3" w:rsidRDefault="00C81AF3" w:rsidP="00C81AF3">
      <w:pPr>
        <w:keepNext/>
        <w:spacing w:line="276"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 </w:t>
      </w:r>
    </w:p>
    <w:p w14:paraId="5B603494" w14:textId="77777777" w:rsidR="00C81AF3" w:rsidRDefault="00C81AF3" w:rsidP="00C81AF3">
      <w:pPr>
        <w:keepNext/>
        <w:spacing w:line="276" w:lineRule="auto"/>
        <w:ind w:left="360"/>
        <w:jc w:val="both"/>
        <w:rPr>
          <w:rFonts w:ascii="Times New Roman" w:eastAsia="Times New Roman" w:hAnsi="Times New Roman" w:cs="Times New Roman"/>
        </w:rPr>
      </w:pPr>
      <w:r>
        <w:rPr>
          <w:rFonts w:ascii="Times New Roman" w:eastAsia="Times New Roman" w:hAnsi="Times New Roman" w:cs="Times New Roman"/>
        </w:rPr>
        <w:t xml:space="preserve"> </w:t>
      </w:r>
    </w:p>
    <w:p w14:paraId="14CE0801" w14:textId="77777777" w:rsidR="00C81AF3" w:rsidRDefault="00C81AF3" w:rsidP="00C81AF3">
      <w:pPr>
        <w:keepNext/>
        <w:spacing w:line="276" w:lineRule="auto"/>
        <w:ind w:left="720" w:hanging="360"/>
        <w:jc w:val="both"/>
        <w:rPr>
          <w:rFonts w:ascii="Times New Roman" w:eastAsia="Times New Roman" w:hAnsi="Times New Roman" w:cs="Times New Roman"/>
        </w:rPr>
      </w:pPr>
      <w:r>
        <w:rPr>
          <w:rFonts w:ascii="Times New Roman" w:eastAsia="Times New Roman" w:hAnsi="Times New Roman" w:cs="Times New Roman"/>
        </w:rPr>
        <w:t>2.2</w:t>
      </w:r>
      <w:r>
        <w:rPr>
          <w:rFonts w:ascii="Times New Roman" w:eastAsia="Times New Roman" w:hAnsi="Times New Roman" w:cs="Times New Roman"/>
          <w:sz w:val="14"/>
          <w:szCs w:val="14"/>
        </w:rPr>
        <w:t xml:space="preserve">  </w:t>
      </w:r>
      <w:r>
        <w:rPr>
          <w:rFonts w:ascii="Times New Roman" w:eastAsia="Times New Roman" w:hAnsi="Times New Roman" w:cs="Times New Roman"/>
        </w:rPr>
        <w:t>Specific objectives:</w:t>
      </w:r>
    </w:p>
    <w:p w14:paraId="3F15D9F7" w14:textId="77777777" w:rsidR="00C81AF3" w:rsidRDefault="00C81AF3" w:rsidP="00C81AF3">
      <w:pPr>
        <w:keepNext/>
        <w:spacing w:line="276" w:lineRule="auto"/>
        <w:ind w:left="1080" w:hanging="360"/>
        <w:jc w:val="both"/>
        <w:rPr>
          <w:rFonts w:ascii="Times New Roman" w:eastAsia="Times New Roman" w:hAnsi="Times New Roman" w:cs="Times New Roman"/>
        </w:rPr>
      </w:pPr>
      <w:r>
        <w:rPr>
          <w:rFonts w:ascii="Times New Roman" w:eastAsia="Times New Roman" w:hAnsi="Times New Roman" w:cs="Times New Roman"/>
        </w:rPr>
        <w:t>a.</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To evaluate intraoperative ultrasound as a realtime navigation, as an adjunct in surgical excision of intra axial tumours in paediatric patients.</w:t>
      </w:r>
    </w:p>
    <w:p w14:paraId="4457BD22" w14:textId="77777777" w:rsidR="00C81AF3" w:rsidRDefault="00C81AF3" w:rsidP="00C81AF3">
      <w:pPr>
        <w:keepNext/>
        <w:spacing w:line="276" w:lineRule="auto"/>
        <w:ind w:left="1080" w:hanging="360"/>
        <w:jc w:val="both"/>
        <w:rPr>
          <w:rFonts w:ascii="Times New Roman" w:eastAsia="Times New Roman" w:hAnsi="Times New Roman" w:cs="Times New Roman"/>
        </w:rPr>
      </w:pPr>
      <w:r>
        <w:rPr>
          <w:rFonts w:ascii="Times New Roman" w:eastAsia="Times New Roman" w:hAnsi="Times New Roman" w:cs="Times New Roman"/>
        </w:rPr>
        <w:t>b.</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rPr>
        <w:t>To observe findings in post resection IOUS with post operative MRI in paediatric intra axial tumours.</w:t>
      </w:r>
    </w:p>
    <w:p w14:paraId="74FFAA79"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0F3BDE18"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3.STUDY DESIGN AND METHODOLOGY</w:t>
      </w:r>
    </w:p>
    <w:p w14:paraId="06C3F532"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26A234AA"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3.1 Study Type and Design</w:t>
      </w:r>
    </w:p>
    <w:p w14:paraId="37CB2BC2"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85A8EB1" w14:textId="77777777" w:rsidR="00C81AF3" w:rsidRDefault="00C81AF3" w:rsidP="00C81AF3">
      <w:pPr>
        <w:keepNext/>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This is a 2 years prospective observational study based in Hospital Tunku Azizah Kuala Lumpur, between 1 December 2019 until 30 November 2021, with a target sample size of 14.  This study involves paediatric patients aged &lt; 12 years old who were admitted to neuroscience ward 11C, diagnosed with intra axial axial tumours from preoperative MRI, and undergoing elective surgery for tumour resection. The general research objective is </w:t>
      </w:r>
      <w:r>
        <w:rPr>
          <w:rFonts w:ascii="Times New Roman" w:eastAsia="Times New Roman" w:hAnsi="Times New Roman" w:cs="Times New Roman"/>
          <w:sz w:val="26"/>
          <w:szCs w:val="26"/>
        </w:rPr>
        <w:t>t</w:t>
      </w:r>
      <w:r>
        <w:rPr>
          <w:rFonts w:ascii="Times New Roman" w:eastAsia="Times New Roman" w:hAnsi="Times New Roman" w:cs="Times New Roman"/>
          <w:sz w:val="22"/>
          <w:szCs w:val="22"/>
        </w:rPr>
        <w:t xml:space="preserve">o compare the correlation and reliability of the ultrasound as compared to MRI for tumour resection in paediatrics population. We also </w:t>
      </w:r>
      <w:r>
        <w:rPr>
          <w:rFonts w:ascii="Times New Roman" w:eastAsia="Times New Roman" w:hAnsi="Times New Roman" w:cs="Times New Roman"/>
        </w:rPr>
        <w:t xml:space="preserve">evaluate intraoperative ultrasound as a real-time navigation, as an adjunct in surgical excision of intra axial tumours in paediatric </w:t>
      </w:r>
      <w:r>
        <w:rPr>
          <w:rFonts w:ascii="Times New Roman" w:eastAsia="Times New Roman" w:hAnsi="Times New Roman" w:cs="Times New Roman"/>
        </w:rPr>
        <w:lastRenderedPageBreak/>
        <w:t xml:space="preserve">patients and we observe findings in post resection IOUS with early postoperative MRI that is performed within 24 -72 hours in paediatric intra axial tumours.  </w:t>
      </w:r>
    </w:p>
    <w:p w14:paraId="1520CE48" w14:textId="77777777" w:rsidR="00C81AF3" w:rsidRDefault="00C81AF3" w:rsidP="00C81AF3">
      <w:pPr>
        <w:keepNext/>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Patients who fulfil the inclusion and exclusion criteria will be recruited for this study. Patients recruited must be &lt; 12 years old, have intra axial brain tumour located in the supra tentorial or infratentorial region, undergoing elective tumour resection and have postoperative MRI within 24-72 hours post-surgery. Patients undergoing emergency tumour resection and postoperative MRI performed &gt; 72 hours post-surgery, were not recruited in this study. All recruited patients were consented by their parents and assent form was also provided for the patients. </w:t>
      </w:r>
    </w:p>
    <w:p w14:paraId="2696598E" w14:textId="77777777" w:rsidR="00C81AF3" w:rsidRDefault="00C81AF3" w:rsidP="00C81AF3">
      <w:pPr>
        <w:keepNext/>
        <w:spacing w:line="480" w:lineRule="auto"/>
        <w:ind w:firstLine="720"/>
        <w:jc w:val="both"/>
        <w:rPr>
          <w:rFonts w:ascii="Times New Roman" w:eastAsia="Times New Roman" w:hAnsi="Times New Roman" w:cs="Times New Roman"/>
        </w:rPr>
      </w:pPr>
      <w:r w:rsidRPr="00C402B9">
        <w:rPr>
          <w:rFonts w:ascii="Times New Roman" w:eastAsia="Times New Roman" w:hAnsi="Times New Roman" w:cs="Times New Roman"/>
        </w:rPr>
        <w:t xml:space="preserve">All children underwent craniotomy and microsurgical resection of tumour. Intraoperative ultrasound (Hitachi Aloka MP-2450) equipped with micro convex linear transducer was used before and after dura opening to confirm relationship of the tumour to the brain landmarks, during resection at surgeon’s discretion, at the end of the resection to confirm microsurgical impression of reaching the planned resection. Post-operative imaging was performed on a 3T Siemens MRI machine. Extent of resection was evaluated according to the latest recommendation of the International Society of Paediatric Oncology (SIOP), which integrates a surgical grading with a MRI grading. Surgical impression on resection was graded from SR0 to SR3 as follows: SR0 (complete resection), SR1 (rim-like residual), SR2 (bulky residual), SR3 (biopsy). Radiological assessment was graded MR0 to MR3: MR0 (complete resection), MR1 (rim-like residual ≤3mm), MR2 (residual &gt;3mm in any section), MR3 (residual &gt;50% of initial volume). To reduce inter-operator variability, surgery performed by three surgeons, intraoperative </w:t>
      </w:r>
      <w:r w:rsidRPr="00C402B9">
        <w:rPr>
          <w:rFonts w:ascii="Times New Roman" w:eastAsia="Times New Roman" w:hAnsi="Times New Roman" w:cs="Times New Roman"/>
        </w:rPr>
        <w:lastRenderedPageBreak/>
        <w:t>ultrasound performed by two experienced paediatric radiologists, and postoperative MRI were reviewed by 2 different paediatric radiologists.</w:t>
      </w:r>
    </w:p>
    <w:p w14:paraId="70F6554E" w14:textId="77777777" w:rsidR="00C81AF3" w:rsidRDefault="00C81AF3" w:rsidP="00C81AF3">
      <w:pPr>
        <w:keepNext/>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The radiologist accompanied the neurosurgeon during each procedure and in each of the cases, the insonation was performed prior to and after dural opening. The selected probe was draped in a sterile cover filled with sterile jelly and all air bubbles were ensured to be eliminated. Throughout the insonation procedure, sterile irrigation with saline was performed as well to ensure optimal coupling. The radiologist would adjust the probe frequency using the variable frequency probe to suitably insonate both superficial and deep structures as required. The best image showing the whole lesion was measured and the length, width, and height of the lesion measured and written down on the data collection sheet. Prior to closure as well, the resection cavity will be assessed to see any suspicious residual tumour or bleed. Once the surgeon is satisfied with the resection, the final assessment will be done and any residual tumour if any will be documented as well. </w:t>
      </w:r>
    </w:p>
    <w:p w14:paraId="35337E6F" w14:textId="77777777" w:rsidR="00C81AF3" w:rsidRDefault="00C81AF3" w:rsidP="00C81AF3">
      <w:pPr>
        <w:keepNext/>
        <w:spacing w:line="480" w:lineRule="auto"/>
        <w:ind w:firstLine="720"/>
        <w:jc w:val="both"/>
        <w:rPr>
          <w:rFonts w:ascii="Times New Roman" w:eastAsia="Times New Roman" w:hAnsi="Times New Roman" w:cs="Times New Roman"/>
        </w:rPr>
      </w:pPr>
      <w:r>
        <w:rPr>
          <w:rFonts w:ascii="Times New Roman" w:eastAsia="Times New Roman" w:hAnsi="Times New Roman" w:cs="Times New Roman"/>
        </w:rPr>
        <w:t xml:space="preserve">Utility scoring system was also employed prior to our procedure whereby we identified various parameters to reflect different aspects of the perceived utility of the </w:t>
      </w:r>
      <w:r>
        <w:rPr>
          <w:rFonts w:ascii="Times New Roman" w:eastAsia="Times New Roman" w:hAnsi="Times New Roman" w:cs="Times New Roman"/>
        </w:rPr>
        <w:lastRenderedPageBreak/>
        <w:t>IOUS. These parameters were then assessed and documented in our surgical notes. The parameters assessed include:</w:t>
      </w:r>
    </w:p>
    <w:p w14:paraId="13862DC9"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Lesion identification</w:t>
      </w:r>
    </w:p>
    <w:p w14:paraId="1D973A1C"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Lesion delineation</w:t>
      </w:r>
    </w:p>
    <w:p w14:paraId="4D9CFF97"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Utility in craniotomy modification</w:t>
      </w:r>
    </w:p>
    <w:p w14:paraId="1B061F45"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Use in durotomy planning</w:t>
      </w:r>
    </w:p>
    <w:p w14:paraId="54EA649E"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Use in corticectomy planning</w:t>
      </w:r>
    </w:p>
    <w:p w14:paraId="3F22F756"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Use for assessment of extent of resection</w:t>
      </w:r>
    </w:p>
    <w:p w14:paraId="3B777456" w14:textId="77777777" w:rsidR="00C81AF3" w:rsidRDefault="00C81AF3" w:rsidP="00C81AF3">
      <w:pPr>
        <w:keepNext/>
        <w:numPr>
          <w:ilvl w:val="0"/>
          <w:numId w:val="2"/>
        </w:num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Visualisation of adjacent structures</w:t>
      </w:r>
    </w:p>
    <w:p w14:paraId="70B6D5C4" w14:textId="77777777" w:rsidR="00C81AF3" w:rsidRDefault="00C81AF3" w:rsidP="00C81AF3">
      <w:pPr>
        <w:keepNext/>
        <w:spacing w:line="480" w:lineRule="auto"/>
        <w:jc w:val="both"/>
        <w:rPr>
          <w:rFonts w:ascii="Times New Roman" w:eastAsia="Times New Roman" w:hAnsi="Times New Roman" w:cs="Times New Roman"/>
        </w:rPr>
      </w:pPr>
    </w:p>
    <w:p w14:paraId="3133A7D5"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Each parameter was given a score of 0 (no utility) or 1 (useful). These individual scores were totalled to obtain an overall “utility score” (maximum 7 and minimum 0). This scoring system is used as a guiding tool to ensure that all the parameters were assessed intraoperatively and hence each procedure was done in a similar fashion intraoperatively. </w:t>
      </w:r>
    </w:p>
    <w:p w14:paraId="25BA51F3"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77E69A43"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As mentioned above, this is an observational study, with no intervention required. Therefore, no additional risk. Patient treatment is not affected whether they join the study or not, and study will be done in accordance to good clinical practise. Minors are recruited into the study, however an assent form will be given to participants. For those unable to consent, consent will be taken from a legal guardian.</w:t>
      </w:r>
    </w:p>
    <w:p w14:paraId="64B8E503" w14:textId="77777777" w:rsidR="00C81AF3" w:rsidRDefault="00C81AF3" w:rsidP="00C81AF3">
      <w:pPr>
        <w:keepNext/>
        <w:spacing w:line="480" w:lineRule="auto"/>
        <w:jc w:val="both"/>
        <w:rPr>
          <w:rFonts w:ascii="Times New Roman" w:eastAsia="Times New Roman" w:hAnsi="Times New Roman" w:cs="Times New Roman"/>
          <w:b/>
          <w:u w:val="single"/>
        </w:rPr>
      </w:pPr>
      <w:r>
        <w:rPr>
          <w:rFonts w:ascii="Times New Roman" w:eastAsia="Times New Roman" w:hAnsi="Times New Roman" w:cs="Times New Roman"/>
          <w:b/>
          <w:u w:val="single"/>
        </w:rPr>
        <w:t xml:space="preserve">  </w:t>
      </w:r>
    </w:p>
    <w:p w14:paraId="24369ADA" w14:textId="77777777" w:rsidR="00C81AF3" w:rsidRDefault="00C81AF3" w:rsidP="00C81AF3">
      <w:pPr>
        <w:keepNext/>
        <w:spacing w:line="480" w:lineRule="auto"/>
        <w:jc w:val="both"/>
        <w:rPr>
          <w:rFonts w:ascii="Times New Roman" w:eastAsia="Times New Roman" w:hAnsi="Times New Roman" w:cs="Times New Roman"/>
          <w:b/>
          <w:u w:val="single"/>
        </w:rPr>
      </w:pPr>
      <w:r>
        <w:br w:type="page"/>
      </w:r>
    </w:p>
    <w:p w14:paraId="5DDF7336" w14:textId="77777777" w:rsidR="00C81AF3" w:rsidRDefault="00C81AF3" w:rsidP="00C81AF3">
      <w:pPr>
        <w:keepNext/>
        <w:spacing w:line="480" w:lineRule="auto"/>
        <w:jc w:val="both"/>
        <w:rPr>
          <w:rFonts w:ascii="Times New Roman" w:eastAsia="Times New Roman" w:hAnsi="Times New Roman" w:cs="Times New Roman"/>
          <w:b/>
          <w:u w:val="single"/>
        </w:rPr>
      </w:pPr>
      <w:r>
        <w:rPr>
          <w:rFonts w:ascii="Times New Roman" w:eastAsia="Times New Roman" w:hAnsi="Times New Roman" w:cs="Times New Roman"/>
          <w:b/>
          <w:u w:val="single"/>
        </w:rPr>
        <w:lastRenderedPageBreak/>
        <w:t>Flow chart for methodology</w:t>
      </w:r>
    </w:p>
    <w:p w14:paraId="6053CC89"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noProof/>
        </w:rPr>
        <w:drawing>
          <wp:inline distT="114300" distB="114300" distL="114300" distR="114300" wp14:anchorId="3B344985" wp14:editId="5FF550CA">
            <wp:extent cx="4991100" cy="7419975"/>
            <wp:effectExtent l="0" t="0" r="0" b="0"/>
            <wp:docPr id="57" name="image5.png" descr="A diagram of a patient's surgery&#10;&#10;Description automatically generated"/>
            <wp:cNvGraphicFramePr/>
            <a:graphic xmlns:a="http://schemas.openxmlformats.org/drawingml/2006/main">
              <a:graphicData uri="http://schemas.openxmlformats.org/drawingml/2006/picture">
                <pic:pic xmlns:pic="http://schemas.openxmlformats.org/drawingml/2006/picture">
                  <pic:nvPicPr>
                    <pic:cNvPr id="57" name="image5.png" descr="A diagram of a patient's surgery&#10;&#10;Description automatically generated"/>
                    <pic:cNvPicPr preferRelativeResize="0"/>
                  </pic:nvPicPr>
                  <pic:blipFill>
                    <a:blip r:embed="rId8"/>
                    <a:srcRect/>
                    <a:stretch>
                      <a:fillRect/>
                    </a:stretch>
                  </pic:blipFill>
                  <pic:spPr>
                    <a:xfrm>
                      <a:off x="0" y="0"/>
                      <a:ext cx="4991100" cy="7419975"/>
                    </a:xfrm>
                    <a:prstGeom prst="rect">
                      <a:avLst/>
                    </a:prstGeom>
                    <a:ln/>
                  </pic:spPr>
                </pic:pic>
              </a:graphicData>
            </a:graphic>
          </wp:inline>
        </w:drawing>
      </w:r>
    </w:p>
    <w:p w14:paraId="09DA8F85" w14:textId="77777777" w:rsidR="00C81AF3" w:rsidRDefault="00C81AF3" w:rsidP="00C81AF3">
      <w:pPr>
        <w:keepNext/>
        <w:spacing w:line="480" w:lineRule="auto"/>
        <w:jc w:val="both"/>
        <w:rPr>
          <w:rFonts w:ascii="Times New Roman" w:eastAsia="Times New Roman" w:hAnsi="Times New Roman" w:cs="Times New Roman"/>
          <w:b/>
        </w:rPr>
      </w:pPr>
      <w:r>
        <w:br w:type="page"/>
      </w:r>
    </w:p>
    <w:p w14:paraId="20C09C70"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3.2 Study Population</w:t>
      </w:r>
    </w:p>
    <w:p w14:paraId="183E343B"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Paediatric patients undergoing elective surgery for intra axial tumour resection in Hospital Tunku Azizah during the period 1 Dec 2019- 30 Nov 2021</w:t>
      </w:r>
    </w:p>
    <w:p w14:paraId="2566701C" w14:textId="77777777" w:rsidR="00C81AF3" w:rsidRDefault="00C81AF3" w:rsidP="00C81AF3">
      <w:pPr>
        <w:keepNext/>
        <w:spacing w:line="480" w:lineRule="auto"/>
        <w:jc w:val="both"/>
        <w:rPr>
          <w:rFonts w:ascii="Times New Roman" w:eastAsia="Times New Roman" w:hAnsi="Times New Roman" w:cs="Times New Roman"/>
          <w:b/>
          <w:i/>
        </w:rPr>
      </w:pPr>
      <w:r>
        <w:rPr>
          <w:rFonts w:ascii="Times New Roman" w:eastAsia="Times New Roman" w:hAnsi="Times New Roman" w:cs="Times New Roman"/>
          <w:b/>
          <w:i/>
        </w:rPr>
        <w:t xml:space="preserve"> </w:t>
      </w:r>
    </w:p>
    <w:p w14:paraId="65E7B03F"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3.3 Inclusion Criteria </w:t>
      </w:r>
    </w:p>
    <w:p w14:paraId="04614512"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Age:                        </w:t>
      </w:r>
      <w:r>
        <w:rPr>
          <w:rFonts w:ascii="Times New Roman" w:eastAsia="Times New Roman" w:hAnsi="Times New Roman" w:cs="Times New Roman"/>
        </w:rPr>
        <w:tab/>
        <w:t xml:space="preserve">        </w:t>
      </w:r>
      <w:r>
        <w:rPr>
          <w:rFonts w:ascii="Times New Roman" w:eastAsia="Times New Roman" w:hAnsi="Times New Roman" w:cs="Times New Roman"/>
        </w:rPr>
        <w:tab/>
        <w:t>&lt; 12 years old</w:t>
      </w:r>
    </w:p>
    <w:p w14:paraId="22A37166"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Tumor location:                  </w:t>
      </w:r>
      <w:r>
        <w:rPr>
          <w:rFonts w:ascii="Times New Roman" w:eastAsia="Times New Roman" w:hAnsi="Times New Roman" w:cs="Times New Roman"/>
        </w:rPr>
        <w:tab/>
        <w:t>Supra tentorial and infra tentorial; intra axial</w:t>
      </w:r>
    </w:p>
    <w:p w14:paraId="73420FD2"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Type of surgery:     </w:t>
      </w:r>
      <w:r>
        <w:rPr>
          <w:rFonts w:ascii="Times New Roman" w:eastAsia="Times New Roman" w:hAnsi="Times New Roman" w:cs="Times New Roman"/>
        </w:rPr>
        <w:tab/>
        <w:t xml:space="preserve">        </w:t>
      </w:r>
      <w:r>
        <w:rPr>
          <w:rFonts w:ascii="Times New Roman" w:eastAsia="Times New Roman" w:hAnsi="Times New Roman" w:cs="Times New Roman"/>
        </w:rPr>
        <w:tab/>
        <w:t>Elective</w:t>
      </w:r>
    </w:p>
    <w:p w14:paraId="4865ED37"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Post operative MRI:            </w:t>
      </w:r>
      <w:r>
        <w:rPr>
          <w:rFonts w:ascii="Times New Roman" w:eastAsia="Times New Roman" w:hAnsi="Times New Roman" w:cs="Times New Roman"/>
        </w:rPr>
        <w:tab/>
        <w:t>24-72 hours</w:t>
      </w:r>
    </w:p>
    <w:p w14:paraId="094A2FA0" w14:textId="77777777" w:rsidR="00C81AF3" w:rsidRDefault="00C81AF3" w:rsidP="00C81AF3">
      <w:pPr>
        <w:keepNext/>
        <w:spacing w:line="480" w:lineRule="auto"/>
        <w:jc w:val="both"/>
        <w:rPr>
          <w:rFonts w:ascii="Times New Roman" w:eastAsia="Times New Roman" w:hAnsi="Times New Roman" w:cs="Times New Roman"/>
          <w:b/>
          <w:i/>
        </w:rPr>
      </w:pPr>
      <w:r>
        <w:rPr>
          <w:rFonts w:ascii="Times New Roman" w:eastAsia="Times New Roman" w:hAnsi="Times New Roman" w:cs="Times New Roman"/>
          <w:b/>
          <w:i/>
        </w:rPr>
        <w:t xml:space="preserve"> </w:t>
      </w:r>
    </w:p>
    <w:p w14:paraId="7E11BC07"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3.4 Exclusion Criteria</w:t>
      </w:r>
    </w:p>
    <w:p w14:paraId="09674D82"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Type of surgery:                 </w:t>
      </w:r>
      <w:r>
        <w:rPr>
          <w:rFonts w:ascii="Times New Roman" w:eastAsia="Times New Roman" w:hAnsi="Times New Roman" w:cs="Times New Roman"/>
        </w:rPr>
        <w:tab/>
        <w:t>Emergency</w:t>
      </w:r>
    </w:p>
    <w:p w14:paraId="5B153C88"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Post operative MRI:            </w:t>
      </w:r>
      <w:r>
        <w:rPr>
          <w:rFonts w:ascii="Times New Roman" w:eastAsia="Times New Roman" w:hAnsi="Times New Roman" w:cs="Times New Roman"/>
        </w:rPr>
        <w:tab/>
        <w:t>&gt; 72 hours post surgery</w:t>
      </w:r>
    </w:p>
    <w:p w14:paraId="58C0121C"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5B839ACE"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3.5 Withdrawal Criteria </w:t>
      </w:r>
    </w:p>
    <w:p w14:paraId="62D6BA7C"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The subject or their parents are allowed to withdraw from this study at any point of time. If at any point of time, the subject or their parents would like to drop out of this study, their treatment will not be affected.</w:t>
      </w:r>
    </w:p>
    <w:p w14:paraId="62BD053B"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087E8EA4"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3.6 Sample Size </w:t>
      </w:r>
    </w:p>
    <w:p w14:paraId="7A32D3C2"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Sample size estimation was calculated using a single correlation formula. Prior data by Sweeney et al. in </w:t>
      </w:r>
      <w:r>
        <w:rPr>
          <w:rFonts w:ascii="Times New Roman" w:eastAsia="Times New Roman" w:hAnsi="Times New Roman" w:cs="Times New Roman"/>
          <w:i/>
        </w:rPr>
        <w:t>Efficacy of intraoperative ultrasonography in neurosurgical tumour resection</w:t>
      </w:r>
      <w:r>
        <w:rPr>
          <w:rFonts w:ascii="Times New Roman" w:eastAsia="Times New Roman" w:hAnsi="Times New Roman" w:cs="Times New Roman"/>
        </w:rPr>
        <w:t xml:space="preserve">, indicate that the correlation coefficient between IOUS and post operative MRI was 0.693. Thus, a minimum sample size of 14 samples to be able to reject the null hypothesis with probability (power) 0.8. The Type I error probability associated with this </w:t>
      </w:r>
      <w:r>
        <w:rPr>
          <w:rFonts w:ascii="Times New Roman" w:eastAsia="Times New Roman" w:hAnsi="Times New Roman" w:cs="Times New Roman"/>
        </w:rPr>
        <w:lastRenderedPageBreak/>
        <w:t>test of this null hypothesis is 0.05. Pearson's product-moment correlation will be used to evaluate this null hypothesis.</w:t>
      </w:r>
    </w:p>
    <w:p w14:paraId="0AF2C3CC" w14:textId="77777777" w:rsidR="00C81AF3" w:rsidRDefault="00C81AF3" w:rsidP="00C81AF3">
      <w:pPr>
        <w:keepNext/>
        <w:spacing w:line="480" w:lineRule="auto"/>
        <w:jc w:val="both"/>
        <w:rPr>
          <w:rFonts w:ascii="Times New Roman" w:eastAsia="Times New Roman" w:hAnsi="Times New Roman" w:cs="Times New Roman"/>
          <w:highlight w:val="yellow"/>
        </w:rPr>
      </w:pPr>
      <w:r>
        <w:rPr>
          <w:rFonts w:ascii="Times New Roman" w:eastAsia="Times New Roman" w:hAnsi="Times New Roman" w:cs="Times New Roman"/>
          <w:highlight w:val="yellow"/>
        </w:rPr>
        <w:t xml:space="preserve"> </w:t>
      </w:r>
      <w:r>
        <w:rPr>
          <w:rFonts w:ascii="Times New Roman" w:eastAsia="Times New Roman" w:hAnsi="Times New Roman" w:cs="Times New Roman"/>
          <w:noProof/>
          <w:highlight w:val="yellow"/>
        </w:rPr>
        <w:drawing>
          <wp:inline distT="114300" distB="114300" distL="114300" distR="114300" wp14:anchorId="612932E4" wp14:editId="0492490C">
            <wp:extent cx="3935413" cy="1554731"/>
            <wp:effectExtent l="0" t="0" r="0" b="0"/>
            <wp:docPr id="56" name="image8.png" descr="A math equations and formula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6" name="image8.png" descr="A math equations and formulas&#10;&#10;Description automatically generated with medium confidence"/>
                    <pic:cNvPicPr preferRelativeResize="0"/>
                  </pic:nvPicPr>
                  <pic:blipFill>
                    <a:blip r:embed="rId9"/>
                    <a:srcRect/>
                    <a:stretch>
                      <a:fillRect/>
                    </a:stretch>
                  </pic:blipFill>
                  <pic:spPr>
                    <a:xfrm>
                      <a:off x="0" y="0"/>
                      <a:ext cx="3935413" cy="1554731"/>
                    </a:xfrm>
                    <a:prstGeom prst="rect">
                      <a:avLst/>
                    </a:prstGeom>
                    <a:ln/>
                  </pic:spPr>
                </pic:pic>
              </a:graphicData>
            </a:graphic>
          </wp:inline>
        </w:drawing>
      </w:r>
    </w:p>
    <w:p w14:paraId="1E4E2893" w14:textId="77777777" w:rsidR="00C81AF3" w:rsidRDefault="00C81AF3" w:rsidP="00C81AF3">
      <w:pPr>
        <w:keepNext/>
        <w:spacing w:line="480" w:lineRule="auto"/>
        <w:jc w:val="both"/>
        <w:rPr>
          <w:rFonts w:ascii="Times New Roman" w:eastAsia="Times New Roman" w:hAnsi="Times New Roman" w:cs="Times New Roman"/>
          <w:highlight w:val="yellow"/>
        </w:rPr>
      </w:pPr>
      <w:r>
        <w:rPr>
          <w:rFonts w:ascii="Times New Roman" w:eastAsia="Times New Roman" w:hAnsi="Times New Roman" w:cs="Times New Roman"/>
          <w:highlight w:val="yellow"/>
        </w:rPr>
        <w:t xml:space="preserve"> </w:t>
      </w:r>
      <w:r>
        <w:rPr>
          <w:rFonts w:ascii="Times New Roman" w:eastAsia="Times New Roman" w:hAnsi="Times New Roman" w:cs="Times New Roman"/>
          <w:noProof/>
          <w:highlight w:val="yellow"/>
        </w:rPr>
        <w:drawing>
          <wp:inline distT="114300" distB="114300" distL="114300" distR="114300" wp14:anchorId="7B08FA44" wp14:editId="227609A7">
            <wp:extent cx="2309281" cy="2614741"/>
            <wp:effectExtent l="0" t="0" r="0" b="0"/>
            <wp:docPr id="59" name="image1.png" descr="A screenshot of a math problem&#10;&#10;Description automatically generated"/>
            <wp:cNvGraphicFramePr/>
            <a:graphic xmlns:a="http://schemas.openxmlformats.org/drawingml/2006/main">
              <a:graphicData uri="http://schemas.openxmlformats.org/drawingml/2006/picture">
                <pic:pic xmlns:pic="http://schemas.openxmlformats.org/drawingml/2006/picture">
                  <pic:nvPicPr>
                    <pic:cNvPr id="59" name="image1.png" descr="A screenshot of a math problem&#10;&#10;Description automatically generated"/>
                    <pic:cNvPicPr preferRelativeResize="0"/>
                  </pic:nvPicPr>
                  <pic:blipFill>
                    <a:blip r:embed="rId10"/>
                    <a:srcRect/>
                    <a:stretch>
                      <a:fillRect/>
                    </a:stretch>
                  </pic:blipFill>
                  <pic:spPr>
                    <a:xfrm>
                      <a:off x="0" y="0"/>
                      <a:ext cx="2309281" cy="2614741"/>
                    </a:xfrm>
                    <a:prstGeom prst="rect">
                      <a:avLst/>
                    </a:prstGeom>
                    <a:ln/>
                  </pic:spPr>
                </pic:pic>
              </a:graphicData>
            </a:graphic>
          </wp:inline>
        </w:drawing>
      </w:r>
    </w:p>
    <w:p w14:paraId="37776379" w14:textId="77777777" w:rsidR="00C81AF3" w:rsidRDefault="00C81AF3" w:rsidP="00C81AF3">
      <w:pPr>
        <w:keepNext/>
        <w:spacing w:after="200" w:line="276" w:lineRule="auto"/>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 </w:t>
      </w:r>
    </w:p>
    <w:p w14:paraId="7A2FEB26"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3.7 Study Duration and Timeline</w:t>
      </w:r>
    </w:p>
    <w:p w14:paraId="1B5D1AFA"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noProof/>
        </w:rPr>
        <w:drawing>
          <wp:inline distT="114300" distB="114300" distL="114300" distR="114300" wp14:anchorId="255D0464" wp14:editId="7C7E370F">
            <wp:extent cx="4821238" cy="2763496"/>
            <wp:effectExtent l="0" t="0" r="0" b="0"/>
            <wp:docPr id="58" name="image13.png" descr="A graph with different colored squar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58" name="image13.png" descr="A graph with different colored squares&#10;&#10;Description automatically generated with medium confidence"/>
                    <pic:cNvPicPr preferRelativeResize="0"/>
                  </pic:nvPicPr>
                  <pic:blipFill>
                    <a:blip r:embed="rId11"/>
                    <a:srcRect/>
                    <a:stretch>
                      <a:fillRect/>
                    </a:stretch>
                  </pic:blipFill>
                  <pic:spPr>
                    <a:xfrm>
                      <a:off x="0" y="0"/>
                      <a:ext cx="4821238" cy="2763496"/>
                    </a:xfrm>
                    <a:prstGeom prst="rect">
                      <a:avLst/>
                    </a:prstGeom>
                    <a:ln/>
                  </pic:spPr>
                </pic:pic>
              </a:graphicData>
            </a:graphic>
          </wp:inline>
        </w:drawing>
      </w:r>
    </w:p>
    <w:p w14:paraId="5DE09A32"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3.8 Study Visits and Procedures</w:t>
      </w:r>
    </w:p>
    <w:p w14:paraId="0C8864E8"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Study will be done only at Hospital Tunku Azizah</w:t>
      </w:r>
    </w:p>
    <w:p w14:paraId="6793CB9B"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2BF6E369"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3.9 Statistical Analysis Plan</w:t>
      </w:r>
    </w:p>
    <w:p w14:paraId="397EEE6A" w14:textId="77777777" w:rsidR="00C81AF3" w:rsidRDefault="00C81AF3" w:rsidP="00C81AF3">
      <w:pPr>
        <w:keepNext/>
        <w:spacing w:line="480" w:lineRule="auto"/>
        <w:ind w:left="-60"/>
        <w:jc w:val="both"/>
        <w:rPr>
          <w:rFonts w:ascii="Times New Roman" w:eastAsia="Times New Roman" w:hAnsi="Times New Roman" w:cs="Times New Roman"/>
        </w:rPr>
      </w:pPr>
      <w:r>
        <w:rPr>
          <w:rFonts w:ascii="Times New Roman" w:eastAsia="Times New Roman" w:hAnsi="Times New Roman" w:cs="Times New Roman"/>
        </w:rPr>
        <w:t xml:space="preserve">Statistical analyses will be performed using Statistical Package for Social Sciences for Windows (SPSS, Chicago, IL, USA).Data collected will be tabulated and the agreement between intraoperative ultrasound and post operative MRI will be measured with Fleiss’ kappa agreement. Categorical variables are shown as numbers (with percentages) and continuous variables are shown as absolute numbers and percentages OR (mean ±standard deviation or median (interquartile range) unless otherwise stated.) Concordance analysis would then be interpreted as high, moderate or disagreement of k. </w:t>
      </w:r>
    </w:p>
    <w:p w14:paraId="558D25FC"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22F70758"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3.10</w:t>
      </w:r>
      <w:r>
        <w:rPr>
          <w:rFonts w:ascii="Times New Roman" w:eastAsia="Times New Roman" w:hAnsi="Times New Roman" w:cs="Times New Roman"/>
          <w:b/>
          <w:i/>
        </w:rPr>
        <w:t xml:space="preserve"> </w:t>
      </w:r>
      <w:r>
        <w:rPr>
          <w:rFonts w:ascii="Times New Roman" w:eastAsia="Times New Roman" w:hAnsi="Times New Roman" w:cs="Times New Roman"/>
          <w:b/>
        </w:rPr>
        <w:t>Risk and benefit to study participants</w:t>
      </w:r>
    </w:p>
    <w:p w14:paraId="79E189CA" w14:textId="77777777" w:rsidR="00C81AF3" w:rsidRDefault="00C81AF3" w:rsidP="00C81AF3">
      <w:pPr>
        <w:spacing w:line="480" w:lineRule="auto"/>
        <w:jc w:val="both"/>
        <w:rPr>
          <w:rFonts w:ascii="Times New Roman" w:eastAsia="Times New Roman" w:hAnsi="Times New Roman" w:cs="Times New Roman"/>
        </w:rPr>
      </w:pPr>
      <w:r>
        <w:rPr>
          <w:rFonts w:ascii="Times New Roman" w:eastAsia="Times New Roman" w:hAnsi="Times New Roman" w:cs="Times New Roman"/>
        </w:rPr>
        <w:t>As stated in the literature above, there will be no extra risks on the subject, as well as added surgery time is low with minimal technical difficulties. As mentioned in the literature review above, Sweeney et. al mentioned that real-time navigation from IOUS will aid in resection and this is specifically important in paediatric tumours as it is well documented that outcome relies on the extent of tumour resection. Apart from guiding the neurosurgeon in gross total resection, intraoperative ultrasound could determine important borders and it is less time consuming as compared to other modalities especially intraoperative MRI, also a much more economical modality.</w:t>
      </w:r>
    </w:p>
    <w:p w14:paraId="5C700DE1" w14:textId="77777777" w:rsidR="00C81AF3" w:rsidRDefault="00C81AF3" w:rsidP="00C81AF3">
      <w:pPr>
        <w:spacing w:line="480" w:lineRule="auto"/>
        <w:jc w:val="both"/>
        <w:rPr>
          <w:rFonts w:ascii="Times New Roman" w:eastAsia="Times New Roman" w:hAnsi="Times New Roman" w:cs="Times New Roman"/>
        </w:rPr>
      </w:pPr>
    </w:p>
    <w:p w14:paraId="51D1688C" w14:textId="77777777" w:rsidR="00C81AF3" w:rsidRDefault="00C81AF3" w:rsidP="00C81AF3">
      <w:pPr>
        <w:spacing w:line="480" w:lineRule="auto"/>
        <w:jc w:val="both"/>
        <w:rPr>
          <w:rFonts w:ascii="Times New Roman" w:eastAsia="Times New Roman" w:hAnsi="Times New Roman" w:cs="Times New Roman"/>
        </w:rPr>
      </w:pPr>
      <w:r>
        <w:rPr>
          <w:rFonts w:ascii="Times New Roman" w:eastAsia="Times New Roman" w:hAnsi="Times New Roman" w:cs="Times New Roman"/>
          <w:b/>
        </w:rPr>
        <w:t>3.11 Risk Benefit Assessment</w:t>
      </w:r>
      <w:r>
        <w:rPr>
          <w:rFonts w:ascii="Times New Roman" w:eastAsia="Times New Roman" w:hAnsi="Times New Roman" w:cs="Times New Roman"/>
        </w:rPr>
        <w:t xml:space="preserve"> </w:t>
      </w:r>
    </w:p>
    <w:p w14:paraId="69A4ADB4" w14:textId="77777777" w:rsidR="00C81AF3" w:rsidRDefault="00C81AF3" w:rsidP="00C81AF3">
      <w:pPr>
        <w:spacing w:line="480" w:lineRule="auto"/>
        <w:jc w:val="both"/>
        <w:rPr>
          <w:rFonts w:ascii="Times New Roman" w:eastAsia="Times New Roman" w:hAnsi="Times New Roman" w:cs="Times New Roman"/>
        </w:rPr>
      </w:pPr>
      <w:r>
        <w:rPr>
          <w:rFonts w:ascii="Times New Roman" w:eastAsia="Times New Roman" w:hAnsi="Times New Roman" w:cs="Times New Roman"/>
        </w:rPr>
        <w:t>As mentioned in 3.10 the benefit outweighs risk, we hope this study can be approved.</w:t>
      </w:r>
    </w:p>
    <w:p w14:paraId="6DA8D357" w14:textId="77777777" w:rsidR="00C81AF3" w:rsidRPr="00BC3B01"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 </w:t>
      </w:r>
      <w:r>
        <w:rPr>
          <w:rFonts w:ascii="Times New Roman" w:eastAsia="Times New Roman" w:hAnsi="Times New Roman" w:cs="Times New Roman"/>
          <w:b/>
        </w:rPr>
        <w:t>3.12 Ethics of Study</w:t>
      </w:r>
    </w:p>
    <w:p w14:paraId="00C0A19A"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Study will be conducted in compliance with ethical principles outlined in the Declaration of Helsinki and Malaysian Good Clinical Practice Guideline</w:t>
      </w:r>
    </w:p>
    <w:p w14:paraId="7904411F"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3433A99"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3.13 Informed Consent/Assent Process</w:t>
      </w:r>
    </w:p>
    <w:p w14:paraId="352BDA05"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Patients and their parents will be informed of the study during pre-operative assessment on admission. Risk and benefits explained and they are allowed to ask additional questions and if they would like to bring back to discuss on this study with family members, they are allowed to do so.  If they are willing to participate (in this case via the consent of their parents) consent/ assent will be obtained.</w:t>
      </w:r>
    </w:p>
    <w:p w14:paraId="6E57D4DE"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A8E4DCC"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3.14 Privacy and Confidentiality</w:t>
      </w:r>
    </w:p>
    <w:p w14:paraId="004B5C69"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Subject’s names will be kept on a password-protected database and will be linked only with a study identification number for this research. The identification number instead of patient identifiers will be used on subject data sheets. All data will be entered into a computer that is password-protected. On completion of the study, data in the computer will be copied to external hard drive and the data in the computer erased. External hard drive and any hardcopy data will be stored in locked offices of the investigators and maintained for a minimum of three years and a maximum of twelve years after the completion of the study, after which period the study data will be destroyed. Subjects will not be allowed to view their personal information and study data, as the data will be consolidated into a database. Subjects can write to the investigators to request access to study findings.</w:t>
      </w:r>
    </w:p>
    <w:p w14:paraId="6624DEB1"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2F800F22" w14:textId="77777777" w:rsidR="00C81AF3" w:rsidRDefault="00C81AF3" w:rsidP="00C81AF3">
      <w:pPr>
        <w:keepNext/>
        <w:spacing w:line="480" w:lineRule="auto"/>
        <w:jc w:val="both"/>
        <w:rPr>
          <w:rFonts w:ascii="Times New Roman" w:eastAsia="Times New Roman" w:hAnsi="Times New Roman" w:cs="Times New Roman"/>
          <w:b/>
        </w:rPr>
      </w:pPr>
      <w:r>
        <w:br w:type="page"/>
      </w:r>
    </w:p>
    <w:p w14:paraId="5ED1639E"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3.15 Conflict of Interest</w:t>
      </w:r>
    </w:p>
    <w:p w14:paraId="21E77D31"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The investigators declare they have no conflict of interest.</w:t>
      </w:r>
    </w:p>
    <w:p w14:paraId="48BA7DA4"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572E94D"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3.16 Publication Policy</w:t>
      </w:r>
    </w:p>
    <w:p w14:paraId="146CF7F5"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No personal information will be disclosed, and subjects will not be identified when the findings of the survey are published.</w:t>
      </w:r>
    </w:p>
    <w:p w14:paraId="33712255"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163EF6CA"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3.17 Termination of Study</w:t>
      </w:r>
    </w:p>
    <w:p w14:paraId="088E6A0B" w14:textId="77777777" w:rsidR="00C81AF3" w:rsidRDefault="00C81AF3" w:rsidP="00C81AF3">
      <w:pPr>
        <w:keepNext/>
        <w:spacing w:line="480" w:lineRule="auto"/>
        <w:jc w:val="both"/>
        <w:rPr>
          <w:rFonts w:ascii="Times New Roman" w:eastAsia="Times New Roman" w:hAnsi="Times New Roman" w:cs="Times New Roman"/>
        </w:rPr>
      </w:pPr>
      <w:r>
        <w:rPr>
          <w:rFonts w:ascii="Times New Roman" w:eastAsia="Times New Roman" w:hAnsi="Times New Roman" w:cs="Times New Roman"/>
        </w:rPr>
        <w:t>The researcher may decide to terminate the study at any time if there is any unforeseen adverse event. Subjects will be informed if the study is terminated, however post-operative follow-up visits will be arranged as per practice.</w:t>
      </w:r>
    </w:p>
    <w:p w14:paraId="5A86E67C" w14:textId="77777777" w:rsidR="00C81AF3" w:rsidRDefault="00C81AF3" w:rsidP="00C81AF3">
      <w:pPr>
        <w:keepNext/>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04450F9F" w14:textId="77777777" w:rsidR="00C81AF3" w:rsidRDefault="00C81AF3" w:rsidP="00C81AF3">
      <w:pPr>
        <w:spacing w:line="480" w:lineRule="auto"/>
        <w:jc w:val="both"/>
        <w:rPr>
          <w:rFonts w:ascii="Times New Roman" w:eastAsia="Times New Roman" w:hAnsi="Times New Roman" w:cs="Times New Roman"/>
          <w:b/>
        </w:rPr>
      </w:pPr>
      <w:r>
        <w:br w:type="page"/>
      </w:r>
    </w:p>
    <w:p w14:paraId="687501CE" w14:textId="77777777" w:rsidR="00C81AF3" w:rsidRDefault="00C81AF3" w:rsidP="00C81AF3">
      <w:pPr>
        <w:spacing w:line="480" w:lineRule="auto"/>
        <w:jc w:val="both"/>
        <w:rPr>
          <w:rFonts w:ascii="Times New Roman" w:eastAsia="Times New Roman" w:hAnsi="Times New Roman" w:cs="Times New Roman"/>
          <w:b/>
        </w:rPr>
      </w:pPr>
      <w:r>
        <w:rPr>
          <w:rFonts w:ascii="Times New Roman" w:eastAsia="Times New Roman" w:hAnsi="Times New Roman" w:cs="Times New Roman"/>
          <w:b/>
        </w:rPr>
        <w:lastRenderedPageBreak/>
        <w:t>4.0 REFERENCES</w:t>
      </w:r>
    </w:p>
    <w:p w14:paraId="6BD31AC5"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Sweeney, J. F., Smith, H., Taplin, A. L., Perloff, E., &amp; Adamo, M. A. (2018). Efficacy of intraoperative ultrasonography in neurosurgical tumour resection. </w:t>
      </w:r>
      <w:r>
        <w:rPr>
          <w:rFonts w:ascii="Times New Roman" w:eastAsia="Times New Roman" w:hAnsi="Times New Roman" w:cs="Times New Roman"/>
          <w:i/>
        </w:rPr>
        <w:t>Journal of Neurosurgery: Pediatrics</w:t>
      </w:r>
      <w:r>
        <w:rPr>
          <w:rFonts w:ascii="Times New Roman" w:eastAsia="Times New Roman" w:hAnsi="Times New Roman" w:cs="Times New Roman"/>
        </w:rPr>
        <w:t xml:space="preserve">, </w:t>
      </w:r>
      <w:r>
        <w:rPr>
          <w:rFonts w:ascii="Times New Roman" w:eastAsia="Times New Roman" w:hAnsi="Times New Roman" w:cs="Times New Roman"/>
          <w:b/>
        </w:rPr>
        <w:t>21</w:t>
      </w:r>
      <w:r>
        <w:rPr>
          <w:rFonts w:ascii="Times New Roman" w:eastAsia="Times New Roman" w:hAnsi="Times New Roman" w:cs="Times New Roman"/>
        </w:rPr>
        <w:t>(</w:t>
      </w:r>
      <w:r>
        <w:rPr>
          <w:rFonts w:ascii="Times New Roman" w:eastAsia="Times New Roman" w:hAnsi="Times New Roman" w:cs="Times New Roman"/>
          <w:b/>
        </w:rPr>
        <w:t>5</w:t>
      </w:r>
      <w:r>
        <w:rPr>
          <w:rFonts w:ascii="Times New Roman" w:eastAsia="Times New Roman" w:hAnsi="Times New Roman" w:cs="Times New Roman"/>
        </w:rPr>
        <w:t xml:space="preserve">), 504–510. </w:t>
      </w:r>
    </w:p>
    <w:p w14:paraId="1CB6D6BA"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Nagaty, A., Elsabaa, A., &amp; Anwer, H. (2019). Efficacy of Intraoperative Ultrasound in Resection of Posterior Fossa Lesions. </w:t>
      </w:r>
      <w:r>
        <w:rPr>
          <w:rFonts w:ascii="Times New Roman" w:eastAsia="Times New Roman" w:hAnsi="Times New Roman" w:cs="Times New Roman"/>
          <w:i/>
        </w:rPr>
        <w:t>International Journal of Neurosurgery</w:t>
      </w:r>
      <w:r>
        <w:rPr>
          <w:rFonts w:ascii="Times New Roman" w:eastAsia="Times New Roman" w:hAnsi="Times New Roman" w:cs="Times New Roman"/>
        </w:rPr>
        <w:t xml:space="preserve">, </w:t>
      </w:r>
      <w:r>
        <w:rPr>
          <w:rFonts w:ascii="Times New Roman" w:eastAsia="Times New Roman" w:hAnsi="Times New Roman" w:cs="Times New Roman"/>
          <w:b/>
        </w:rPr>
        <w:t>3</w:t>
      </w:r>
      <w:r>
        <w:rPr>
          <w:rFonts w:ascii="Times New Roman" w:eastAsia="Times New Roman" w:hAnsi="Times New Roman" w:cs="Times New Roman"/>
        </w:rPr>
        <w:t>(</w:t>
      </w:r>
      <w:r>
        <w:rPr>
          <w:rFonts w:ascii="Times New Roman" w:eastAsia="Times New Roman" w:hAnsi="Times New Roman" w:cs="Times New Roman"/>
          <w:b/>
        </w:rPr>
        <w:t>2</w:t>
      </w:r>
      <w:r>
        <w:rPr>
          <w:rFonts w:ascii="Times New Roman" w:eastAsia="Times New Roman" w:hAnsi="Times New Roman" w:cs="Times New Roman"/>
        </w:rPr>
        <w:t xml:space="preserve">), 13. </w:t>
      </w:r>
    </w:p>
    <w:p w14:paraId="2D586B6C"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Cheon, J. E. (2015). Intraoperative neurosonography revisited: Effective neuronavigation in pediatric neurosurgery. </w:t>
      </w:r>
      <w:r>
        <w:rPr>
          <w:rFonts w:ascii="Times New Roman" w:eastAsia="Times New Roman" w:hAnsi="Times New Roman" w:cs="Times New Roman"/>
          <w:i/>
        </w:rPr>
        <w:t>Ultrasonography</w:t>
      </w:r>
      <w:r>
        <w:rPr>
          <w:rFonts w:ascii="Times New Roman" w:eastAsia="Times New Roman" w:hAnsi="Times New Roman" w:cs="Times New Roman"/>
        </w:rPr>
        <w:t xml:space="preserve">, </w:t>
      </w:r>
      <w:r>
        <w:rPr>
          <w:rFonts w:ascii="Times New Roman" w:eastAsia="Times New Roman" w:hAnsi="Times New Roman" w:cs="Times New Roman"/>
          <w:b/>
        </w:rPr>
        <w:t>34</w:t>
      </w:r>
      <w:r>
        <w:rPr>
          <w:rFonts w:ascii="Times New Roman" w:eastAsia="Times New Roman" w:hAnsi="Times New Roman" w:cs="Times New Roman"/>
        </w:rPr>
        <w:t>(</w:t>
      </w:r>
      <w:r>
        <w:rPr>
          <w:rFonts w:ascii="Times New Roman" w:eastAsia="Times New Roman" w:hAnsi="Times New Roman" w:cs="Times New Roman"/>
          <w:b/>
        </w:rPr>
        <w:t>2</w:t>
      </w:r>
      <w:r>
        <w:rPr>
          <w:rFonts w:ascii="Times New Roman" w:eastAsia="Times New Roman" w:hAnsi="Times New Roman" w:cs="Times New Roman"/>
        </w:rPr>
        <w:t xml:space="preserve">), 79–87. </w:t>
      </w:r>
    </w:p>
    <w:p w14:paraId="341DDD82"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Moiyadi A. V., Shetty P. and Degaonkar A. (2017). Resection of pediatric brain tumours: Intraoperative ultrasound revisited. </w:t>
      </w:r>
      <w:r>
        <w:rPr>
          <w:rFonts w:ascii="Times New Roman" w:eastAsia="Times New Roman" w:hAnsi="Times New Roman" w:cs="Times New Roman"/>
          <w:i/>
        </w:rPr>
        <w:t>JNS Pediatrics</w:t>
      </w:r>
      <w:r>
        <w:rPr>
          <w:rFonts w:ascii="Times New Roman" w:eastAsia="Times New Roman" w:hAnsi="Times New Roman" w:cs="Times New Roman"/>
        </w:rPr>
        <w:t xml:space="preserve">, </w:t>
      </w:r>
      <w:r>
        <w:rPr>
          <w:rFonts w:ascii="Times New Roman" w:eastAsia="Times New Roman" w:hAnsi="Times New Roman" w:cs="Times New Roman"/>
          <w:b/>
        </w:rPr>
        <w:t>12(1)</w:t>
      </w:r>
      <w:r>
        <w:rPr>
          <w:rFonts w:ascii="Times New Roman" w:eastAsia="Times New Roman" w:hAnsi="Times New Roman" w:cs="Times New Roman"/>
        </w:rPr>
        <w:t>, 19-23.</w:t>
      </w:r>
    </w:p>
    <w:p w14:paraId="78C7A4CE"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Roth, J., Biyani, N., Beni-Adani, L., &amp; Constantini, S. (2007). Real-time neuronavigation with high-quality 3D ultrasound SonoWand® in pediatric neurosurgery. </w:t>
      </w:r>
      <w:r>
        <w:rPr>
          <w:rFonts w:ascii="Times New Roman" w:eastAsia="Times New Roman" w:hAnsi="Times New Roman" w:cs="Times New Roman"/>
          <w:i/>
        </w:rPr>
        <w:t>Pediatric Neurosurgery</w:t>
      </w:r>
      <w:r>
        <w:rPr>
          <w:rFonts w:ascii="Times New Roman" w:eastAsia="Times New Roman" w:hAnsi="Times New Roman" w:cs="Times New Roman"/>
        </w:rPr>
        <w:t xml:space="preserve">, </w:t>
      </w:r>
      <w:r>
        <w:rPr>
          <w:rFonts w:ascii="Times New Roman" w:eastAsia="Times New Roman" w:hAnsi="Times New Roman" w:cs="Times New Roman"/>
          <w:b/>
        </w:rPr>
        <w:t>43</w:t>
      </w:r>
      <w:r>
        <w:rPr>
          <w:rFonts w:ascii="Times New Roman" w:eastAsia="Times New Roman" w:hAnsi="Times New Roman" w:cs="Times New Roman"/>
        </w:rPr>
        <w:t>(</w:t>
      </w:r>
      <w:r>
        <w:rPr>
          <w:rFonts w:ascii="Times New Roman" w:eastAsia="Times New Roman" w:hAnsi="Times New Roman" w:cs="Times New Roman"/>
          <w:b/>
        </w:rPr>
        <w:t>3</w:t>
      </w:r>
      <w:r>
        <w:rPr>
          <w:rFonts w:ascii="Times New Roman" w:eastAsia="Times New Roman" w:hAnsi="Times New Roman" w:cs="Times New Roman"/>
        </w:rPr>
        <w:t xml:space="preserve">), 185–191. </w:t>
      </w:r>
    </w:p>
    <w:p w14:paraId="1E0A7836"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Lachin, J. M. (1981). Introduction to sample size determination and power analysis for clinical trials. </w:t>
      </w:r>
      <w:r>
        <w:rPr>
          <w:rFonts w:ascii="Times New Roman" w:eastAsia="Times New Roman" w:hAnsi="Times New Roman" w:cs="Times New Roman"/>
          <w:i/>
          <w:highlight w:val="white"/>
        </w:rPr>
        <w:t>Controlled Clinical Trials</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2</w:t>
      </w:r>
      <w:r>
        <w:rPr>
          <w:rFonts w:ascii="Times New Roman" w:eastAsia="Times New Roman" w:hAnsi="Times New Roman" w:cs="Times New Roman"/>
          <w:highlight w:val="white"/>
        </w:rPr>
        <w:t>(</w:t>
      </w:r>
      <w:r>
        <w:rPr>
          <w:rFonts w:ascii="Times New Roman" w:eastAsia="Times New Roman" w:hAnsi="Times New Roman" w:cs="Times New Roman"/>
          <w:b/>
          <w:highlight w:val="white"/>
        </w:rPr>
        <w:t>2</w:t>
      </w:r>
      <w:r>
        <w:rPr>
          <w:rFonts w:ascii="Times New Roman" w:eastAsia="Times New Roman" w:hAnsi="Times New Roman" w:cs="Times New Roman"/>
          <w:highlight w:val="white"/>
        </w:rPr>
        <w:t>), 93–113.</w:t>
      </w:r>
    </w:p>
    <w:p w14:paraId="12B26F62"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Elmesallamy, W. A. E. A. (2019). The role of intraoperative ultrasound in gross total resection of brain mass lesions and outcome. </w:t>
      </w:r>
      <w:r>
        <w:rPr>
          <w:rFonts w:ascii="Times New Roman" w:eastAsia="Times New Roman" w:hAnsi="Times New Roman" w:cs="Times New Roman"/>
          <w:i/>
          <w:highlight w:val="white"/>
        </w:rPr>
        <w:t>Egyptian Journal of Neurology, Psychiatry and Neurosurgery</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55</w:t>
      </w:r>
      <w:r>
        <w:rPr>
          <w:rFonts w:ascii="Times New Roman" w:eastAsia="Times New Roman" w:hAnsi="Times New Roman" w:cs="Times New Roman"/>
          <w:highlight w:val="white"/>
        </w:rPr>
        <w:t>(</w:t>
      </w:r>
      <w:r>
        <w:rPr>
          <w:rFonts w:ascii="Times New Roman" w:eastAsia="Times New Roman" w:hAnsi="Times New Roman" w:cs="Times New Roman"/>
          <w:b/>
          <w:highlight w:val="white"/>
        </w:rPr>
        <w:t>1</w:t>
      </w:r>
      <w:r>
        <w:rPr>
          <w:rFonts w:ascii="Times New Roman" w:eastAsia="Times New Roman" w:hAnsi="Times New Roman" w:cs="Times New Roman"/>
          <w:highlight w:val="white"/>
        </w:rPr>
        <w:t xml:space="preserve">). </w:t>
      </w:r>
    </w:p>
    <w:p w14:paraId="6267CC2E"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Foster, M. T., Harishchandra, L. S., &amp; Mallucci, C. (2018). Pediatric central nervous system tumors: State-of-the-art and debated aspects. </w:t>
      </w:r>
      <w:r>
        <w:rPr>
          <w:rFonts w:ascii="Times New Roman" w:eastAsia="Times New Roman" w:hAnsi="Times New Roman" w:cs="Times New Roman"/>
          <w:i/>
          <w:highlight w:val="white"/>
        </w:rPr>
        <w:t>Frontiers in Pediatrics</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6</w:t>
      </w:r>
      <w:r>
        <w:rPr>
          <w:rFonts w:ascii="Times New Roman" w:eastAsia="Times New Roman" w:hAnsi="Times New Roman" w:cs="Times New Roman"/>
          <w:highlight w:val="white"/>
        </w:rPr>
        <w:t>(</w:t>
      </w:r>
      <w:r>
        <w:rPr>
          <w:rFonts w:ascii="Times New Roman" w:eastAsia="Times New Roman" w:hAnsi="Times New Roman" w:cs="Times New Roman"/>
          <w:b/>
          <w:highlight w:val="white"/>
        </w:rPr>
        <w:t>November</w:t>
      </w:r>
      <w:r>
        <w:rPr>
          <w:rFonts w:ascii="Times New Roman" w:eastAsia="Times New Roman" w:hAnsi="Times New Roman" w:cs="Times New Roman"/>
          <w:highlight w:val="white"/>
        </w:rPr>
        <w:t xml:space="preserve">), 1–8. </w:t>
      </w:r>
    </w:p>
    <w:p w14:paraId="4310E8C9"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Ulrich, N. H., Burkhardt, J. K., Serra, C., Bernays, R. L., &amp; Bozinov, O. (2012). Resection of pediatric intracerebral tumors with the aid of intraoperative real-time 3-D ultrasound. </w:t>
      </w:r>
      <w:r>
        <w:rPr>
          <w:rFonts w:ascii="Times New Roman" w:eastAsia="Times New Roman" w:hAnsi="Times New Roman" w:cs="Times New Roman"/>
          <w:i/>
          <w:highlight w:val="white"/>
        </w:rPr>
        <w:t>Child’s Nervous System</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28</w:t>
      </w:r>
      <w:r>
        <w:rPr>
          <w:rFonts w:ascii="Times New Roman" w:eastAsia="Times New Roman" w:hAnsi="Times New Roman" w:cs="Times New Roman"/>
          <w:highlight w:val="white"/>
        </w:rPr>
        <w:t>(</w:t>
      </w:r>
      <w:r>
        <w:rPr>
          <w:rFonts w:ascii="Times New Roman" w:eastAsia="Times New Roman" w:hAnsi="Times New Roman" w:cs="Times New Roman"/>
          <w:b/>
          <w:highlight w:val="white"/>
        </w:rPr>
        <w:t>1</w:t>
      </w:r>
      <w:r>
        <w:rPr>
          <w:rFonts w:ascii="Times New Roman" w:eastAsia="Times New Roman" w:hAnsi="Times New Roman" w:cs="Times New Roman"/>
          <w:highlight w:val="white"/>
        </w:rPr>
        <w:t xml:space="preserve">), 101–109. </w:t>
      </w:r>
    </w:p>
    <w:p w14:paraId="7ABF4C52"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lastRenderedPageBreak/>
        <w:t xml:space="preserve">Smith, H., Taplin, A., Syed, S., &amp; Adamo, M. A. (2016). Correlation between intraoperative ultrasound and postoperative MRI in pediatric tumor surgery. </w:t>
      </w:r>
      <w:r>
        <w:rPr>
          <w:rFonts w:ascii="Times New Roman" w:eastAsia="Times New Roman" w:hAnsi="Times New Roman" w:cs="Times New Roman"/>
          <w:i/>
          <w:highlight w:val="white"/>
        </w:rPr>
        <w:t>Journal of Neurosurgery: Pediatrics</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18</w:t>
      </w:r>
      <w:r>
        <w:rPr>
          <w:rFonts w:ascii="Times New Roman" w:eastAsia="Times New Roman" w:hAnsi="Times New Roman" w:cs="Times New Roman"/>
          <w:highlight w:val="white"/>
        </w:rPr>
        <w:t>(</w:t>
      </w:r>
      <w:r>
        <w:rPr>
          <w:rFonts w:ascii="Times New Roman" w:eastAsia="Times New Roman" w:hAnsi="Times New Roman" w:cs="Times New Roman"/>
          <w:b/>
          <w:highlight w:val="white"/>
        </w:rPr>
        <w:t>5</w:t>
      </w:r>
      <w:r>
        <w:rPr>
          <w:rFonts w:ascii="Times New Roman" w:eastAsia="Times New Roman" w:hAnsi="Times New Roman" w:cs="Times New Roman"/>
          <w:highlight w:val="white"/>
        </w:rPr>
        <w:t xml:space="preserve">), 578–584. </w:t>
      </w:r>
    </w:p>
    <w:p w14:paraId="17DFD5CF"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Linabery, A. M., &amp; Ross, J. A. (2008). Trends in childhood cancer incidence in the U.S. (1992-2004). </w:t>
      </w:r>
      <w:r>
        <w:rPr>
          <w:rFonts w:ascii="Times New Roman" w:eastAsia="Times New Roman" w:hAnsi="Times New Roman" w:cs="Times New Roman"/>
          <w:i/>
        </w:rPr>
        <w:t>Cancer</w:t>
      </w:r>
      <w:r>
        <w:rPr>
          <w:rFonts w:ascii="Times New Roman" w:eastAsia="Times New Roman" w:hAnsi="Times New Roman" w:cs="Times New Roman"/>
        </w:rPr>
        <w:t xml:space="preserve">, </w:t>
      </w:r>
      <w:r>
        <w:rPr>
          <w:rFonts w:ascii="Times New Roman" w:eastAsia="Times New Roman" w:hAnsi="Times New Roman" w:cs="Times New Roman"/>
          <w:b/>
        </w:rPr>
        <w:t>112</w:t>
      </w:r>
      <w:r>
        <w:rPr>
          <w:rFonts w:ascii="Times New Roman" w:eastAsia="Times New Roman" w:hAnsi="Times New Roman" w:cs="Times New Roman"/>
        </w:rPr>
        <w:t>(</w:t>
      </w:r>
      <w:r>
        <w:rPr>
          <w:rFonts w:ascii="Times New Roman" w:eastAsia="Times New Roman" w:hAnsi="Times New Roman" w:cs="Times New Roman"/>
          <w:b/>
        </w:rPr>
        <w:t>2</w:t>
      </w:r>
      <w:r>
        <w:rPr>
          <w:rFonts w:ascii="Times New Roman" w:eastAsia="Times New Roman" w:hAnsi="Times New Roman" w:cs="Times New Roman"/>
        </w:rPr>
        <w:t xml:space="preserve">), 416–432. </w:t>
      </w:r>
    </w:p>
    <w:p w14:paraId="011A2EF5"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Ostrom, Q. T., De Blank, P. M., Kruchko, C., Petersen, C. M., Liao, P., Finlay, J. L., … Barnholtz-Sloan, J. S. (2014). Alex’s Lemonade stand foundation infant and childhood primary brain and central nervous system tumors diagnosed in the United States in 2007-2011. </w:t>
      </w:r>
      <w:r>
        <w:rPr>
          <w:rFonts w:ascii="Times New Roman" w:eastAsia="Times New Roman" w:hAnsi="Times New Roman" w:cs="Times New Roman"/>
          <w:i/>
        </w:rPr>
        <w:t>Neuro-Oncology</w:t>
      </w:r>
      <w:r>
        <w:rPr>
          <w:rFonts w:ascii="Times New Roman" w:eastAsia="Times New Roman" w:hAnsi="Times New Roman" w:cs="Times New Roman"/>
        </w:rPr>
        <w:t xml:space="preserve">, </w:t>
      </w:r>
      <w:r>
        <w:rPr>
          <w:rFonts w:ascii="Times New Roman" w:eastAsia="Times New Roman" w:hAnsi="Times New Roman" w:cs="Times New Roman"/>
          <w:b/>
        </w:rPr>
        <w:t>16</w:t>
      </w:r>
      <w:r>
        <w:rPr>
          <w:rFonts w:ascii="Times New Roman" w:eastAsia="Times New Roman" w:hAnsi="Times New Roman" w:cs="Times New Roman"/>
        </w:rPr>
        <w:t xml:space="preserve">, x1–x35. </w:t>
      </w:r>
    </w:p>
    <w:p w14:paraId="64882ECA"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Mahboob, S., McPhillips, R., Qiu, Z., Jiang, Y., Meggs, C., Schiavone, G., … Eljamel, S. (2016). Intraoperative Ultrasound-Guided Resection of Gliomas: A Meta-Analysis and Review of the Literature. </w:t>
      </w:r>
      <w:r>
        <w:rPr>
          <w:rFonts w:ascii="Times New Roman" w:eastAsia="Times New Roman" w:hAnsi="Times New Roman" w:cs="Times New Roman"/>
          <w:i/>
          <w:highlight w:val="white"/>
        </w:rPr>
        <w:t>World Neurosurgery</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92</w:t>
      </w:r>
      <w:r>
        <w:rPr>
          <w:rFonts w:ascii="Times New Roman" w:eastAsia="Times New Roman" w:hAnsi="Times New Roman" w:cs="Times New Roman"/>
          <w:highlight w:val="white"/>
        </w:rPr>
        <w:t xml:space="preserve">, 255–263. </w:t>
      </w:r>
    </w:p>
    <w:p w14:paraId="5777E7A7"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Upadhyay P. K. and Tiwary G. (2010). Real-time intraoperative ultrasonography in the surgical resection of brain lesions: A cheap, effective, and quick alternative. </w:t>
      </w:r>
      <w:r>
        <w:rPr>
          <w:rFonts w:ascii="Times New Roman" w:eastAsia="Times New Roman" w:hAnsi="Times New Roman" w:cs="Times New Roman"/>
          <w:i/>
          <w:highlight w:val="white"/>
        </w:rPr>
        <w:t>Journal of Neurosciences in Rural Practice</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1(2)</w:t>
      </w:r>
      <w:r>
        <w:rPr>
          <w:rFonts w:ascii="Times New Roman" w:eastAsia="Times New Roman" w:hAnsi="Times New Roman" w:cs="Times New Roman"/>
          <w:highlight w:val="white"/>
        </w:rPr>
        <w:t>, 127-128.</w:t>
      </w:r>
    </w:p>
    <w:p w14:paraId="2DFEE908"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El Beltagy, M. A., Aggag, M., &amp; Kamal, M. (2010). Role of intraoperative ultrasound in resection of pediatric brain tumors. </w:t>
      </w:r>
      <w:r>
        <w:rPr>
          <w:rFonts w:ascii="Times New Roman" w:eastAsia="Times New Roman" w:hAnsi="Times New Roman" w:cs="Times New Roman"/>
          <w:i/>
          <w:highlight w:val="white"/>
        </w:rPr>
        <w:t>Child’s Nervous System</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26</w:t>
      </w:r>
      <w:r>
        <w:rPr>
          <w:rFonts w:ascii="Times New Roman" w:eastAsia="Times New Roman" w:hAnsi="Times New Roman" w:cs="Times New Roman"/>
          <w:highlight w:val="white"/>
        </w:rPr>
        <w:t>(</w:t>
      </w:r>
      <w:r>
        <w:rPr>
          <w:rFonts w:ascii="Times New Roman" w:eastAsia="Times New Roman" w:hAnsi="Times New Roman" w:cs="Times New Roman"/>
          <w:b/>
          <w:highlight w:val="white"/>
        </w:rPr>
        <w:t>9</w:t>
      </w:r>
      <w:r>
        <w:rPr>
          <w:rFonts w:ascii="Times New Roman" w:eastAsia="Times New Roman" w:hAnsi="Times New Roman" w:cs="Times New Roman"/>
          <w:highlight w:val="white"/>
        </w:rPr>
        <w:t xml:space="preserve">), 1189–1193. </w:t>
      </w:r>
    </w:p>
    <w:p w14:paraId="273E98F2"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Lam A. M. and Newell D.W. (1996). Intraoperative use of transcranial Doppler ultrasonography. </w:t>
      </w:r>
      <w:r>
        <w:rPr>
          <w:rFonts w:ascii="Times New Roman" w:eastAsia="Times New Roman" w:hAnsi="Times New Roman" w:cs="Times New Roman"/>
          <w:i/>
        </w:rPr>
        <w:t>Neurosurgery Clinics of North America</w:t>
      </w:r>
      <w:r>
        <w:rPr>
          <w:rFonts w:ascii="Times New Roman" w:eastAsia="Times New Roman" w:hAnsi="Times New Roman" w:cs="Times New Roman"/>
        </w:rPr>
        <w:t xml:space="preserve">, </w:t>
      </w:r>
      <w:r>
        <w:rPr>
          <w:rFonts w:ascii="Times New Roman" w:eastAsia="Times New Roman" w:hAnsi="Times New Roman" w:cs="Times New Roman"/>
          <w:b/>
        </w:rPr>
        <w:t>7(4)</w:t>
      </w:r>
      <w:r>
        <w:rPr>
          <w:rFonts w:ascii="Times New Roman" w:eastAsia="Times New Roman" w:hAnsi="Times New Roman" w:cs="Times New Roman"/>
        </w:rPr>
        <w:t>, 709-722.</w:t>
      </w:r>
    </w:p>
    <w:p w14:paraId="277E48DE"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 xml:space="preserve">Seibert, J. J., Avva, R., Hronas, T. N., Mocharla, R., Vanderzalm, T., Cox, K., … Knight, K. L. (1998). Use of Power Doppler in Pediatric Neurosonography: A Pictorial Essay. </w:t>
      </w:r>
      <w:r>
        <w:rPr>
          <w:rFonts w:ascii="Times New Roman" w:eastAsia="Times New Roman" w:hAnsi="Times New Roman" w:cs="Times New Roman"/>
          <w:i/>
        </w:rPr>
        <w:t>Radiographics</w:t>
      </w:r>
      <w:r>
        <w:rPr>
          <w:rFonts w:ascii="Times New Roman" w:eastAsia="Times New Roman" w:hAnsi="Times New Roman" w:cs="Times New Roman"/>
        </w:rPr>
        <w:t xml:space="preserve">, </w:t>
      </w:r>
      <w:r>
        <w:rPr>
          <w:rFonts w:ascii="Times New Roman" w:eastAsia="Times New Roman" w:hAnsi="Times New Roman" w:cs="Times New Roman"/>
          <w:b/>
        </w:rPr>
        <w:t>18</w:t>
      </w:r>
      <w:r>
        <w:rPr>
          <w:rFonts w:ascii="Times New Roman" w:eastAsia="Times New Roman" w:hAnsi="Times New Roman" w:cs="Times New Roman"/>
        </w:rPr>
        <w:t>(</w:t>
      </w:r>
      <w:r>
        <w:rPr>
          <w:rFonts w:ascii="Times New Roman" w:eastAsia="Times New Roman" w:hAnsi="Times New Roman" w:cs="Times New Roman"/>
          <w:b/>
        </w:rPr>
        <w:t>4</w:t>
      </w:r>
      <w:r>
        <w:rPr>
          <w:rFonts w:ascii="Times New Roman" w:eastAsia="Times New Roman" w:hAnsi="Times New Roman" w:cs="Times New Roman"/>
        </w:rPr>
        <w:t xml:space="preserve">), 879–890. </w:t>
      </w:r>
    </w:p>
    <w:p w14:paraId="32BE3508"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t>Cohen, L. (1994). Review Article Advances in Perinatal Neurosonography, 801–810.</w:t>
      </w:r>
    </w:p>
    <w:p w14:paraId="46053937"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lastRenderedPageBreak/>
        <w:t xml:space="preserve">Gerard, I. J., Kersten-Oertel, M., Hall, J. A., Sirhan, D., &amp; Collins, D. L. (2021). Brain Shift in Neuronavigation of Brain Tumors: An Updated Review of Intra-Operative Ultrasound Applications. </w:t>
      </w:r>
      <w:r>
        <w:rPr>
          <w:rFonts w:ascii="Times New Roman" w:eastAsia="Times New Roman" w:hAnsi="Times New Roman" w:cs="Times New Roman"/>
          <w:i/>
        </w:rPr>
        <w:t>Frontiers in Oncology</w:t>
      </w:r>
      <w:r>
        <w:rPr>
          <w:rFonts w:ascii="Times New Roman" w:eastAsia="Times New Roman" w:hAnsi="Times New Roman" w:cs="Times New Roman"/>
        </w:rPr>
        <w:t xml:space="preserve">, </w:t>
      </w:r>
      <w:r>
        <w:rPr>
          <w:rFonts w:ascii="Times New Roman" w:eastAsia="Times New Roman" w:hAnsi="Times New Roman" w:cs="Times New Roman"/>
          <w:b/>
        </w:rPr>
        <w:t>10</w:t>
      </w:r>
      <w:r>
        <w:rPr>
          <w:rFonts w:ascii="Times New Roman" w:eastAsia="Times New Roman" w:hAnsi="Times New Roman" w:cs="Times New Roman"/>
        </w:rPr>
        <w:t>(</w:t>
      </w:r>
      <w:r>
        <w:rPr>
          <w:rFonts w:ascii="Times New Roman" w:eastAsia="Times New Roman" w:hAnsi="Times New Roman" w:cs="Times New Roman"/>
          <w:b/>
        </w:rPr>
        <w:t>February</w:t>
      </w:r>
      <w:r>
        <w:rPr>
          <w:rFonts w:ascii="Times New Roman" w:eastAsia="Times New Roman" w:hAnsi="Times New Roman" w:cs="Times New Roman"/>
        </w:rPr>
        <w:t xml:space="preserve">), 1–11. </w:t>
      </w:r>
    </w:p>
    <w:p w14:paraId="5170CD7E"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Singhal, A., Ross Hengel, A., Steinbok, P., &amp; Doug Cochrane, D. (2015). Intraoperative ultrasound in pediatric brain tumors: does the surgeon get it right? </w:t>
      </w:r>
      <w:r>
        <w:rPr>
          <w:rFonts w:ascii="Times New Roman" w:eastAsia="Times New Roman" w:hAnsi="Times New Roman" w:cs="Times New Roman"/>
          <w:i/>
          <w:highlight w:val="white"/>
        </w:rPr>
        <w:t>Child’s Nervous System</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31</w:t>
      </w:r>
      <w:r>
        <w:rPr>
          <w:rFonts w:ascii="Times New Roman" w:eastAsia="Times New Roman" w:hAnsi="Times New Roman" w:cs="Times New Roman"/>
          <w:highlight w:val="white"/>
        </w:rPr>
        <w:t>(</w:t>
      </w:r>
      <w:r>
        <w:rPr>
          <w:rFonts w:ascii="Times New Roman" w:eastAsia="Times New Roman" w:hAnsi="Times New Roman" w:cs="Times New Roman"/>
          <w:b/>
          <w:highlight w:val="white"/>
        </w:rPr>
        <w:t>12</w:t>
      </w:r>
      <w:r>
        <w:rPr>
          <w:rFonts w:ascii="Times New Roman" w:eastAsia="Times New Roman" w:hAnsi="Times New Roman" w:cs="Times New Roman"/>
          <w:highlight w:val="white"/>
        </w:rPr>
        <w:t xml:space="preserve">), 2353–2357. </w:t>
      </w:r>
    </w:p>
    <w:p w14:paraId="6F8844CB"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Regelsberger J., Lohmann F., Helmke K. and Westphal M. (2000). Ultrasound-guided surgery of deep seated brain lesions. </w:t>
      </w:r>
      <w:r>
        <w:rPr>
          <w:rFonts w:ascii="Times New Roman" w:eastAsia="Times New Roman" w:hAnsi="Times New Roman" w:cs="Times New Roman"/>
          <w:i/>
          <w:highlight w:val="white"/>
        </w:rPr>
        <w:t xml:space="preserve">European Journal of Ultrasound, </w:t>
      </w:r>
      <w:r>
        <w:rPr>
          <w:rFonts w:ascii="Times New Roman" w:eastAsia="Times New Roman" w:hAnsi="Times New Roman" w:cs="Times New Roman"/>
          <w:b/>
          <w:highlight w:val="white"/>
        </w:rPr>
        <w:t>12(2)</w:t>
      </w:r>
      <w:r>
        <w:rPr>
          <w:rFonts w:ascii="Times New Roman" w:eastAsia="Times New Roman" w:hAnsi="Times New Roman" w:cs="Times New Roman"/>
          <w:highlight w:val="white"/>
        </w:rPr>
        <w:t>, 115-121.</w:t>
      </w:r>
    </w:p>
    <w:p w14:paraId="59C420C5"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Ivanov, M., Wilkins, S., Poeata, I., &amp; Brodbelt, A. (2010). Intraoperative ultrasound in neurosurgery - A practical guide. </w:t>
      </w:r>
      <w:r>
        <w:rPr>
          <w:rFonts w:ascii="Times New Roman" w:eastAsia="Times New Roman" w:hAnsi="Times New Roman" w:cs="Times New Roman"/>
          <w:i/>
          <w:highlight w:val="white"/>
        </w:rPr>
        <w:t>British Journal of Neurosurgery</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24</w:t>
      </w:r>
      <w:r>
        <w:rPr>
          <w:rFonts w:ascii="Times New Roman" w:eastAsia="Times New Roman" w:hAnsi="Times New Roman" w:cs="Times New Roman"/>
          <w:highlight w:val="white"/>
        </w:rPr>
        <w:t>(</w:t>
      </w:r>
      <w:r>
        <w:rPr>
          <w:rFonts w:ascii="Times New Roman" w:eastAsia="Times New Roman" w:hAnsi="Times New Roman" w:cs="Times New Roman"/>
          <w:b/>
          <w:highlight w:val="white"/>
        </w:rPr>
        <w:t>5</w:t>
      </w:r>
      <w:r>
        <w:rPr>
          <w:rFonts w:ascii="Times New Roman" w:eastAsia="Times New Roman" w:hAnsi="Times New Roman" w:cs="Times New Roman"/>
          <w:highlight w:val="white"/>
        </w:rPr>
        <w:t xml:space="preserve">), 510–517. </w:t>
      </w:r>
    </w:p>
    <w:p w14:paraId="542A1DAD"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Pino, M. A., Imperato, A., Musca, I., Maugeri, R., Giammalva, G. R., Costantino, G., … Villa, A. (2018). New hope in brain glioma surgery: The role of intraoperative ultrasound. A review. </w:t>
      </w:r>
      <w:r>
        <w:rPr>
          <w:rFonts w:ascii="Times New Roman" w:eastAsia="Times New Roman" w:hAnsi="Times New Roman" w:cs="Times New Roman"/>
          <w:i/>
          <w:highlight w:val="white"/>
        </w:rPr>
        <w:t>Brain Sciences</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8</w:t>
      </w:r>
      <w:r>
        <w:rPr>
          <w:rFonts w:ascii="Times New Roman" w:eastAsia="Times New Roman" w:hAnsi="Times New Roman" w:cs="Times New Roman"/>
          <w:highlight w:val="white"/>
        </w:rPr>
        <w:t>(</w:t>
      </w:r>
      <w:r>
        <w:rPr>
          <w:rFonts w:ascii="Times New Roman" w:eastAsia="Times New Roman" w:hAnsi="Times New Roman" w:cs="Times New Roman"/>
          <w:b/>
          <w:highlight w:val="white"/>
        </w:rPr>
        <w:t>11</w:t>
      </w:r>
      <w:r>
        <w:rPr>
          <w:rFonts w:ascii="Times New Roman" w:eastAsia="Times New Roman" w:hAnsi="Times New Roman" w:cs="Times New Roman"/>
          <w:highlight w:val="white"/>
        </w:rPr>
        <w:t xml:space="preserve">). </w:t>
      </w:r>
    </w:p>
    <w:p w14:paraId="6EC15634"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Hammoud M. A., Lee Ligon B. and Elsouki R. (1996). Use of intraoperative ultrasound for localizing and determining the extent of resection: a comparative study with magnetic resonance imaging. </w:t>
      </w:r>
      <w:r>
        <w:rPr>
          <w:rFonts w:ascii="Times New Roman" w:eastAsia="Times New Roman" w:hAnsi="Times New Roman" w:cs="Times New Roman"/>
          <w:i/>
          <w:highlight w:val="white"/>
        </w:rPr>
        <w:t>Journal of Neurosurgery</w:t>
      </w:r>
      <w:r>
        <w:rPr>
          <w:rFonts w:ascii="Times New Roman" w:eastAsia="Times New Roman" w:hAnsi="Times New Roman" w:cs="Times New Roman"/>
          <w:b/>
          <w:i/>
          <w:highlight w:val="white"/>
        </w:rPr>
        <w:t xml:space="preserve">, </w:t>
      </w:r>
      <w:r>
        <w:rPr>
          <w:rFonts w:ascii="Times New Roman" w:eastAsia="Times New Roman" w:hAnsi="Times New Roman" w:cs="Times New Roman"/>
          <w:b/>
          <w:highlight w:val="white"/>
        </w:rPr>
        <w:t>84(5)</w:t>
      </w:r>
      <w:r>
        <w:rPr>
          <w:rFonts w:ascii="Times New Roman" w:eastAsia="Times New Roman" w:hAnsi="Times New Roman" w:cs="Times New Roman"/>
          <w:highlight w:val="white"/>
        </w:rPr>
        <w:t>,</w:t>
      </w:r>
      <w:r>
        <w:rPr>
          <w:rFonts w:ascii="Times New Roman" w:eastAsia="Times New Roman" w:hAnsi="Times New Roman" w:cs="Times New Roman"/>
          <w:b/>
          <w:highlight w:val="white"/>
        </w:rPr>
        <w:t xml:space="preserve"> </w:t>
      </w:r>
      <w:r>
        <w:rPr>
          <w:rFonts w:ascii="Times New Roman" w:eastAsia="Times New Roman" w:hAnsi="Times New Roman" w:cs="Times New Roman"/>
          <w:highlight w:val="white"/>
        </w:rPr>
        <w:t>737-741.</w:t>
      </w:r>
    </w:p>
    <w:p w14:paraId="0A14F95D"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Shinoura, N., Takahashi, M., &amp; Yamada, R. (2005). Letter to the Editor Diagnosis of Broncho-Pleural Fistula: Is There a Role for Sonography?, 177–183. </w:t>
      </w:r>
    </w:p>
    <w:p w14:paraId="61AF0A9F"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Tronnier, V. M., Bonsanto, M. M., Staubert, A., Knauth, M., Kunze, S., &amp; Wirtz, C. R. (2001). Comparison of intraoperative MR imaging and 3D-navigated ultrasonography in the detection and resection control of lesions. </w:t>
      </w:r>
      <w:r>
        <w:rPr>
          <w:rFonts w:ascii="Times New Roman" w:eastAsia="Times New Roman" w:hAnsi="Times New Roman" w:cs="Times New Roman"/>
          <w:i/>
          <w:highlight w:val="white"/>
        </w:rPr>
        <w:t>Neurosurgical Focus</w:t>
      </w:r>
      <w:r>
        <w:rPr>
          <w:rFonts w:ascii="Times New Roman" w:eastAsia="Times New Roman" w:hAnsi="Times New Roman" w:cs="Times New Roman"/>
          <w:highlight w:val="white"/>
        </w:rPr>
        <w:t xml:space="preserve">, </w:t>
      </w:r>
      <w:r>
        <w:rPr>
          <w:rFonts w:ascii="Times New Roman" w:eastAsia="Times New Roman" w:hAnsi="Times New Roman" w:cs="Times New Roman"/>
          <w:b/>
          <w:highlight w:val="white"/>
        </w:rPr>
        <w:t>10</w:t>
      </w:r>
      <w:r>
        <w:rPr>
          <w:rFonts w:ascii="Times New Roman" w:eastAsia="Times New Roman" w:hAnsi="Times New Roman" w:cs="Times New Roman"/>
          <w:highlight w:val="white"/>
        </w:rPr>
        <w:t>(</w:t>
      </w:r>
      <w:r>
        <w:rPr>
          <w:rFonts w:ascii="Times New Roman" w:eastAsia="Times New Roman" w:hAnsi="Times New Roman" w:cs="Times New Roman"/>
          <w:b/>
          <w:highlight w:val="white"/>
        </w:rPr>
        <w:t>2</w:t>
      </w:r>
      <w:r>
        <w:rPr>
          <w:rFonts w:ascii="Times New Roman" w:eastAsia="Times New Roman" w:hAnsi="Times New Roman" w:cs="Times New Roman"/>
          <w:highlight w:val="white"/>
        </w:rPr>
        <w:t xml:space="preserve">), 11–14. </w:t>
      </w:r>
    </w:p>
    <w:p w14:paraId="13376B8D" w14:textId="77777777" w:rsidR="00C81AF3" w:rsidRDefault="00C81AF3" w:rsidP="00C81AF3">
      <w:pPr>
        <w:numPr>
          <w:ilvl w:val="0"/>
          <w:numId w:val="1"/>
        </w:numPr>
        <w:spacing w:line="480" w:lineRule="auto"/>
        <w:ind w:left="180"/>
        <w:jc w:val="both"/>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Roth J., Beni-Adani L., Biyani N. and Constatini S. (2006) Classical and real-time neuronavigation in pediatric neurosurgery. </w:t>
      </w:r>
      <w:r>
        <w:rPr>
          <w:rFonts w:ascii="Times New Roman" w:eastAsia="Times New Roman" w:hAnsi="Times New Roman" w:cs="Times New Roman"/>
          <w:i/>
          <w:highlight w:val="white"/>
        </w:rPr>
        <w:t xml:space="preserve">Childs Nervous System, </w:t>
      </w:r>
      <w:r>
        <w:rPr>
          <w:rFonts w:ascii="Times New Roman" w:eastAsia="Times New Roman" w:hAnsi="Times New Roman" w:cs="Times New Roman"/>
          <w:b/>
          <w:highlight w:val="white"/>
        </w:rPr>
        <w:t>22(9)</w:t>
      </w:r>
      <w:r>
        <w:rPr>
          <w:rFonts w:ascii="Times New Roman" w:eastAsia="Times New Roman" w:hAnsi="Times New Roman" w:cs="Times New Roman"/>
          <w:highlight w:val="white"/>
        </w:rPr>
        <w:t>, 1065-1071.</w:t>
      </w:r>
    </w:p>
    <w:p w14:paraId="5025C861" w14:textId="77777777" w:rsidR="00C81AF3" w:rsidRDefault="00C81AF3" w:rsidP="00C81AF3">
      <w:pPr>
        <w:numPr>
          <w:ilvl w:val="0"/>
          <w:numId w:val="1"/>
        </w:numPr>
        <w:spacing w:line="480" w:lineRule="auto"/>
        <w:ind w:left="180"/>
        <w:jc w:val="both"/>
        <w:rPr>
          <w:rFonts w:ascii="Times New Roman" w:eastAsia="Times New Roman" w:hAnsi="Times New Roman" w:cs="Times New Roman"/>
        </w:rPr>
      </w:pPr>
      <w:r>
        <w:rPr>
          <w:rFonts w:ascii="Times New Roman" w:eastAsia="Times New Roman" w:hAnsi="Times New Roman" w:cs="Times New Roman"/>
        </w:rPr>
        <w:lastRenderedPageBreak/>
        <w:t xml:space="preserve">Carai, A., De Benedictis, A., Calloni, T., Onorini, N., Paternò, G., Randi, F., … Marras, C. E. (2021). Intraoperative Ultrasound-Assisted Extent of Resection Assessment in Pediatric Neurosurgical Oncology. </w:t>
      </w:r>
      <w:r>
        <w:rPr>
          <w:rFonts w:ascii="Times New Roman" w:eastAsia="Times New Roman" w:hAnsi="Times New Roman" w:cs="Times New Roman"/>
          <w:i/>
        </w:rPr>
        <w:t>Frontiers in Oncology</w:t>
      </w:r>
      <w:r>
        <w:rPr>
          <w:rFonts w:ascii="Times New Roman" w:eastAsia="Times New Roman" w:hAnsi="Times New Roman" w:cs="Times New Roman"/>
        </w:rPr>
        <w:t xml:space="preserve">, </w:t>
      </w:r>
      <w:r>
        <w:rPr>
          <w:rFonts w:ascii="Times New Roman" w:eastAsia="Times New Roman" w:hAnsi="Times New Roman" w:cs="Times New Roman"/>
          <w:b/>
        </w:rPr>
        <w:t>11</w:t>
      </w:r>
      <w:r>
        <w:rPr>
          <w:rFonts w:ascii="Times New Roman" w:eastAsia="Times New Roman" w:hAnsi="Times New Roman" w:cs="Times New Roman"/>
        </w:rPr>
        <w:t>(</w:t>
      </w:r>
      <w:r>
        <w:rPr>
          <w:rFonts w:ascii="Times New Roman" w:eastAsia="Times New Roman" w:hAnsi="Times New Roman" w:cs="Times New Roman"/>
          <w:b/>
        </w:rPr>
        <w:t>April</w:t>
      </w:r>
      <w:r>
        <w:rPr>
          <w:rFonts w:ascii="Times New Roman" w:eastAsia="Times New Roman" w:hAnsi="Times New Roman" w:cs="Times New Roman"/>
        </w:rPr>
        <w:t xml:space="preserve">), 1–7. </w:t>
      </w:r>
    </w:p>
    <w:p w14:paraId="54850801" w14:textId="77777777" w:rsidR="00C81AF3" w:rsidRDefault="00C81AF3" w:rsidP="00C81AF3">
      <w:pPr>
        <w:spacing w:line="480" w:lineRule="auto"/>
        <w:ind w:left="-57"/>
        <w:rPr>
          <w:rFonts w:ascii="Times New Roman" w:eastAsia="Times New Roman" w:hAnsi="Times New Roman" w:cs="Times New Roman"/>
        </w:rPr>
      </w:pPr>
      <w:r>
        <w:br w:type="page"/>
      </w:r>
    </w:p>
    <w:p w14:paraId="0E90F53E"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D - Data collection form</w:t>
      </w:r>
      <w:r>
        <w:rPr>
          <w:rFonts w:ascii="Times New Roman" w:eastAsia="Times New Roman" w:hAnsi="Times New Roman" w:cs="Times New Roman"/>
          <w:noProof/>
        </w:rPr>
        <w:drawing>
          <wp:inline distT="0" distB="0" distL="0" distR="0" wp14:anchorId="11132646" wp14:editId="26B00D98">
            <wp:extent cx="5383213" cy="7358703"/>
            <wp:effectExtent l="0" t="0" r="0" b="0"/>
            <wp:docPr id="62" name="image15.png" descr="A document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62" name="image15.png" descr="A document with text on it&#10;&#10;Description automatically generated"/>
                    <pic:cNvPicPr preferRelativeResize="0"/>
                  </pic:nvPicPr>
                  <pic:blipFill>
                    <a:blip r:embed="rId12"/>
                    <a:srcRect/>
                    <a:stretch>
                      <a:fillRect/>
                    </a:stretch>
                  </pic:blipFill>
                  <pic:spPr>
                    <a:xfrm>
                      <a:off x="0" y="0"/>
                      <a:ext cx="5383213" cy="7358703"/>
                    </a:xfrm>
                    <a:prstGeom prst="rect">
                      <a:avLst/>
                    </a:prstGeom>
                    <a:ln/>
                  </pic:spPr>
                </pic:pic>
              </a:graphicData>
            </a:graphic>
          </wp:inline>
        </w:drawing>
      </w:r>
    </w:p>
    <w:p w14:paraId="6A1D0E0F"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E - Informed consent form (English)</w:t>
      </w:r>
      <w:r>
        <w:rPr>
          <w:rFonts w:ascii="Times New Roman" w:eastAsia="Times New Roman" w:hAnsi="Times New Roman" w:cs="Times New Roman"/>
          <w:noProof/>
        </w:rPr>
        <w:drawing>
          <wp:inline distT="0" distB="0" distL="0" distR="0" wp14:anchorId="4B06429B" wp14:editId="4A360B9A">
            <wp:extent cx="5087060" cy="7097115"/>
            <wp:effectExtent l="0" t="0" r="0" b="0"/>
            <wp:docPr id="60" name="image4.png" descr="A paper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60" name="image4.png" descr="A paper with text on it&#10;&#10;Description automatically generated"/>
                    <pic:cNvPicPr preferRelativeResize="0"/>
                  </pic:nvPicPr>
                  <pic:blipFill>
                    <a:blip r:embed="rId13"/>
                    <a:srcRect/>
                    <a:stretch>
                      <a:fillRect/>
                    </a:stretch>
                  </pic:blipFill>
                  <pic:spPr>
                    <a:xfrm>
                      <a:off x="0" y="0"/>
                      <a:ext cx="5087060" cy="7097115"/>
                    </a:xfrm>
                    <a:prstGeom prst="rect">
                      <a:avLst/>
                    </a:prstGeom>
                    <a:ln/>
                  </pic:spPr>
                </pic:pic>
              </a:graphicData>
            </a:graphic>
          </wp:inline>
        </w:drawing>
      </w:r>
    </w:p>
    <w:p w14:paraId="77B13AAD"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1667DDE0" wp14:editId="29B7A66E">
            <wp:extent cx="5048955" cy="7344800"/>
            <wp:effectExtent l="0" t="0" r="0" b="0"/>
            <wp:docPr id="61" name="image2.png" descr="A questionnaire about treatment&#10;&#10;Description automatically generated"/>
            <wp:cNvGraphicFramePr/>
            <a:graphic xmlns:a="http://schemas.openxmlformats.org/drawingml/2006/main">
              <a:graphicData uri="http://schemas.openxmlformats.org/drawingml/2006/picture">
                <pic:pic xmlns:pic="http://schemas.openxmlformats.org/drawingml/2006/picture">
                  <pic:nvPicPr>
                    <pic:cNvPr id="61" name="image2.png" descr="A questionnaire about treatment&#10;&#10;Description automatically generated"/>
                    <pic:cNvPicPr preferRelativeResize="0"/>
                  </pic:nvPicPr>
                  <pic:blipFill>
                    <a:blip r:embed="rId14"/>
                    <a:srcRect/>
                    <a:stretch>
                      <a:fillRect/>
                    </a:stretch>
                  </pic:blipFill>
                  <pic:spPr>
                    <a:xfrm>
                      <a:off x="0" y="0"/>
                      <a:ext cx="5048955" cy="7344800"/>
                    </a:xfrm>
                    <a:prstGeom prst="rect">
                      <a:avLst/>
                    </a:prstGeom>
                    <a:ln/>
                  </pic:spPr>
                </pic:pic>
              </a:graphicData>
            </a:graphic>
          </wp:inline>
        </w:drawing>
      </w:r>
    </w:p>
    <w:p w14:paraId="6524E7E5"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5788B74" wp14:editId="7C8A8B2C">
            <wp:extent cx="5020376" cy="2210108"/>
            <wp:effectExtent l="0" t="0" r="0" b="0"/>
            <wp:docPr id="63" name="image7.png" descr="A close-up of a questionnaire&#10;&#10;Description automatically generated"/>
            <wp:cNvGraphicFramePr/>
            <a:graphic xmlns:a="http://schemas.openxmlformats.org/drawingml/2006/main">
              <a:graphicData uri="http://schemas.openxmlformats.org/drawingml/2006/picture">
                <pic:pic xmlns:pic="http://schemas.openxmlformats.org/drawingml/2006/picture">
                  <pic:nvPicPr>
                    <pic:cNvPr id="63" name="image7.png" descr="A close-up of a questionnaire&#10;&#10;Description automatically generated"/>
                    <pic:cNvPicPr preferRelativeResize="0"/>
                  </pic:nvPicPr>
                  <pic:blipFill>
                    <a:blip r:embed="rId15"/>
                    <a:srcRect/>
                    <a:stretch>
                      <a:fillRect/>
                    </a:stretch>
                  </pic:blipFill>
                  <pic:spPr>
                    <a:xfrm>
                      <a:off x="0" y="0"/>
                      <a:ext cx="5020376" cy="2210108"/>
                    </a:xfrm>
                    <a:prstGeom prst="rect">
                      <a:avLst/>
                    </a:prstGeom>
                    <a:ln/>
                  </pic:spPr>
                </pic:pic>
              </a:graphicData>
            </a:graphic>
          </wp:inline>
        </w:drawing>
      </w:r>
    </w:p>
    <w:p w14:paraId="53E12F81"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6A0A135D" wp14:editId="1F95C4B5">
            <wp:extent cx="5229955" cy="7354326"/>
            <wp:effectExtent l="0" t="0" r="0" b="0"/>
            <wp:docPr id="64" name="image12.png" descr="A paper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64" name="image12.png" descr="A paper with text on it&#10;&#10;Description automatically generated"/>
                    <pic:cNvPicPr preferRelativeResize="0"/>
                  </pic:nvPicPr>
                  <pic:blipFill>
                    <a:blip r:embed="rId16"/>
                    <a:srcRect/>
                    <a:stretch>
                      <a:fillRect/>
                    </a:stretch>
                  </pic:blipFill>
                  <pic:spPr>
                    <a:xfrm>
                      <a:off x="0" y="0"/>
                      <a:ext cx="5229955" cy="7354326"/>
                    </a:xfrm>
                    <a:prstGeom prst="rect">
                      <a:avLst/>
                    </a:prstGeom>
                    <a:ln/>
                  </pic:spPr>
                </pic:pic>
              </a:graphicData>
            </a:graphic>
          </wp:inline>
        </w:drawing>
      </w:r>
    </w:p>
    <w:p w14:paraId="00E8569D"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F - Informed consent form (Malay)</w:t>
      </w:r>
      <w:r>
        <w:rPr>
          <w:rFonts w:ascii="Times New Roman" w:eastAsia="Times New Roman" w:hAnsi="Times New Roman" w:cs="Times New Roman"/>
          <w:noProof/>
        </w:rPr>
        <w:drawing>
          <wp:inline distT="0" distB="0" distL="0" distR="0" wp14:anchorId="4FA81923" wp14:editId="7ED93531">
            <wp:extent cx="5182323" cy="6954220"/>
            <wp:effectExtent l="0" t="0" r="0" b="0"/>
            <wp:docPr id="65" name="image16.png" descr="A screenshot of a document&#10;&#10;Description automatically generated"/>
            <wp:cNvGraphicFramePr/>
            <a:graphic xmlns:a="http://schemas.openxmlformats.org/drawingml/2006/main">
              <a:graphicData uri="http://schemas.openxmlformats.org/drawingml/2006/picture">
                <pic:pic xmlns:pic="http://schemas.openxmlformats.org/drawingml/2006/picture">
                  <pic:nvPicPr>
                    <pic:cNvPr id="65" name="image16.png" descr="A screenshot of a document&#10;&#10;Description automatically generated"/>
                    <pic:cNvPicPr preferRelativeResize="0"/>
                  </pic:nvPicPr>
                  <pic:blipFill>
                    <a:blip r:embed="rId17"/>
                    <a:srcRect/>
                    <a:stretch>
                      <a:fillRect/>
                    </a:stretch>
                  </pic:blipFill>
                  <pic:spPr>
                    <a:xfrm>
                      <a:off x="0" y="0"/>
                      <a:ext cx="5182323" cy="6954220"/>
                    </a:xfrm>
                    <a:prstGeom prst="rect">
                      <a:avLst/>
                    </a:prstGeom>
                    <a:ln/>
                  </pic:spPr>
                </pic:pic>
              </a:graphicData>
            </a:graphic>
          </wp:inline>
        </w:drawing>
      </w:r>
    </w:p>
    <w:p w14:paraId="6C4F63FA"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6DDAA510" wp14:editId="77FB5836">
            <wp:extent cx="5020376" cy="7020905"/>
            <wp:effectExtent l="0" t="0" r="0" b="0"/>
            <wp:docPr id="66" name="image3.png" descr="A screenshot of a white text&#10;&#10;Description automatically generated"/>
            <wp:cNvGraphicFramePr/>
            <a:graphic xmlns:a="http://schemas.openxmlformats.org/drawingml/2006/main">
              <a:graphicData uri="http://schemas.openxmlformats.org/drawingml/2006/picture">
                <pic:pic xmlns:pic="http://schemas.openxmlformats.org/drawingml/2006/picture">
                  <pic:nvPicPr>
                    <pic:cNvPr id="66" name="image3.png" descr="A screenshot of a white text&#10;&#10;Description automatically generated"/>
                    <pic:cNvPicPr preferRelativeResize="0"/>
                  </pic:nvPicPr>
                  <pic:blipFill>
                    <a:blip r:embed="rId18"/>
                    <a:srcRect/>
                    <a:stretch>
                      <a:fillRect/>
                    </a:stretch>
                  </pic:blipFill>
                  <pic:spPr>
                    <a:xfrm>
                      <a:off x="0" y="0"/>
                      <a:ext cx="5020376" cy="7020905"/>
                    </a:xfrm>
                    <a:prstGeom prst="rect">
                      <a:avLst/>
                    </a:prstGeom>
                    <a:ln/>
                  </pic:spPr>
                </pic:pic>
              </a:graphicData>
            </a:graphic>
          </wp:inline>
        </w:drawing>
      </w:r>
    </w:p>
    <w:p w14:paraId="3CBB6EB3"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00740423" wp14:editId="7DCF5135">
            <wp:extent cx="5048955" cy="4515480"/>
            <wp:effectExtent l="0" t="0" r="0" b="0"/>
            <wp:docPr id="67" name="image23.png" descr="A screenshot of a document&#10;&#10;Description automatically generated"/>
            <wp:cNvGraphicFramePr/>
            <a:graphic xmlns:a="http://schemas.openxmlformats.org/drawingml/2006/main">
              <a:graphicData uri="http://schemas.openxmlformats.org/drawingml/2006/picture">
                <pic:pic xmlns:pic="http://schemas.openxmlformats.org/drawingml/2006/picture">
                  <pic:nvPicPr>
                    <pic:cNvPr id="67" name="image23.png" descr="A screenshot of a document&#10;&#10;Description automatically generated"/>
                    <pic:cNvPicPr preferRelativeResize="0"/>
                  </pic:nvPicPr>
                  <pic:blipFill>
                    <a:blip r:embed="rId19"/>
                    <a:srcRect/>
                    <a:stretch>
                      <a:fillRect/>
                    </a:stretch>
                  </pic:blipFill>
                  <pic:spPr>
                    <a:xfrm>
                      <a:off x="0" y="0"/>
                      <a:ext cx="5048955" cy="4515480"/>
                    </a:xfrm>
                    <a:prstGeom prst="rect">
                      <a:avLst/>
                    </a:prstGeom>
                    <a:ln/>
                  </pic:spPr>
                </pic:pic>
              </a:graphicData>
            </a:graphic>
          </wp:inline>
        </w:drawing>
      </w:r>
    </w:p>
    <w:p w14:paraId="7D929839"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156B5BB0" wp14:editId="52A93080">
            <wp:extent cx="5115639" cy="7135221"/>
            <wp:effectExtent l="0" t="0" r="0" b="0"/>
            <wp:docPr id="68" name="image22.png" descr="A paper with text on it&#10;&#10;Description automatically generated"/>
            <wp:cNvGraphicFramePr/>
            <a:graphic xmlns:a="http://schemas.openxmlformats.org/drawingml/2006/main">
              <a:graphicData uri="http://schemas.openxmlformats.org/drawingml/2006/picture">
                <pic:pic xmlns:pic="http://schemas.openxmlformats.org/drawingml/2006/picture">
                  <pic:nvPicPr>
                    <pic:cNvPr id="68" name="image22.png" descr="A paper with text on it&#10;&#10;Description automatically generated"/>
                    <pic:cNvPicPr preferRelativeResize="0"/>
                  </pic:nvPicPr>
                  <pic:blipFill>
                    <a:blip r:embed="rId20"/>
                    <a:srcRect/>
                    <a:stretch>
                      <a:fillRect/>
                    </a:stretch>
                  </pic:blipFill>
                  <pic:spPr>
                    <a:xfrm>
                      <a:off x="0" y="0"/>
                      <a:ext cx="5115639" cy="7135221"/>
                    </a:xfrm>
                    <a:prstGeom prst="rect">
                      <a:avLst/>
                    </a:prstGeom>
                    <a:ln/>
                  </pic:spPr>
                </pic:pic>
              </a:graphicData>
            </a:graphic>
          </wp:inline>
        </w:drawing>
      </w:r>
    </w:p>
    <w:p w14:paraId="7BE6C2AE"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G - Assent Form (English)</w:t>
      </w:r>
      <w:r>
        <w:rPr>
          <w:rFonts w:ascii="Times New Roman" w:eastAsia="Times New Roman" w:hAnsi="Times New Roman" w:cs="Times New Roman"/>
          <w:noProof/>
        </w:rPr>
        <w:drawing>
          <wp:inline distT="114300" distB="114300" distL="114300" distR="114300" wp14:anchorId="3FB675DE" wp14:editId="55D4978B">
            <wp:extent cx="5400675" cy="6318220"/>
            <wp:effectExtent l="0" t="0" r="0" b="0"/>
            <wp:docPr id="69" name="image24.png" descr="A medical examination form with a white devic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9" name="image24.png" descr="A medical examination form with a white device&#10;&#10;Description automatically generated with medium confidence"/>
                    <pic:cNvPicPr preferRelativeResize="0"/>
                  </pic:nvPicPr>
                  <pic:blipFill>
                    <a:blip r:embed="rId21"/>
                    <a:srcRect t="4281"/>
                    <a:stretch>
                      <a:fillRect/>
                    </a:stretch>
                  </pic:blipFill>
                  <pic:spPr>
                    <a:xfrm>
                      <a:off x="0" y="0"/>
                      <a:ext cx="5400675" cy="6318220"/>
                    </a:xfrm>
                    <a:prstGeom prst="rect">
                      <a:avLst/>
                    </a:prstGeom>
                    <a:ln/>
                  </pic:spPr>
                </pic:pic>
              </a:graphicData>
            </a:graphic>
          </wp:inline>
        </w:drawing>
      </w:r>
    </w:p>
    <w:p w14:paraId="5EC796B4"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57C69DCA" wp14:editId="79A0369B">
            <wp:extent cx="5039428" cy="4620270"/>
            <wp:effectExtent l="0" t="0" r="0" b="0"/>
            <wp:docPr id="70" name="image21.png" descr="A screenshot of a white page&#10;&#10;Description automatically generated"/>
            <wp:cNvGraphicFramePr/>
            <a:graphic xmlns:a="http://schemas.openxmlformats.org/drawingml/2006/main">
              <a:graphicData uri="http://schemas.openxmlformats.org/drawingml/2006/picture">
                <pic:pic xmlns:pic="http://schemas.openxmlformats.org/drawingml/2006/picture">
                  <pic:nvPicPr>
                    <pic:cNvPr id="70" name="image21.png" descr="A screenshot of a white page&#10;&#10;Description automatically generated"/>
                    <pic:cNvPicPr preferRelativeResize="0"/>
                  </pic:nvPicPr>
                  <pic:blipFill>
                    <a:blip r:embed="rId22"/>
                    <a:srcRect/>
                    <a:stretch>
                      <a:fillRect/>
                    </a:stretch>
                  </pic:blipFill>
                  <pic:spPr>
                    <a:xfrm>
                      <a:off x="0" y="0"/>
                      <a:ext cx="5039428" cy="4620270"/>
                    </a:xfrm>
                    <a:prstGeom prst="rect">
                      <a:avLst/>
                    </a:prstGeom>
                    <a:ln/>
                  </pic:spPr>
                </pic:pic>
              </a:graphicData>
            </a:graphic>
          </wp:inline>
        </w:drawing>
      </w:r>
    </w:p>
    <w:p w14:paraId="29ED5D38"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125BCB8D" wp14:editId="669CA1C8">
            <wp:extent cx="5153744" cy="7278116"/>
            <wp:effectExtent l="0" t="0" r="0" b="0"/>
            <wp:docPr id="47" name="image9.png" descr="A close-up of a questionnaire&#10;&#10;Description automatically generated"/>
            <wp:cNvGraphicFramePr/>
            <a:graphic xmlns:a="http://schemas.openxmlformats.org/drawingml/2006/main">
              <a:graphicData uri="http://schemas.openxmlformats.org/drawingml/2006/picture">
                <pic:pic xmlns:pic="http://schemas.openxmlformats.org/drawingml/2006/picture">
                  <pic:nvPicPr>
                    <pic:cNvPr id="47" name="image9.png" descr="A close-up of a questionnaire&#10;&#10;Description automatically generated"/>
                    <pic:cNvPicPr preferRelativeResize="0"/>
                  </pic:nvPicPr>
                  <pic:blipFill>
                    <a:blip r:embed="rId23"/>
                    <a:srcRect/>
                    <a:stretch>
                      <a:fillRect/>
                    </a:stretch>
                  </pic:blipFill>
                  <pic:spPr>
                    <a:xfrm>
                      <a:off x="0" y="0"/>
                      <a:ext cx="5153744" cy="7278116"/>
                    </a:xfrm>
                    <a:prstGeom prst="rect">
                      <a:avLst/>
                    </a:prstGeom>
                    <a:ln/>
                  </pic:spPr>
                </pic:pic>
              </a:graphicData>
            </a:graphic>
          </wp:inline>
        </w:drawing>
      </w:r>
    </w:p>
    <w:p w14:paraId="121E016B"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rPr>
        <w:lastRenderedPageBreak/>
        <w:t>Appendix H - Assent Form (Malay)</w:t>
      </w:r>
      <w:r>
        <w:rPr>
          <w:rFonts w:ascii="Times New Roman" w:eastAsia="Times New Roman" w:hAnsi="Times New Roman" w:cs="Times New Roman"/>
          <w:noProof/>
        </w:rPr>
        <w:drawing>
          <wp:inline distT="0" distB="0" distL="0" distR="0" wp14:anchorId="21F77363" wp14:editId="2D126EDD">
            <wp:extent cx="5077534" cy="7030431"/>
            <wp:effectExtent l="0" t="0" r="0" b="0"/>
            <wp:docPr id="48"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4"/>
                    <a:srcRect/>
                    <a:stretch>
                      <a:fillRect/>
                    </a:stretch>
                  </pic:blipFill>
                  <pic:spPr>
                    <a:xfrm>
                      <a:off x="0" y="0"/>
                      <a:ext cx="5077534" cy="7030431"/>
                    </a:xfrm>
                    <a:prstGeom prst="rect">
                      <a:avLst/>
                    </a:prstGeom>
                    <a:ln/>
                  </pic:spPr>
                </pic:pic>
              </a:graphicData>
            </a:graphic>
          </wp:inline>
        </w:drawing>
      </w:r>
    </w:p>
    <w:p w14:paraId="242911B5"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3733DC38" wp14:editId="5B941234">
            <wp:extent cx="5096586" cy="3610479"/>
            <wp:effectExtent l="0" t="0" r="0" b="0"/>
            <wp:docPr id="49" name="image17.png" descr="A white text with black and red text&#10;&#10;Description automatically generated"/>
            <wp:cNvGraphicFramePr/>
            <a:graphic xmlns:a="http://schemas.openxmlformats.org/drawingml/2006/main">
              <a:graphicData uri="http://schemas.openxmlformats.org/drawingml/2006/picture">
                <pic:pic xmlns:pic="http://schemas.openxmlformats.org/drawingml/2006/picture">
                  <pic:nvPicPr>
                    <pic:cNvPr id="49" name="image17.png" descr="A white text with black and red text&#10;&#10;Description automatically generated"/>
                    <pic:cNvPicPr preferRelativeResize="0"/>
                  </pic:nvPicPr>
                  <pic:blipFill>
                    <a:blip r:embed="rId25"/>
                    <a:srcRect/>
                    <a:stretch>
                      <a:fillRect/>
                    </a:stretch>
                  </pic:blipFill>
                  <pic:spPr>
                    <a:xfrm>
                      <a:off x="0" y="0"/>
                      <a:ext cx="5096586" cy="3610479"/>
                    </a:xfrm>
                    <a:prstGeom prst="rect">
                      <a:avLst/>
                    </a:prstGeom>
                    <a:ln/>
                  </pic:spPr>
                </pic:pic>
              </a:graphicData>
            </a:graphic>
          </wp:inline>
        </w:drawing>
      </w:r>
    </w:p>
    <w:p w14:paraId="56990A32" w14:textId="77777777" w:rsidR="00C81AF3" w:rsidRDefault="00C81AF3" w:rsidP="00C81AF3">
      <w:pPr>
        <w:spacing w:line="480" w:lineRule="auto"/>
        <w:ind w:left="-57"/>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5A8B4821" wp14:editId="2C5B01C4">
            <wp:extent cx="5010849" cy="6230219"/>
            <wp:effectExtent l="0" t="0" r="0" b="0"/>
            <wp:docPr id="50" name="image18.png" descr="A white text with red text&#10;&#10;Description automatically generated"/>
            <wp:cNvGraphicFramePr/>
            <a:graphic xmlns:a="http://schemas.openxmlformats.org/drawingml/2006/main">
              <a:graphicData uri="http://schemas.openxmlformats.org/drawingml/2006/picture">
                <pic:pic xmlns:pic="http://schemas.openxmlformats.org/drawingml/2006/picture">
                  <pic:nvPicPr>
                    <pic:cNvPr id="50" name="image18.png" descr="A white text with red text&#10;&#10;Description automatically generated"/>
                    <pic:cNvPicPr preferRelativeResize="0"/>
                  </pic:nvPicPr>
                  <pic:blipFill>
                    <a:blip r:embed="rId26"/>
                    <a:srcRect/>
                    <a:stretch>
                      <a:fillRect/>
                    </a:stretch>
                  </pic:blipFill>
                  <pic:spPr>
                    <a:xfrm>
                      <a:off x="0" y="0"/>
                      <a:ext cx="5010849" cy="6230219"/>
                    </a:xfrm>
                    <a:prstGeom prst="rect">
                      <a:avLst/>
                    </a:prstGeom>
                    <a:ln/>
                  </pic:spPr>
                </pic:pic>
              </a:graphicData>
            </a:graphic>
          </wp:inline>
        </w:drawing>
      </w:r>
    </w:p>
    <w:p w14:paraId="0330ACB8" w14:textId="77777777" w:rsidR="00F553FF" w:rsidRPr="00C81AF3" w:rsidRDefault="00F553FF" w:rsidP="00C81AF3"/>
    <w:sectPr w:rsidR="00F553FF" w:rsidRPr="00C81AF3" w:rsidSect="00D36C0F">
      <w:footerReference w:type="default" r:id="rId27"/>
      <w:pgSz w:w="11900" w:h="16840"/>
      <w:pgMar w:top="1418" w:right="1418" w:bottom="1418" w:left="1985"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C2590" w14:textId="77777777" w:rsidR="00000000" w:rsidRDefault="00000000">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23</w:t>
    </w:r>
    <w:r>
      <w:rPr>
        <w:color w:val="000000"/>
      </w:rPr>
      <w:fldChar w:fldCharType="end"/>
    </w:r>
  </w:p>
  <w:p w14:paraId="6109BC9C" w14:textId="77777777" w:rsidR="00000000" w:rsidRDefault="00000000"/>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B608B"/>
    <w:multiLevelType w:val="hybridMultilevel"/>
    <w:tmpl w:val="EF9CF4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720608"/>
    <w:multiLevelType w:val="hybridMultilevel"/>
    <w:tmpl w:val="36EC46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755B78"/>
    <w:multiLevelType w:val="multilevel"/>
    <w:tmpl w:val="8684E5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A107A27"/>
    <w:multiLevelType w:val="multilevel"/>
    <w:tmpl w:val="D44C02C4"/>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FDE1269"/>
    <w:multiLevelType w:val="hybridMultilevel"/>
    <w:tmpl w:val="36EC4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6C8F6EE3"/>
    <w:multiLevelType w:val="multilevel"/>
    <w:tmpl w:val="8CC011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0053CC1"/>
    <w:multiLevelType w:val="multilevel"/>
    <w:tmpl w:val="01383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2AD3718"/>
    <w:multiLevelType w:val="hybridMultilevel"/>
    <w:tmpl w:val="36EC468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50289621">
    <w:abstractNumId w:val="2"/>
  </w:num>
  <w:num w:numId="2" w16cid:durableId="1389450987">
    <w:abstractNumId w:val="6"/>
  </w:num>
  <w:num w:numId="3" w16cid:durableId="342516188">
    <w:abstractNumId w:val="3"/>
  </w:num>
  <w:num w:numId="4" w16cid:durableId="643892740">
    <w:abstractNumId w:val="5"/>
  </w:num>
  <w:num w:numId="5" w16cid:durableId="706374329">
    <w:abstractNumId w:val="0"/>
  </w:num>
  <w:num w:numId="6" w16cid:durableId="258224428">
    <w:abstractNumId w:val="1"/>
  </w:num>
  <w:num w:numId="7" w16cid:durableId="1584490299">
    <w:abstractNumId w:val="7"/>
  </w:num>
  <w:num w:numId="8" w16cid:durableId="191603995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AF3"/>
    <w:rsid w:val="003C2EF4"/>
    <w:rsid w:val="00C81AF3"/>
    <w:rsid w:val="00D36C0F"/>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6ADC3"/>
  <w15:chartTrackingRefBased/>
  <w15:docId w15:val="{9BDA02F1-672B-42DC-BF2D-22AB08643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1AF3"/>
    <w:pPr>
      <w:spacing w:after="0" w:line="240" w:lineRule="auto"/>
    </w:pPr>
    <w:rPr>
      <w:rFonts w:ascii="Calibri" w:eastAsia="Calibri" w:hAnsi="Calibri" w:cs="Calibri"/>
      <w:kern w:val="0"/>
      <w:sz w:val="24"/>
      <w:szCs w:val="24"/>
      <w:lang w:val="en-GB" w:eastAsia="zh-CN"/>
      <w14:ligatures w14:val="none"/>
    </w:rPr>
  </w:style>
  <w:style w:type="paragraph" w:styleId="Heading1">
    <w:name w:val="heading 1"/>
    <w:basedOn w:val="Normal"/>
    <w:next w:val="Normal"/>
    <w:link w:val="Heading1Char"/>
    <w:uiPriority w:val="9"/>
    <w:qFormat/>
    <w:rsid w:val="00C81AF3"/>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C81AF3"/>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C81AF3"/>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C81AF3"/>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C81AF3"/>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C81AF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1AF3"/>
    <w:rPr>
      <w:rFonts w:ascii="Calibri" w:eastAsia="Calibri" w:hAnsi="Calibri" w:cs="Calibri"/>
      <w:b/>
      <w:kern w:val="0"/>
      <w:sz w:val="48"/>
      <w:szCs w:val="48"/>
      <w:lang w:val="en-GB" w:eastAsia="zh-CN"/>
      <w14:ligatures w14:val="none"/>
    </w:rPr>
  </w:style>
  <w:style w:type="character" w:customStyle="1" w:styleId="Heading2Char">
    <w:name w:val="Heading 2 Char"/>
    <w:basedOn w:val="DefaultParagraphFont"/>
    <w:link w:val="Heading2"/>
    <w:uiPriority w:val="9"/>
    <w:semiHidden/>
    <w:rsid w:val="00C81AF3"/>
    <w:rPr>
      <w:rFonts w:ascii="Calibri" w:eastAsia="Calibri" w:hAnsi="Calibri" w:cs="Calibri"/>
      <w:b/>
      <w:kern w:val="0"/>
      <w:sz w:val="36"/>
      <w:szCs w:val="36"/>
      <w:lang w:val="en-GB" w:eastAsia="zh-CN"/>
      <w14:ligatures w14:val="none"/>
    </w:rPr>
  </w:style>
  <w:style w:type="character" w:customStyle="1" w:styleId="Heading3Char">
    <w:name w:val="Heading 3 Char"/>
    <w:basedOn w:val="DefaultParagraphFont"/>
    <w:link w:val="Heading3"/>
    <w:uiPriority w:val="9"/>
    <w:semiHidden/>
    <w:rsid w:val="00C81AF3"/>
    <w:rPr>
      <w:rFonts w:ascii="Calibri" w:eastAsia="Calibri" w:hAnsi="Calibri" w:cs="Calibri"/>
      <w:b/>
      <w:kern w:val="0"/>
      <w:sz w:val="28"/>
      <w:szCs w:val="28"/>
      <w:lang w:val="en-GB" w:eastAsia="zh-CN"/>
      <w14:ligatures w14:val="none"/>
    </w:rPr>
  </w:style>
  <w:style w:type="character" w:customStyle="1" w:styleId="Heading4Char">
    <w:name w:val="Heading 4 Char"/>
    <w:basedOn w:val="DefaultParagraphFont"/>
    <w:link w:val="Heading4"/>
    <w:uiPriority w:val="9"/>
    <w:semiHidden/>
    <w:rsid w:val="00C81AF3"/>
    <w:rPr>
      <w:rFonts w:ascii="Calibri" w:eastAsia="Calibri" w:hAnsi="Calibri" w:cs="Calibri"/>
      <w:b/>
      <w:kern w:val="0"/>
      <w:sz w:val="24"/>
      <w:szCs w:val="24"/>
      <w:lang w:val="en-GB" w:eastAsia="zh-CN"/>
      <w14:ligatures w14:val="none"/>
    </w:rPr>
  </w:style>
  <w:style w:type="character" w:customStyle="1" w:styleId="Heading5Char">
    <w:name w:val="Heading 5 Char"/>
    <w:basedOn w:val="DefaultParagraphFont"/>
    <w:link w:val="Heading5"/>
    <w:uiPriority w:val="9"/>
    <w:semiHidden/>
    <w:rsid w:val="00C81AF3"/>
    <w:rPr>
      <w:rFonts w:ascii="Calibri" w:eastAsia="Calibri" w:hAnsi="Calibri" w:cs="Calibri"/>
      <w:b/>
      <w:kern w:val="0"/>
      <w:lang w:val="en-GB" w:eastAsia="zh-CN"/>
      <w14:ligatures w14:val="none"/>
    </w:rPr>
  </w:style>
  <w:style w:type="character" w:customStyle="1" w:styleId="Heading6Char">
    <w:name w:val="Heading 6 Char"/>
    <w:basedOn w:val="DefaultParagraphFont"/>
    <w:link w:val="Heading6"/>
    <w:uiPriority w:val="9"/>
    <w:semiHidden/>
    <w:rsid w:val="00C81AF3"/>
    <w:rPr>
      <w:rFonts w:ascii="Calibri" w:eastAsia="Calibri" w:hAnsi="Calibri" w:cs="Calibri"/>
      <w:b/>
      <w:kern w:val="0"/>
      <w:sz w:val="20"/>
      <w:szCs w:val="20"/>
      <w:lang w:val="en-GB" w:eastAsia="zh-CN"/>
      <w14:ligatures w14:val="none"/>
    </w:rPr>
  </w:style>
  <w:style w:type="paragraph" w:styleId="Title">
    <w:name w:val="Title"/>
    <w:basedOn w:val="Normal"/>
    <w:next w:val="Normal"/>
    <w:link w:val="TitleChar"/>
    <w:uiPriority w:val="10"/>
    <w:qFormat/>
    <w:rsid w:val="00C81AF3"/>
    <w:pPr>
      <w:keepNext/>
      <w:keepLines/>
      <w:spacing w:before="480" w:after="120"/>
    </w:pPr>
    <w:rPr>
      <w:b/>
      <w:sz w:val="72"/>
      <w:szCs w:val="72"/>
    </w:rPr>
  </w:style>
  <w:style w:type="character" w:customStyle="1" w:styleId="TitleChar">
    <w:name w:val="Title Char"/>
    <w:basedOn w:val="DefaultParagraphFont"/>
    <w:link w:val="Title"/>
    <w:uiPriority w:val="10"/>
    <w:rsid w:val="00C81AF3"/>
    <w:rPr>
      <w:rFonts w:ascii="Calibri" w:eastAsia="Calibri" w:hAnsi="Calibri" w:cs="Calibri"/>
      <w:b/>
      <w:kern w:val="0"/>
      <w:sz w:val="72"/>
      <w:szCs w:val="72"/>
      <w:lang w:val="en-GB" w:eastAsia="zh-CN"/>
      <w14:ligatures w14:val="none"/>
    </w:rPr>
  </w:style>
  <w:style w:type="table" w:styleId="TableGrid">
    <w:name w:val="Table Grid"/>
    <w:basedOn w:val="TableNormal"/>
    <w:uiPriority w:val="39"/>
    <w:rsid w:val="00C81AF3"/>
    <w:pPr>
      <w:spacing w:after="0" w:line="240" w:lineRule="auto"/>
    </w:pPr>
    <w:rPr>
      <w:rFonts w:ascii="Calibri" w:eastAsia="Calibri" w:hAnsi="Calibri" w:cs="Calibri"/>
      <w:kern w:val="0"/>
      <w:sz w:val="24"/>
      <w:szCs w:val="24"/>
      <w:lang w:val="en-GB"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81AF3"/>
    <w:pPr>
      <w:tabs>
        <w:tab w:val="center" w:pos="4513"/>
        <w:tab w:val="right" w:pos="9026"/>
      </w:tabs>
    </w:pPr>
  </w:style>
  <w:style w:type="character" w:customStyle="1" w:styleId="FooterChar">
    <w:name w:val="Footer Char"/>
    <w:basedOn w:val="DefaultParagraphFont"/>
    <w:link w:val="Footer"/>
    <w:uiPriority w:val="99"/>
    <w:rsid w:val="00C81AF3"/>
    <w:rPr>
      <w:rFonts w:ascii="Calibri" w:eastAsia="Calibri" w:hAnsi="Calibri" w:cs="Calibri"/>
      <w:kern w:val="0"/>
      <w:sz w:val="24"/>
      <w:szCs w:val="24"/>
      <w:lang w:val="en-GB" w:eastAsia="zh-CN"/>
      <w14:ligatures w14:val="none"/>
    </w:rPr>
  </w:style>
  <w:style w:type="character" w:styleId="PageNumber">
    <w:name w:val="page number"/>
    <w:basedOn w:val="DefaultParagraphFont"/>
    <w:uiPriority w:val="99"/>
    <w:semiHidden/>
    <w:unhideWhenUsed/>
    <w:rsid w:val="00C81AF3"/>
  </w:style>
  <w:style w:type="paragraph" w:styleId="BalloonText">
    <w:name w:val="Balloon Text"/>
    <w:basedOn w:val="Normal"/>
    <w:link w:val="BalloonTextChar"/>
    <w:uiPriority w:val="99"/>
    <w:semiHidden/>
    <w:unhideWhenUsed/>
    <w:rsid w:val="00C81AF3"/>
    <w:rPr>
      <w:rFonts w:ascii="Tahoma" w:hAnsi="Tahoma" w:cs="Tahoma"/>
      <w:sz w:val="16"/>
      <w:szCs w:val="16"/>
    </w:rPr>
  </w:style>
  <w:style w:type="character" w:customStyle="1" w:styleId="BalloonTextChar">
    <w:name w:val="Balloon Text Char"/>
    <w:basedOn w:val="DefaultParagraphFont"/>
    <w:link w:val="BalloonText"/>
    <w:uiPriority w:val="99"/>
    <w:semiHidden/>
    <w:rsid w:val="00C81AF3"/>
    <w:rPr>
      <w:rFonts w:ascii="Tahoma" w:eastAsia="Calibri" w:hAnsi="Tahoma" w:cs="Tahoma"/>
      <w:kern w:val="0"/>
      <w:sz w:val="16"/>
      <w:szCs w:val="16"/>
      <w:lang w:val="en-GB" w:eastAsia="zh-CN"/>
      <w14:ligatures w14:val="none"/>
    </w:rPr>
  </w:style>
  <w:style w:type="paragraph" w:styleId="DocumentMap">
    <w:name w:val="Document Map"/>
    <w:basedOn w:val="Normal"/>
    <w:link w:val="DocumentMapChar"/>
    <w:uiPriority w:val="99"/>
    <w:semiHidden/>
    <w:unhideWhenUsed/>
    <w:rsid w:val="00C81AF3"/>
    <w:rPr>
      <w:rFonts w:ascii="Times New Roman" w:hAnsi="Times New Roman" w:cs="Times New Roman"/>
    </w:rPr>
  </w:style>
  <w:style w:type="character" w:customStyle="1" w:styleId="DocumentMapChar">
    <w:name w:val="Document Map Char"/>
    <w:basedOn w:val="DefaultParagraphFont"/>
    <w:link w:val="DocumentMap"/>
    <w:uiPriority w:val="99"/>
    <w:semiHidden/>
    <w:rsid w:val="00C81AF3"/>
    <w:rPr>
      <w:rFonts w:ascii="Times New Roman" w:eastAsia="Calibri" w:hAnsi="Times New Roman" w:cs="Times New Roman"/>
      <w:kern w:val="0"/>
      <w:sz w:val="24"/>
      <w:szCs w:val="24"/>
      <w:lang w:val="en-GB" w:eastAsia="zh-CN"/>
      <w14:ligatures w14:val="none"/>
    </w:rPr>
  </w:style>
  <w:style w:type="paragraph" w:styleId="Header">
    <w:name w:val="header"/>
    <w:basedOn w:val="Normal"/>
    <w:link w:val="HeaderChar"/>
    <w:uiPriority w:val="99"/>
    <w:unhideWhenUsed/>
    <w:rsid w:val="00C81AF3"/>
    <w:pPr>
      <w:tabs>
        <w:tab w:val="center" w:pos="4320"/>
        <w:tab w:val="right" w:pos="8640"/>
      </w:tabs>
    </w:pPr>
  </w:style>
  <w:style w:type="character" w:customStyle="1" w:styleId="HeaderChar">
    <w:name w:val="Header Char"/>
    <w:basedOn w:val="DefaultParagraphFont"/>
    <w:link w:val="Header"/>
    <w:uiPriority w:val="99"/>
    <w:rsid w:val="00C81AF3"/>
    <w:rPr>
      <w:rFonts w:ascii="Calibri" w:eastAsia="Calibri" w:hAnsi="Calibri" w:cs="Calibri"/>
      <w:kern w:val="0"/>
      <w:sz w:val="24"/>
      <w:szCs w:val="24"/>
      <w:lang w:val="en-GB" w:eastAsia="zh-CN"/>
      <w14:ligatures w14:val="none"/>
    </w:rPr>
  </w:style>
  <w:style w:type="paragraph" w:styleId="HTMLPreformatted">
    <w:name w:val="HTML Preformatted"/>
    <w:basedOn w:val="Normal"/>
    <w:link w:val="HTMLPreformattedChar"/>
    <w:uiPriority w:val="99"/>
    <w:semiHidden/>
    <w:unhideWhenUsed/>
    <w:rsid w:val="00C81A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n-MY" w:eastAsia="en-MY"/>
    </w:rPr>
  </w:style>
  <w:style w:type="character" w:customStyle="1" w:styleId="HTMLPreformattedChar">
    <w:name w:val="HTML Preformatted Char"/>
    <w:basedOn w:val="DefaultParagraphFont"/>
    <w:link w:val="HTMLPreformatted"/>
    <w:uiPriority w:val="99"/>
    <w:semiHidden/>
    <w:rsid w:val="00C81AF3"/>
    <w:rPr>
      <w:rFonts w:ascii="Courier New" w:eastAsia="Times New Roman" w:hAnsi="Courier New" w:cs="Courier New"/>
      <w:kern w:val="0"/>
      <w:sz w:val="20"/>
      <w:szCs w:val="20"/>
      <w:lang w:val="en-MY" w:eastAsia="en-MY"/>
      <w14:ligatures w14:val="none"/>
    </w:rPr>
  </w:style>
  <w:style w:type="character" w:customStyle="1" w:styleId="gnkrckgcgsb">
    <w:name w:val="gnkrckgcgsb"/>
    <w:basedOn w:val="DefaultParagraphFont"/>
    <w:rsid w:val="00C81AF3"/>
  </w:style>
  <w:style w:type="paragraph" w:styleId="ListParagraph">
    <w:name w:val="List Paragraph"/>
    <w:basedOn w:val="Normal"/>
    <w:uiPriority w:val="34"/>
    <w:qFormat/>
    <w:rsid w:val="00C81AF3"/>
    <w:pPr>
      <w:ind w:left="720"/>
      <w:contextualSpacing/>
    </w:pPr>
  </w:style>
  <w:style w:type="character" w:styleId="Hyperlink">
    <w:name w:val="Hyperlink"/>
    <w:basedOn w:val="DefaultParagraphFont"/>
    <w:uiPriority w:val="99"/>
    <w:unhideWhenUsed/>
    <w:rsid w:val="00C81AF3"/>
    <w:rPr>
      <w:color w:val="0563C1" w:themeColor="hyperlink"/>
      <w:u w:val="single"/>
    </w:rPr>
  </w:style>
  <w:style w:type="character" w:styleId="UnresolvedMention">
    <w:name w:val="Unresolved Mention"/>
    <w:basedOn w:val="DefaultParagraphFont"/>
    <w:uiPriority w:val="99"/>
    <w:unhideWhenUsed/>
    <w:rsid w:val="00C81AF3"/>
    <w:rPr>
      <w:color w:val="605E5C"/>
      <w:shd w:val="clear" w:color="auto" w:fill="E1DFDD"/>
    </w:rPr>
  </w:style>
  <w:style w:type="paragraph" w:styleId="NormalWeb">
    <w:name w:val="Normal (Web)"/>
    <w:basedOn w:val="Normal"/>
    <w:uiPriority w:val="99"/>
    <w:unhideWhenUsed/>
    <w:rsid w:val="00C81AF3"/>
    <w:pPr>
      <w:spacing w:before="100" w:beforeAutospacing="1" w:after="100" w:afterAutospacing="1"/>
    </w:pPr>
    <w:rPr>
      <w:rFonts w:ascii="Times New Roman" w:eastAsia="Times New Roman" w:hAnsi="Times New Roman" w:cs="Times New Roman"/>
      <w:lang w:val="en-MY" w:eastAsia="en-MY"/>
    </w:rPr>
  </w:style>
  <w:style w:type="paragraph" w:customStyle="1" w:styleId="captionobject">
    <w:name w:val="caption_object"/>
    <w:basedOn w:val="Normal"/>
    <w:rsid w:val="00C81AF3"/>
    <w:pPr>
      <w:spacing w:before="100" w:beforeAutospacing="1" w:after="100" w:afterAutospacing="1"/>
    </w:pPr>
    <w:rPr>
      <w:rFonts w:ascii="Times New Roman" w:eastAsia="Times New Roman" w:hAnsi="Times New Roman" w:cs="Times New Roman"/>
      <w:lang w:val="en-MY" w:eastAsia="en-MY"/>
    </w:rPr>
  </w:style>
  <w:style w:type="paragraph" w:customStyle="1" w:styleId="Default">
    <w:name w:val="Default"/>
    <w:rsid w:val="00C81AF3"/>
    <w:pPr>
      <w:autoSpaceDE w:val="0"/>
      <w:autoSpaceDN w:val="0"/>
      <w:adjustRightInd w:val="0"/>
      <w:spacing w:after="0" w:line="240" w:lineRule="auto"/>
    </w:pPr>
    <w:rPr>
      <w:rFonts w:ascii="Arial" w:eastAsia="Calibri" w:hAnsi="Arial" w:cs="Arial"/>
      <w:color w:val="000000"/>
      <w:kern w:val="0"/>
      <w:sz w:val="24"/>
      <w:szCs w:val="24"/>
      <w:lang w:val="en-MY" w:eastAsia="zh-CN"/>
      <w14:ligatures w14:val="none"/>
    </w:rPr>
  </w:style>
  <w:style w:type="paragraph" w:styleId="NoSpacing">
    <w:name w:val="No Spacing"/>
    <w:uiPriority w:val="1"/>
    <w:qFormat/>
    <w:rsid w:val="00C81AF3"/>
    <w:pPr>
      <w:spacing w:after="0" w:line="240" w:lineRule="auto"/>
    </w:pPr>
    <w:rPr>
      <w:rFonts w:ascii="Calibri" w:eastAsia="Calibri" w:hAnsi="Calibri" w:cs="Times New Roman"/>
      <w:kern w:val="0"/>
      <w:lang w:eastAsia="zh-CN"/>
      <w14:ligatures w14:val="none"/>
    </w:rPr>
  </w:style>
  <w:style w:type="paragraph" w:styleId="Subtitle">
    <w:name w:val="Subtitle"/>
    <w:basedOn w:val="Normal"/>
    <w:next w:val="Normal"/>
    <w:link w:val="SubtitleChar"/>
    <w:uiPriority w:val="11"/>
    <w:qFormat/>
    <w:rsid w:val="00C81AF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C81AF3"/>
    <w:rPr>
      <w:rFonts w:ascii="Georgia" w:eastAsia="Georgia" w:hAnsi="Georgia" w:cs="Georgia"/>
      <w:i/>
      <w:color w:val="666666"/>
      <w:kern w:val="0"/>
      <w:sz w:val="48"/>
      <w:szCs w:val="48"/>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3640</Words>
  <Characters>20753</Characters>
  <Application>Microsoft Office Word</Application>
  <DocSecurity>0</DocSecurity>
  <Lines>172</Lines>
  <Paragraphs>48</Paragraphs>
  <ScaleCrop>false</ScaleCrop>
  <Company>Springer Nature</Company>
  <LinksUpToDate>false</LinksUpToDate>
  <CharactersWithSpaces>24345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2024-02-26T08:26:00Z</dcterms:created>
  <dcterms:modified xsi:type="dcterms:W3CDTF">2024-02-26T08:27:00Z</dcterms:modified>
</cp:coreProperties>
</file>