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EBB9B" w14:textId="61060FED" w:rsidR="00FF0CE3" w:rsidRPr="00A00984" w:rsidRDefault="000A62A8" w:rsidP="000A62A8">
      <w:pPr>
        <w:jc w:val="center"/>
        <w:rPr>
          <w:rFonts w:ascii="Times New Roman" w:hAnsi="Times New Roman" w:cs="Times New Roman"/>
          <w:b/>
          <w:bCs/>
          <w:szCs w:val="21"/>
        </w:rPr>
      </w:pPr>
      <w:r w:rsidRPr="00A00984">
        <w:rPr>
          <w:rFonts w:ascii="Times New Roman" w:hAnsi="Times New Roman" w:cs="Times New Roman"/>
          <w:b/>
          <w:bCs/>
          <w:szCs w:val="21"/>
        </w:rPr>
        <w:t>Supplementary information</w:t>
      </w:r>
    </w:p>
    <w:p w14:paraId="75F52077" w14:textId="77777777" w:rsidR="000A62A8" w:rsidRPr="00A00984" w:rsidRDefault="000A62A8">
      <w:pPr>
        <w:rPr>
          <w:rFonts w:ascii="Times New Roman" w:hAnsi="Times New Roman" w:cs="Times New Roman"/>
          <w:szCs w:val="21"/>
        </w:rPr>
      </w:pPr>
    </w:p>
    <w:p w14:paraId="54662771" w14:textId="059D22E1" w:rsidR="000A62A8" w:rsidRPr="00A00984" w:rsidRDefault="00BC121C" w:rsidP="000A62A8">
      <w:pPr>
        <w:spacing w:line="480" w:lineRule="auto"/>
        <w:rPr>
          <w:rFonts w:ascii="Times New Roman" w:eastAsia="宋体" w:hAnsi="Times New Roman" w:cs="Times New Roman"/>
          <w:szCs w:val="21"/>
        </w:rPr>
      </w:pPr>
      <w:r w:rsidRPr="00A00984">
        <w:rPr>
          <w:rFonts w:ascii="Times New Roman" w:hAnsi="Times New Roman" w:cs="Times New Roman"/>
          <w:b/>
          <w:bCs/>
          <w:szCs w:val="21"/>
        </w:rPr>
        <w:t>Supplementary Figure S1</w:t>
      </w:r>
      <w:r w:rsidR="000A62A8" w:rsidRPr="00A00984">
        <w:rPr>
          <w:rFonts w:ascii="Times New Roman" w:eastAsia="宋体" w:hAnsi="Times New Roman" w:cs="Times New Roman"/>
          <w:szCs w:val="21"/>
        </w:rPr>
        <w:t xml:space="preserve"> UMAP plots showing the single-cell ATAC gene-activity scores for cluster-specific markers. Colors from dark blue to yellow represent the gene score from low to high level.</w:t>
      </w:r>
    </w:p>
    <w:p w14:paraId="6E03F563" w14:textId="081A3649" w:rsidR="000A62A8" w:rsidRPr="00A00984" w:rsidRDefault="00BC121C" w:rsidP="000A62A8">
      <w:pPr>
        <w:spacing w:line="480" w:lineRule="auto"/>
        <w:rPr>
          <w:rFonts w:ascii="Times New Roman" w:eastAsia="宋体" w:hAnsi="Times New Roman" w:cs="Times New Roman"/>
          <w:szCs w:val="21"/>
        </w:rPr>
      </w:pPr>
      <w:r w:rsidRPr="00A00984">
        <w:rPr>
          <w:rFonts w:ascii="Times New Roman" w:hAnsi="Times New Roman" w:cs="Times New Roman"/>
          <w:b/>
          <w:bCs/>
          <w:szCs w:val="21"/>
        </w:rPr>
        <w:t xml:space="preserve">Supplementary Figure S2 </w:t>
      </w:r>
      <w:r w:rsidR="000A62A8" w:rsidRPr="00A00984">
        <w:rPr>
          <w:rFonts w:ascii="Times New Roman" w:eastAsia="宋体" w:hAnsi="Times New Roman" w:cs="Times New Roman"/>
          <w:szCs w:val="21"/>
        </w:rPr>
        <w:t>Heatmap showing the expression levels of DEGs between case and control group. Colors on the top show the different cell types while the bottom color means the case(red) and control(blue) group.</w:t>
      </w:r>
    </w:p>
    <w:p w14:paraId="28E9C0EA" w14:textId="0D3A8E16" w:rsidR="000A62A8" w:rsidRPr="00A00984" w:rsidRDefault="00BC121C" w:rsidP="000A62A8">
      <w:pPr>
        <w:spacing w:line="480" w:lineRule="auto"/>
        <w:rPr>
          <w:rFonts w:ascii="Times New Roman" w:eastAsia="宋体" w:hAnsi="Times New Roman" w:cs="Times New Roman"/>
          <w:szCs w:val="21"/>
        </w:rPr>
      </w:pPr>
      <w:r w:rsidRPr="00A00984">
        <w:rPr>
          <w:rFonts w:ascii="Times New Roman" w:hAnsi="Times New Roman" w:cs="Times New Roman"/>
          <w:b/>
          <w:bCs/>
          <w:szCs w:val="21"/>
        </w:rPr>
        <w:t>Supplementary Figure S3</w:t>
      </w:r>
      <w:r w:rsidR="000A62A8" w:rsidRPr="00A00984">
        <w:rPr>
          <w:rFonts w:ascii="Times New Roman" w:eastAsia="宋体" w:hAnsi="Times New Roman" w:cs="Times New Roman"/>
          <w:szCs w:val="21"/>
        </w:rPr>
        <w:t xml:space="preserve"> Genome accessibility track visualization of IL10 with peak co-accessibility in case (up) and control (down) of specific cell types (B cell, B</w:t>
      </w:r>
      <w:r w:rsidR="0072765F">
        <w:rPr>
          <w:rFonts w:ascii="Times New Roman" w:eastAsia="宋体" w:hAnsi="Times New Roman" w:cs="Times New Roman"/>
          <w:szCs w:val="21"/>
        </w:rPr>
        <w:t>-</w:t>
      </w:r>
      <w:r w:rsidR="000A62A8" w:rsidRPr="00A00984">
        <w:rPr>
          <w:rFonts w:ascii="Times New Roman" w:eastAsia="宋体" w:hAnsi="Times New Roman" w:cs="Times New Roman"/>
          <w:szCs w:val="21"/>
        </w:rPr>
        <w:t>j</w:t>
      </w:r>
      <w:r w:rsidR="0072765F">
        <w:rPr>
          <w:rFonts w:ascii="Times New Roman" w:eastAsia="宋体" w:hAnsi="Times New Roman" w:cs="Times New Roman"/>
          <w:szCs w:val="21"/>
        </w:rPr>
        <w:t>-</w:t>
      </w:r>
      <w:r w:rsidR="000A62A8" w:rsidRPr="00A00984">
        <w:rPr>
          <w:rFonts w:ascii="Times New Roman" w:eastAsia="宋体" w:hAnsi="Times New Roman" w:cs="Times New Roman"/>
          <w:szCs w:val="21"/>
        </w:rPr>
        <w:t>chain</w:t>
      </w:r>
      <w:r w:rsidR="0072765F">
        <w:rPr>
          <w:rFonts w:ascii="Times New Roman" w:eastAsia="宋体" w:hAnsi="Times New Roman" w:cs="Times New Roman"/>
          <w:szCs w:val="21"/>
        </w:rPr>
        <w:t>+</w:t>
      </w:r>
      <w:r w:rsidR="000A62A8" w:rsidRPr="00A00984">
        <w:rPr>
          <w:rFonts w:ascii="Times New Roman" w:eastAsia="宋体" w:hAnsi="Times New Roman" w:cs="Times New Roman"/>
          <w:szCs w:val="21"/>
        </w:rPr>
        <w:t>, DC, DC+). Cell types are labeled on the top of each column. Colors from grey to dark represent the accessibility levels from low to high.</w:t>
      </w:r>
    </w:p>
    <w:p w14:paraId="2A9AA4DB" w14:textId="3E36CBC5" w:rsidR="000A62A8" w:rsidRPr="00A00984" w:rsidRDefault="00BC121C" w:rsidP="000A62A8">
      <w:pPr>
        <w:spacing w:line="480" w:lineRule="auto"/>
        <w:rPr>
          <w:rFonts w:ascii="Times New Roman" w:eastAsia="宋体" w:hAnsi="Times New Roman" w:cs="Times New Roman"/>
          <w:szCs w:val="21"/>
        </w:rPr>
      </w:pPr>
      <w:r w:rsidRPr="00A00984">
        <w:rPr>
          <w:rFonts w:ascii="Times New Roman" w:hAnsi="Times New Roman" w:cs="Times New Roman"/>
          <w:b/>
          <w:bCs/>
          <w:szCs w:val="21"/>
        </w:rPr>
        <w:t>Supplementary Figure S4</w:t>
      </w:r>
      <w:r w:rsidR="000A62A8" w:rsidRPr="00A00984">
        <w:rPr>
          <w:rFonts w:ascii="Times New Roman" w:eastAsia="宋体" w:hAnsi="Times New Roman" w:cs="Times New Roman"/>
          <w:szCs w:val="21"/>
        </w:rPr>
        <w:t xml:space="preserve"> Genome accessibility track visualization of CD44 with peak co-accessibility in case (up) and control (down) of specific cell types (B j</w:t>
      </w:r>
      <w:r w:rsidR="0072765F">
        <w:rPr>
          <w:rFonts w:ascii="Times New Roman" w:eastAsia="宋体" w:hAnsi="Times New Roman" w:cs="Times New Roman"/>
          <w:szCs w:val="21"/>
        </w:rPr>
        <w:t>-</w:t>
      </w:r>
      <w:r w:rsidR="000A62A8" w:rsidRPr="00A00984">
        <w:rPr>
          <w:rFonts w:ascii="Times New Roman" w:eastAsia="宋体" w:hAnsi="Times New Roman" w:cs="Times New Roman"/>
          <w:szCs w:val="21"/>
        </w:rPr>
        <w:t>chain</w:t>
      </w:r>
      <w:r w:rsidR="0072765F">
        <w:rPr>
          <w:rFonts w:ascii="Times New Roman" w:eastAsia="宋体" w:hAnsi="Times New Roman" w:cs="Times New Roman"/>
          <w:szCs w:val="21"/>
        </w:rPr>
        <w:t>+</w:t>
      </w:r>
      <w:r w:rsidR="000A62A8" w:rsidRPr="00A00984">
        <w:rPr>
          <w:rFonts w:ascii="Times New Roman" w:eastAsia="宋体" w:hAnsi="Times New Roman" w:cs="Times New Roman"/>
          <w:szCs w:val="21"/>
        </w:rPr>
        <w:t>, fib, Mac-</w:t>
      </w:r>
      <w:proofErr w:type="spellStart"/>
      <w:r w:rsidR="000A62A8" w:rsidRPr="00A00984">
        <w:rPr>
          <w:rFonts w:ascii="Times New Roman" w:eastAsia="宋体" w:hAnsi="Times New Roman" w:cs="Times New Roman"/>
          <w:szCs w:val="21"/>
        </w:rPr>
        <w:t>alv</w:t>
      </w:r>
      <w:proofErr w:type="spellEnd"/>
      <w:r w:rsidR="000A62A8" w:rsidRPr="00A00984">
        <w:rPr>
          <w:rFonts w:ascii="Times New Roman" w:eastAsia="宋体" w:hAnsi="Times New Roman" w:cs="Times New Roman"/>
          <w:szCs w:val="21"/>
        </w:rPr>
        <w:t>, T cell CD4+CD8+). Cell types are labeled on the top of each column. Colors from grey to dark represent the accessibility levels from low to high.</w:t>
      </w:r>
    </w:p>
    <w:p w14:paraId="09B322DB" w14:textId="7B9DCA48" w:rsidR="000A62A8" w:rsidRPr="00A00984" w:rsidRDefault="004411AD" w:rsidP="000A62A8">
      <w:pPr>
        <w:spacing w:line="480" w:lineRule="auto"/>
        <w:rPr>
          <w:rFonts w:ascii="Times New Roman" w:eastAsia="宋体" w:hAnsi="Times New Roman" w:cs="Times New Roman"/>
          <w:szCs w:val="21"/>
        </w:rPr>
      </w:pPr>
      <w:r w:rsidRPr="00A00984">
        <w:rPr>
          <w:rFonts w:ascii="Times New Roman" w:hAnsi="Times New Roman" w:cs="Times New Roman"/>
          <w:b/>
          <w:bCs/>
          <w:szCs w:val="21"/>
        </w:rPr>
        <w:t>Supplementary Figure S5</w:t>
      </w:r>
      <w:r w:rsidR="000A62A8" w:rsidRPr="00A00984">
        <w:rPr>
          <w:rFonts w:ascii="Times New Roman" w:eastAsia="宋体" w:hAnsi="Times New Roman" w:cs="Times New Roman"/>
          <w:color w:val="000000"/>
          <w:kern w:val="0"/>
          <w:szCs w:val="21"/>
        </w:rPr>
        <w:t xml:space="preserve"> </w:t>
      </w:r>
      <w:r w:rsidR="000A62A8" w:rsidRPr="00A00984">
        <w:rPr>
          <w:rFonts w:ascii="Times New Roman" w:eastAsia="宋体" w:hAnsi="Times New Roman" w:cs="Times New Roman"/>
          <w:szCs w:val="21"/>
        </w:rPr>
        <w:t>Bubble plot showing gene expression of each cell</w:t>
      </w:r>
      <w:r w:rsidR="0072765F">
        <w:rPr>
          <w:rFonts w:ascii="Times New Roman" w:eastAsia="宋体" w:hAnsi="Times New Roman" w:cs="Times New Roman"/>
          <w:szCs w:val="21"/>
        </w:rPr>
        <w:t xml:space="preserve"> </w:t>
      </w:r>
      <w:r w:rsidR="000A62A8" w:rsidRPr="00A00984">
        <w:rPr>
          <w:rFonts w:ascii="Times New Roman" w:eastAsia="宋体" w:hAnsi="Times New Roman" w:cs="Times New Roman"/>
          <w:szCs w:val="21"/>
        </w:rPr>
        <w:t>type markers in annotated clusters. The expression of identifying markers is sometimes evident in several clusters. For each group of markers, the dot size indicates the mean fraction of cells expressing the markers. Color indicates mean expression level.</w:t>
      </w:r>
    </w:p>
    <w:p w14:paraId="0063A54C" w14:textId="57B74105" w:rsidR="000A62A8" w:rsidRPr="00322CCC" w:rsidRDefault="004411AD" w:rsidP="000A62A8">
      <w:pPr>
        <w:spacing w:line="480" w:lineRule="auto"/>
        <w:rPr>
          <w:rFonts w:ascii="Times New Roman" w:eastAsia="宋体" w:hAnsi="Times New Roman" w:cs="Times New Roman" w:hint="eastAsia"/>
          <w:szCs w:val="21"/>
        </w:rPr>
      </w:pPr>
      <w:r w:rsidRPr="00A00984">
        <w:rPr>
          <w:rFonts w:ascii="Times New Roman" w:hAnsi="Times New Roman" w:cs="Times New Roman"/>
          <w:b/>
          <w:bCs/>
          <w:szCs w:val="21"/>
        </w:rPr>
        <w:t>Supplementary Figure S6</w:t>
      </w:r>
      <w:r w:rsidR="000A62A8" w:rsidRPr="00A00984">
        <w:rPr>
          <w:rFonts w:ascii="Times New Roman" w:eastAsia="宋体" w:hAnsi="Times New Roman" w:cs="Times New Roman"/>
          <w:color w:val="2E2E2E"/>
          <w:szCs w:val="21"/>
        </w:rPr>
        <w:t xml:space="preserve"> </w:t>
      </w:r>
      <w:r w:rsidR="000A62A8" w:rsidRPr="00A00984">
        <w:rPr>
          <w:rFonts w:ascii="Times New Roman" w:eastAsia="宋体" w:hAnsi="Times New Roman" w:cs="Times New Roman"/>
          <w:szCs w:val="21"/>
        </w:rPr>
        <w:t xml:space="preserve">Network plots showing the changes in ligand-receptor interaction events between different cell types in the case and control comparison groups. Cell-cell communication is indicated by the connected line. The thickness of the lines is positively correlated with the number </w:t>
      </w:r>
      <w:r w:rsidR="000A62A8" w:rsidRPr="00A00984">
        <w:rPr>
          <w:rFonts w:ascii="Times New Roman" w:eastAsia="宋体" w:hAnsi="Times New Roman" w:cs="Times New Roman"/>
          <w:szCs w:val="21"/>
        </w:rPr>
        <w:lastRenderedPageBreak/>
        <w:t xml:space="preserve">of ligand-receptor interaction events. </w:t>
      </w:r>
    </w:p>
    <w:sectPr w:rsidR="000A62A8" w:rsidRPr="00322C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F14E20" w14:textId="77777777" w:rsidR="00907367" w:rsidRDefault="00907367" w:rsidP="000A62A8">
      <w:r>
        <w:separator/>
      </w:r>
    </w:p>
  </w:endnote>
  <w:endnote w:type="continuationSeparator" w:id="0">
    <w:p w14:paraId="65090AC7" w14:textId="77777777" w:rsidR="00907367" w:rsidRDefault="00907367" w:rsidP="000A62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2EA257" w14:textId="77777777" w:rsidR="00907367" w:rsidRDefault="00907367" w:rsidP="000A62A8">
      <w:r>
        <w:separator/>
      </w:r>
    </w:p>
  </w:footnote>
  <w:footnote w:type="continuationSeparator" w:id="0">
    <w:p w14:paraId="47F6838F" w14:textId="77777777" w:rsidR="00907367" w:rsidRDefault="00907367" w:rsidP="000A62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CE3"/>
    <w:rsid w:val="000A62A8"/>
    <w:rsid w:val="00322CCC"/>
    <w:rsid w:val="004411AD"/>
    <w:rsid w:val="0072765F"/>
    <w:rsid w:val="00907367"/>
    <w:rsid w:val="00A00984"/>
    <w:rsid w:val="00BC121C"/>
    <w:rsid w:val="00F832C4"/>
    <w:rsid w:val="00FF0C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9DF3C7"/>
  <w15:chartTrackingRefBased/>
  <w15:docId w15:val="{761F29AE-0D81-4B21-8DF7-67EADA6CE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A62A8"/>
    <w:pPr>
      <w:tabs>
        <w:tab w:val="center" w:pos="4153"/>
        <w:tab w:val="right" w:pos="8306"/>
      </w:tabs>
      <w:snapToGrid w:val="0"/>
      <w:jc w:val="center"/>
    </w:pPr>
    <w:rPr>
      <w:sz w:val="18"/>
      <w:szCs w:val="18"/>
    </w:rPr>
  </w:style>
  <w:style w:type="character" w:customStyle="1" w:styleId="a4">
    <w:name w:val="页眉 字符"/>
    <w:basedOn w:val="a0"/>
    <w:link w:val="a3"/>
    <w:uiPriority w:val="99"/>
    <w:rsid w:val="000A62A8"/>
    <w:rPr>
      <w:sz w:val="18"/>
      <w:szCs w:val="18"/>
    </w:rPr>
  </w:style>
  <w:style w:type="paragraph" w:styleId="a5">
    <w:name w:val="footer"/>
    <w:basedOn w:val="a"/>
    <w:link w:val="a6"/>
    <w:uiPriority w:val="99"/>
    <w:unhideWhenUsed/>
    <w:rsid w:val="000A62A8"/>
    <w:pPr>
      <w:tabs>
        <w:tab w:val="center" w:pos="4153"/>
        <w:tab w:val="right" w:pos="8306"/>
      </w:tabs>
      <w:snapToGrid w:val="0"/>
      <w:jc w:val="left"/>
    </w:pPr>
    <w:rPr>
      <w:sz w:val="18"/>
      <w:szCs w:val="18"/>
    </w:rPr>
  </w:style>
  <w:style w:type="character" w:customStyle="1" w:styleId="a6">
    <w:name w:val="页脚 字符"/>
    <w:basedOn w:val="a0"/>
    <w:link w:val="a5"/>
    <w:uiPriority w:val="99"/>
    <w:rsid w:val="000A62A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260</Words>
  <Characters>1488</Characters>
  <Application>Microsoft Office Word</Application>
  <DocSecurity>0</DocSecurity>
  <Lines>12</Lines>
  <Paragraphs>3</Paragraphs>
  <ScaleCrop>false</ScaleCrop>
  <Company/>
  <LinksUpToDate>false</LinksUpToDate>
  <CharactersWithSpaces>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舒言</dc:creator>
  <cp:keywords/>
  <dc:description/>
  <cp:lastModifiedBy>张 舒言</cp:lastModifiedBy>
  <cp:revision>9</cp:revision>
  <dcterms:created xsi:type="dcterms:W3CDTF">2023-06-05T01:32:00Z</dcterms:created>
  <dcterms:modified xsi:type="dcterms:W3CDTF">2023-06-05T01:44:00Z</dcterms:modified>
</cp:coreProperties>
</file>