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DF66E3" w14:textId="77777777" w:rsidR="008406CE" w:rsidRPr="006A3DC6" w:rsidRDefault="008406CE" w:rsidP="008406CE">
      <w:pPr>
        <w:spacing w:line="240" w:lineRule="auto"/>
        <w:jc w:val="both"/>
        <w:rPr>
          <w:rFonts w:ascii="Times New Roman" w:eastAsia="Times New Roman" w:hAnsi="Times New Roman" w:cs="Times New Roman"/>
          <w:sz w:val="20"/>
          <w:szCs w:val="20"/>
        </w:rPr>
      </w:pPr>
      <w:r>
        <w:rPr>
          <w:rFonts w:ascii="Times New Roman" w:eastAsia="Times New Roman" w:hAnsi="Times New Roman" w:cs="Times New Roman"/>
          <w:b/>
          <w:sz w:val="20"/>
          <w:szCs w:val="20"/>
        </w:rPr>
        <w:t>Supplementary Fig.</w:t>
      </w:r>
      <w:r w:rsidRPr="006A3DC6">
        <w:rPr>
          <w:rFonts w:ascii="Times New Roman" w:eastAsia="Times New Roman" w:hAnsi="Times New Roman" w:cs="Times New Roman"/>
          <w:b/>
          <w:sz w:val="20"/>
          <w:szCs w:val="20"/>
        </w:rPr>
        <w:t xml:space="preserve"> S1</w:t>
      </w:r>
      <w:r w:rsidRPr="006A3DC6">
        <w:rPr>
          <w:rFonts w:ascii="Times New Roman" w:eastAsia="Times New Roman" w:hAnsi="Times New Roman" w:cs="Times New Roman"/>
          <w:sz w:val="20"/>
          <w:szCs w:val="20"/>
        </w:rPr>
        <w:t xml:space="preserve"> Principal component analysis </w:t>
      </w:r>
      <w:r>
        <w:rPr>
          <w:rFonts w:ascii="Times New Roman" w:eastAsia="Times New Roman" w:hAnsi="Times New Roman" w:cs="Times New Roman"/>
          <w:b/>
          <w:sz w:val="20"/>
          <w:szCs w:val="20"/>
        </w:rPr>
        <w:t>(a</w:t>
      </w:r>
      <w:r w:rsidRPr="006A3DC6">
        <w:rPr>
          <w:rFonts w:ascii="Times New Roman" w:eastAsia="Times New Roman" w:hAnsi="Times New Roman" w:cs="Times New Roman"/>
          <w:b/>
          <w:sz w:val="20"/>
          <w:szCs w:val="20"/>
        </w:rPr>
        <w:t>)</w:t>
      </w:r>
      <w:r w:rsidRPr="006A3DC6">
        <w:rPr>
          <w:rFonts w:ascii="Times New Roman" w:eastAsia="Times New Roman" w:hAnsi="Times New Roman" w:cs="Times New Roman"/>
          <w:sz w:val="20"/>
          <w:szCs w:val="20"/>
        </w:rPr>
        <w:t xml:space="preserve"> and its associated loading plot </w:t>
      </w:r>
      <w:r>
        <w:rPr>
          <w:rFonts w:ascii="Times New Roman" w:eastAsia="Times New Roman" w:hAnsi="Times New Roman" w:cs="Times New Roman"/>
          <w:b/>
          <w:sz w:val="20"/>
          <w:szCs w:val="20"/>
        </w:rPr>
        <w:t>(b</w:t>
      </w:r>
      <w:r w:rsidRPr="006A3DC6">
        <w:rPr>
          <w:rFonts w:ascii="Times New Roman" w:eastAsia="Times New Roman" w:hAnsi="Times New Roman" w:cs="Times New Roman"/>
          <w:b/>
          <w:sz w:val="20"/>
          <w:szCs w:val="20"/>
        </w:rPr>
        <w:t>)</w:t>
      </w:r>
      <w:r w:rsidRPr="006A3DC6">
        <w:rPr>
          <w:rFonts w:ascii="Times New Roman" w:eastAsia="Times New Roman" w:hAnsi="Times New Roman" w:cs="Times New Roman"/>
          <w:sz w:val="20"/>
          <w:szCs w:val="20"/>
        </w:rPr>
        <w:t xml:space="preserve"> using all detected phloem metabolites in the nine different cultivars after derivatization with TMS. (C) Scot plot of principal component analysis (PCA) by excluding the partially resistant </w:t>
      </w:r>
      <w:r w:rsidRPr="006A3DC6">
        <w:rPr>
          <w:rFonts w:ascii="Times New Roman" w:eastAsia="Times New Roman" w:hAnsi="Times New Roman" w:cs="Times New Roman"/>
          <w:i/>
          <w:sz w:val="20"/>
          <w:szCs w:val="20"/>
        </w:rPr>
        <w:t>Citrus australasica</w:t>
      </w:r>
      <w:r w:rsidRPr="006A3DC6">
        <w:rPr>
          <w:rFonts w:ascii="Times New Roman" w:eastAsia="Times New Roman" w:hAnsi="Times New Roman" w:cs="Times New Roman"/>
          <w:sz w:val="20"/>
          <w:szCs w:val="20"/>
        </w:rPr>
        <w:t xml:space="preserve"> (PR1) shows recognizable differences in the composition between the susceptible samples (S1, S2 and S3; in green) and the resistant (R1, R2 and R3, in blue) and partially resistant (PR1, PR2 and PR3 in red) after derivatiza</w:t>
      </w:r>
      <w:r>
        <w:rPr>
          <w:rFonts w:ascii="Times New Roman" w:eastAsia="Times New Roman" w:hAnsi="Times New Roman" w:cs="Times New Roman"/>
          <w:sz w:val="20"/>
          <w:szCs w:val="20"/>
        </w:rPr>
        <w:t>tion with Trimethylsilyl (TMS)</w:t>
      </w:r>
    </w:p>
    <w:p w14:paraId="657ABE25" w14:textId="77777777" w:rsidR="008406CE" w:rsidRPr="006A3DC6" w:rsidRDefault="008406CE" w:rsidP="008406CE">
      <w:pPr>
        <w:spacing w:line="240" w:lineRule="auto"/>
        <w:jc w:val="both"/>
        <w:rPr>
          <w:rFonts w:ascii="Times New Roman" w:eastAsia="Times New Roman" w:hAnsi="Times New Roman" w:cs="Times New Roman"/>
          <w:sz w:val="20"/>
          <w:szCs w:val="20"/>
        </w:rPr>
      </w:pPr>
      <w:r>
        <w:rPr>
          <w:rFonts w:ascii="Times New Roman" w:eastAsia="Times New Roman" w:hAnsi="Times New Roman" w:cs="Times New Roman"/>
          <w:b/>
          <w:sz w:val="20"/>
          <w:szCs w:val="20"/>
        </w:rPr>
        <w:t>Supplementary Fig. S2</w:t>
      </w:r>
      <w:r w:rsidRPr="006A3DC6">
        <w:rPr>
          <w:rFonts w:ascii="Times New Roman" w:eastAsia="Times New Roman" w:hAnsi="Times New Roman" w:cs="Times New Roman"/>
          <w:b/>
          <w:sz w:val="20"/>
          <w:szCs w:val="20"/>
        </w:rPr>
        <w:t xml:space="preserve"> </w:t>
      </w:r>
      <w:r w:rsidRPr="006A3DC6">
        <w:rPr>
          <w:rFonts w:ascii="Times New Roman" w:eastAsia="Times New Roman" w:hAnsi="Times New Roman" w:cs="Times New Roman"/>
          <w:sz w:val="20"/>
          <w:szCs w:val="20"/>
        </w:rPr>
        <w:t xml:space="preserve">Individual organic acid distribution in all the analyzed phloem sap samples. Values represent the percentage of each metabolite over the total organic and inorganic acids in each sample. </w:t>
      </w:r>
      <w:bookmarkStart w:id="0" w:name="_Hlk148972291"/>
      <w:r w:rsidRPr="006A3DC6">
        <w:rPr>
          <w:rFonts w:ascii="Times New Roman" w:eastAsia="Times New Roman" w:hAnsi="Times New Roman" w:cs="Times New Roman"/>
          <w:sz w:val="20"/>
          <w:szCs w:val="20"/>
        </w:rPr>
        <w:t>The percentage of each component was calculated from the Total Ion Chromatogram (TIC). Susceptible (S in green), Partially Resistant (PR in orange) and Resistant (R in red)</w:t>
      </w:r>
    </w:p>
    <w:bookmarkEnd w:id="0"/>
    <w:p w14:paraId="30DD8DAC" w14:textId="77777777" w:rsidR="008406CE" w:rsidRPr="006A3DC6" w:rsidRDefault="008406CE" w:rsidP="008406CE">
      <w:pPr>
        <w:spacing w:line="240" w:lineRule="auto"/>
        <w:jc w:val="both"/>
        <w:rPr>
          <w:rFonts w:ascii="Times New Roman" w:eastAsia="Times New Roman" w:hAnsi="Times New Roman" w:cs="Times New Roman"/>
          <w:sz w:val="20"/>
          <w:szCs w:val="20"/>
        </w:rPr>
      </w:pPr>
      <w:r>
        <w:rPr>
          <w:rFonts w:ascii="Times New Roman" w:eastAsia="Times New Roman" w:hAnsi="Times New Roman" w:cs="Times New Roman"/>
          <w:b/>
          <w:sz w:val="20"/>
          <w:szCs w:val="20"/>
        </w:rPr>
        <w:t>Supplementary Fig. S3</w:t>
      </w:r>
      <w:r w:rsidRPr="006A3DC6">
        <w:rPr>
          <w:rFonts w:ascii="Times New Roman" w:eastAsia="Times New Roman" w:hAnsi="Times New Roman" w:cs="Times New Roman"/>
          <w:b/>
          <w:sz w:val="20"/>
          <w:szCs w:val="20"/>
        </w:rPr>
        <w:t xml:space="preserve"> </w:t>
      </w:r>
      <w:r w:rsidRPr="006A3DC6">
        <w:rPr>
          <w:rFonts w:ascii="Times New Roman" w:eastAsia="Times New Roman" w:hAnsi="Times New Roman" w:cs="Times New Roman"/>
          <w:sz w:val="20"/>
          <w:szCs w:val="20"/>
        </w:rPr>
        <w:t xml:space="preserve">Graphics represent the average of each detected organic/inorganic acid over the total organic/inorganic acids in percentage within each category; Susceptible (S), Partially Resistant (PR), and Resistant (R). Different scales correspond to the most abundant </w:t>
      </w:r>
      <w:r>
        <w:rPr>
          <w:rFonts w:ascii="Times New Roman" w:eastAsia="Times New Roman" w:hAnsi="Times New Roman" w:cs="Times New Roman"/>
          <w:b/>
          <w:sz w:val="20"/>
          <w:szCs w:val="20"/>
        </w:rPr>
        <w:t>(a</w:t>
      </w:r>
      <w:r w:rsidRPr="006A3DC6">
        <w:rPr>
          <w:rFonts w:ascii="Times New Roman" w:eastAsia="Times New Roman" w:hAnsi="Times New Roman" w:cs="Times New Roman"/>
          <w:b/>
          <w:sz w:val="20"/>
          <w:szCs w:val="20"/>
        </w:rPr>
        <w:t>)</w:t>
      </w:r>
      <w:r w:rsidRPr="006A3DC6">
        <w:rPr>
          <w:rFonts w:ascii="Times New Roman" w:eastAsia="Times New Roman" w:hAnsi="Times New Roman" w:cs="Times New Roman"/>
          <w:sz w:val="20"/>
          <w:szCs w:val="20"/>
        </w:rPr>
        <w:t xml:space="preserve"> and the minority </w:t>
      </w:r>
      <w:r>
        <w:rPr>
          <w:rFonts w:ascii="Times New Roman" w:eastAsia="Times New Roman" w:hAnsi="Times New Roman" w:cs="Times New Roman"/>
          <w:b/>
          <w:sz w:val="20"/>
          <w:szCs w:val="20"/>
        </w:rPr>
        <w:t>(b</w:t>
      </w:r>
      <w:r w:rsidRPr="006A3DC6">
        <w:rPr>
          <w:rFonts w:ascii="Times New Roman" w:eastAsia="Times New Roman" w:hAnsi="Times New Roman" w:cs="Times New Roman"/>
          <w:b/>
          <w:sz w:val="20"/>
          <w:szCs w:val="20"/>
        </w:rPr>
        <w:t>)</w:t>
      </w:r>
      <w:r w:rsidRPr="006A3DC6">
        <w:rPr>
          <w:rFonts w:ascii="Times New Roman" w:eastAsia="Times New Roman" w:hAnsi="Times New Roman" w:cs="Times New Roman"/>
          <w:sz w:val="20"/>
          <w:szCs w:val="20"/>
        </w:rPr>
        <w:t xml:space="preserve"> organic/inorganic acids detected in the phloem sap. The percentage of each component was calculated from t</w:t>
      </w:r>
      <w:r>
        <w:rPr>
          <w:rFonts w:ascii="Times New Roman" w:eastAsia="Times New Roman" w:hAnsi="Times New Roman" w:cs="Times New Roman"/>
          <w:sz w:val="20"/>
          <w:szCs w:val="20"/>
        </w:rPr>
        <w:t>he Total Ion Chromatogram (TIC)</w:t>
      </w:r>
    </w:p>
    <w:p w14:paraId="3E90DF78" w14:textId="77777777" w:rsidR="008406CE" w:rsidRPr="006A3DC6" w:rsidRDefault="008406CE" w:rsidP="008406CE">
      <w:pPr>
        <w:spacing w:line="240" w:lineRule="auto"/>
        <w:jc w:val="both"/>
        <w:rPr>
          <w:rFonts w:ascii="Times New Roman" w:eastAsia="Times New Roman" w:hAnsi="Times New Roman" w:cs="Times New Roman"/>
          <w:sz w:val="20"/>
          <w:szCs w:val="20"/>
        </w:rPr>
      </w:pPr>
      <w:r>
        <w:rPr>
          <w:rFonts w:ascii="Times New Roman" w:eastAsia="Times New Roman" w:hAnsi="Times New Roman" w:cs="Times New Roman"/>
          <w:b/>
          <w:sz w:val="20"/>
          <w:szCs w:val="20"/>
        </w:rPr>
        <w:t>Supplementary Fig.</w:t>
      </w:r>
      <w:r w:rsidRPr="006A3DC6">
        <w:rPr>
          <w:rFonts w:ascii="Times New Roman" w:eastAsia="Times New Roman" w:hAnsi="Times New Roman" w:cs="Times New Roman"/>
          <w:b/>
          <w:sz w:val="20"/>
          <w:szCs w:val="20"/>
        </w:rPr>
        <w:t xml:space="preserve"> S4. </w:t>
      </w:r>
      <w:r w:rsidRPr="006A3DC6">
        <w:rPr>
          <w:rFonts w:ascii="Times New Roman" w:eastAsia="Times New Roman" w:hAnsi="Times New Roman" w:cs="Times New Roman"/>
          <w:sz w:val="20"/>
          <w:szCs w:val="20"/>
        </w:rPr>
        <w:t>Loading plot using all detected phloem organic and inorganic acids in the Resistant (R) and Susceptible (S) samples after derivatization with Trimethylsilyl (TMS).</w:t>
      </w:r>
    </w:p>
    <w:p w14:paraId="56D9CC38" w14:textId="77777777" w:rsidR="008406CE" w:rsidRPr="006A3DC6" w:rsidRDefault="008406CE" w:rsidP="008406CE">
      <w:pPr>
        <w:spacing w:line="240" w:lineRule="auto"/>
        <w:jc w:val="both"/>
        <w:rPr>
          <w:rFonts w:ascii="Times New Roman" w:eastAsia="Times New Roman" w:hAnsi="Times New Roman" w:cs="Times New Roman"/>
          <w:sz w:val="20"/>
          <w:szCs w:val="20"/>
        </w:rPr>
      </w:pPr>
      <w:r>
        <w:rPr>
          <w:rFonts w:ascii="Times New Roman" w:eastAsia="Times New Roman" w:hAnsi="Times New Roman" w:cs="Times New Roman"/>
          <w:b/>
          <w:sz w:val="20"/>
          <w:szCs w:val="20"/>
        </w:rPr>
        <w:t>Supplementary Fig.</w:t>
      </w:r>
      <w:r w:rsidRPr="006A3DC6">
        <w:rPr>
          <w:rFonts w:ascii="Times New Roman" w:eastAsia="Times New Roman" w:hAnsi="Times New Roman" w:cs="Times New Roman"/>
          <w:b/>
          <w:sz w:val="20"/>
          <w:szCs w:val="20"/>
        </w:rPr>
        <w:t xml:space="preserve"> S5. </w:t>
      </w:r>
      <w:r w:rsidRPr="006A3DC6">
        <w:rPr>
          <w:rFonts w:ascii="Times New Roman" w:eastAsia="Times New Roman" w:hAnsi="Times New Roman" w:cs="Times New Roman"/>
          <w:sz w:val="20"/>
          <w:szCs w:val="20"/>
        </w:rPr>
        <w:t xml:space="preserve">Principal component analysis (PCA) </w:t>
      </w:r>
      <w:r w:rsidRPr="006A3DC6">
        <w:rPr>
          <w:rFonts w:ascii="Times New Roman" w:eastAsia="Times New Roman" w:hAnsi="Times New Roman" w:cs="Times New Roman"/>
          <w:b/>
          <w:sz w:val="20"/>
          <w:szCs w:val="20"/>
        </w:rPr>
        <w:t xml:space="preserve">(A) </w:t>
      </w:r>
      <w:r w:rsidRPr="006A3DC6">
        <w:rPr>
          <w:rFonts w:ascii="Times New Roman" w:eastAsia="Times New Roman" w:hAnsi="Times New Roman" w:cs="Times New Roman"/>
          <w:sz w:val="20"/>
          <w:szCs w:val="20"/>
        </w:rPr>
        <w:t xml:space="preserve">and its associated loading plot </w:t>
      </w:r>
      <w:r w:rsidRPr="006A3DC6">
        <w:rPr>
          <w:rFonts w:ascii="Times New Roman" w:eastAsia="Times New Roman" w:hAnsi="Times New Roman" w:cs="Times New Roman"/>
          <w:b/>
          <w:sz w:val="20"/>
          <w:szCs w:val="20"/>
        </w:rPr>
        <w:t>(B)</w:t>
      </w:r>
      <w:r w:rsidRPr="006A3DC6">
        <w:rPr>
          <w:rFonts w:ascii="Times New Roman" w:eastAsia="Times New Roman" w:hAnsi="Times New Roman" w:cs="Times New Roman"/>
          <w:sz w:val="20"/>
          <w:szCs w:val="20"/>
        </w:rPr>
        <w:t xml:space="preserve"> using all detected phloem sugars and sugar derivatives in all phloem sap analysed samples with the exception of PR1 (</w:t>
      </w:r>
      <w:r w:rsidRPr="006A3DC6">
        <w:rPr>
          <w:rFonts w:ascii="Times New Roman" w:eastAsia="Times New Roman" w:hAnsi="Times New Roman" w:cs="Times New Roman"/>
          <w:i/>
          <w:sz w:val="20"/>
          <w:szCs w:val="20"/>
        </w:rPr>
        <w:t>Microcitrus australasica</w:t>
      </w:r>
      <w:r w:rsidRPr="006A3DC6">
        <w:rPr>
          <w:rFonts w:ascii="Times New Roman" w:eastAsia="Times New Roman" w:hAnsi="Times New Roman" w:cs="Times New Roman"/>
          <w:sz w:val="20"/>
          <w:szCs w:val="20"/>
        </w:rPr>
        <w:t>). Susceptible (S), Partially resistant (PR) and Resistant (R).</w:t>
      </w:r>
    </w:p>
    <w:p w14:paraId="7C7C6113" w14:textId="77777777" w:rsidR="008406CE" w:rsidRPr="006A3DC6" w:rsidRDefault="008406CE" w:rsidP="008406CE">
      <w:pPr>
        <w:spacing w:line="240" w:lineRule="auto"/>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Supplementary Fig.</w:t>
      </w:r>
      <w:r w:rsidRPr="006A3DC6">
        <w:rPr>
          <w:rFonts w:ascii="Times New Roman" w:eastAsia="Times New Roman" w:hAnsi="Times New Roman" w:cs="Times New Roman"/>
          <w:b/>
          <w:sz w:val="20"/>
          <w:szCs w:val="20"/>
        </w:rPr>
        <w:t xml:space="preserve"> S6. </w:t>
      </w:r>
      <w:r w:rsidRPr="006A3DC6">
        <w:rPr>
          <w:rFonts w:ascii="Times New Roman" w:eastAsia="Times New Roman" w:hAnsi="Times New Roman" w:cs="Times New Roman"/>
          <w:sz w:val="20"/>
          <w:szCs w:val="20"/>
        </w:rPr>
        <w:t xml:space="preserve">Individual sugar and sugar derivatives distribution in all the analyzed phloem sap samples. Values represent the percentage of each metabolite related to the total sugar and sugar derivatives in each sample. </w:t>
      </w:r>
      <w:bookmarkStart w:id="1" w:name="_Hlk148972572"/>
      <w:r w:rsidRPr="006A3DC6">
        <w:rPr>
          <w:rFonts w:ascii="Times New Roman" w:eastAsia="Times New Roman" w:hAnsi="Times New Roman" w:cs="Times New Roman"/>
          <w:sz w:val="20"/>
          <w:szCs w:val="20"/>
        </w:rPr>
        <w:t>The percentage of each component was calculated from the Total Ion Chromatogram (TIC). Susceptible (S in green), Partially Resistant (PR in orange) and Resistant (R in red).</w:t>
      </w:r>
    </w:p>
    <w:bookmarkEnd w:id="1"/>
    <w:p w14:paraId="4AA502D9" w14:textId="77777777" w:rsidR="008406CE" w:rsidRPr="006A3DC6" w:rsidRDefault="008406CE" w:rsidP="008406CE">
      <w:pPr>
        <w:spacing w:line="240" w:lineRule="auto"/>
        <w:jc w:val="both"/>
        <w:rPr>
          <w:rFonts w:ascii="Times New Roman" w:eastAsia="Times New Roman" w:hAnsi="Times New Roman" w:cs="Times New Roman"/>
          <w:sz w:val="20"/>
          <w:szCs w:val="20"/>
        </w:rPr>
      </w:pPr>
      <w:r>
        <w:rPr>
          <w:rFonts w:ascii="Times New Roman" w:eastAsia="Times New Roman" w:hAnsi="Times New Roman" w:cs="Times New Roman"/>
          <w:b/>
          <w:sz w:val="20"/>
          <w:szCs w:val="20"/>
        </w:rPr>
        <w:t>Supplementary Fig.</w:t>
      </w:r>
      <w:r w:rsidRPr="006A3DC6">
        <w:rPr>
          <w:rFonts w:ascii="Times New Roman" w:eastAsia="Times New Roman" w:hAnsi="Times New Roman" w:cs="Times New Roman"/>
          <w:b/>
          <w:sz w:val="20"/>
          <w:szCs w:val="20"/>
        </w:rPr>
        <w:t xml:space="preserve"> S7. </w:t>
      </w:r>
      <w:r w:rsidRPr="006A3DC6">
        <w:rPr>
          <w:rFonts w:ascii="Times New Roman" w:eastAsia="Times New Roman" w:hAnsi="Times New Roman" w:cs="Times New Roman"/>
          <w:sz w:val="20"/>
          <w:szCs w:val="20"/>
        </w:rPr>
        <w:t xml:space="preserve">Percentage of non-proteinogenic amino acids (NPAAs in yelow), essential amino acids (EAAs in dark green), and non-essential amino acids (NEAAs in light green) in the analyzed samples. </w:t>
      </w:r>
      <w:r w:rsidRPr="006A3DC6">
        <w:rPr>
          <w:rFonts w:ascii="Times New Roman" w:eastAsia="Times New Roman" w:hAnsi="Times New Roman" w:cs="Times New Roman"/>
          <w:i/>
          <w:sz w:val="20"/>
          <w:szCs w:val="20"/>
        </w:rPr>
        <w:t xml:space="preserve">Citrus sinensis </w:t>
      </w:r>
      <w:bookmarkStart w:id="2" w:name="_Hlk139466762"/>
      <w:r w:rsidRPr="006A3DC6">
        <w:rPr>
          <w:rFonts w:ascii="Times New Roman" w:eastAsia="Times New Roman" w:hAnsi="Times New Roman" w:cs="Times New Roman"/>
          <w:i/>
          <w:sz w:val="20"/>
          <w:szCs w:val="20"/>
        </w:rPr>
        <w:t>"</w:t>
      </w:r>
      <w:bookmarkEnd w:id="2"/>
      <w:r w:rsidRPr="006A3DC6">
        <w:rPr>
          <w:rFonts w:ascii="Times New Roman" w:eastAsia="Times New Roman" w:hAnsi="Times New Roman" w:cs="Times New Roman"/>
          <w:i/>
          <w:sz w:val="20"/>
          <w:szCs w:val="20"/>
        </w:rPr>
        <w:t>Pera"</w:t>
      </w:r>
      <w:r w:rsidRPr="006A3DC6" w:rsidDel="001F6EF6">
        <w:rPr>
          <w:rFonts w:ascii="Times New Roman" w:eastAsia="Times New Roman" w:hAnsi="Times New Roman" w:cs="Times New Roman"/>
          <w:sz w:val="20"/>
          <w:szCs w:val="20"/>
        </w:rPr>
        <w:t xml:space="preserve"> </w:t>
      </w:r>
      <w:r w:rsidRPr="006A3DC6">
        <w:rPr>
          <w:rFonts w:ascii="Times New Roman" w:eastAsia="Times New Roman" w:hAnsi="Times New Roman" w:cs="Times New Roman"/>
          <w:sz w:val="20"/>
          <w:szCs w:val="20"/>
        </w:rPr>
        <w:t xml:space="preserve">(S1), </w:t>
      </w:r>
      <w:r w:rsidRPr="006A3DC6">
        <w:rPr>
          <w:rFonts w:ascii="Times New Roman" w:eastAsia="Times New Roman" w:hAnsi="Times New Roman" w:cs="Times New Roman"/>
          <w:i/>
          <w:sz w:val="20"/>
          <w:szCs w:val="20"/>
        </w:rPr>
        <w:t>Poncirus trifoliata Rubidoux</w:t>
      </w:r>
      <w:r w:rsidRPr="006A3DC6">
        <w:rPr>
          <w:rFonts w:ascii="Times New Roman" w:eastAsia="Times New Roman" w:hAnsi="Times New Roman" w:cs="Times New Roman"/>
          <w:sz w:val="20"/>
          <w:szCs w:val="20"/>
        </w:rPr>
        <w:t xml:space="preserve"> (S2), </w:t>
      </w:r>
      <w:r w:rsidRPr="006A3DC6">
        <w:rPr>
          <w:rFonts w:ascii="Times New Roman" w:eastAsia="Times New Roman" w:hAnsi="Times New Roman" w:cs="Times New Roman"/>
          <w:i/>
          <w:sz w:val="20"/>
          <w:szCs w:val="20"/>
        </w:rPr>
        <w:t>Citrus sinensis valencia Midknight</w:t>
      </w:r>
      <w:r w:rsidRPr="006A3DC6">
        <w:rPr>
          <w:rFonts w:ascii="Times New Roman" w:eastAsia="Times New Roman" w:hAnsi="Times New Roman" w:cs="Times New Roman"/>
          <w:sz w:val="20"/>
          <w:szCs w:val="20"/>
        </w:rPr>
        <w:t xml:space="preserve"> (S3), </w:t>
      </w:r>
      <w:r w:rsidRPr="006A3DC6">
        <w:rPr>
          <w:rFonts w:ascii="Times New Roman" w:eastAsia="Times New Roman" w:hAnsi="Times New Roman" w:cs="Times New Roman"/>
          <w:i/>
          <w:sz w:val="20"/>
          <w:szCs w:val="20"/>
        </w:rPr>
        <w:t>Microcitrus australasica</w:t>
      </w:r>
      <w:r w:rsidRPr="006A3DC6">
        <w:rPr>
          <w:rFonts w:ascii="Times New Roman" w:eastAsia="Times New Roman" w:hAnsi="Times New Roman" w:cs="Times New Roman"/>
          <w:sz w:val="20"/>
          <w:szCs w:val="20"/>
        </w:rPr>
        <w:t xml:space="preserve"> (PR1), </w:t>
      </w:r>
      <w:r w:rsidRPr="006A3DC6">
        <w:rPr>
          <w:rFonts w:ascii="Times New Roman" w:eastAsia="Times New Roman" w:hAnsi="Times New Roman" w:cs="Times New Roman"/>
          <w:i/>
          <w:sz w:val="20"/>
          <w:szCs w:val="20"/>
        </w:rPr>
        <w:t>Microcitrus virgata</w:t>
      </w:r>
      <w:r w:rsidRPr="006A3DC6">
        <w:rPr>
          <w:rFonts w:ascii="Times New Roman" w:eastAsia="Times New Roman" w:hAnsi="Times New Roman" w:cs="Times New Roman"/>
          <w:sz w:val="20"/>
          <w:szCs w:val="20"/>
        </w:rPr>
        <w:t xml:space="preserve"> (PR2), </w:t>
      </w:r>
      <w:r w:rsidRPr="006A3DC6">
        <w:rPr>
          <w:rFonts w:ascii="Times New Roman" w:eastAsia="Times New Roman" w:hAnsi="Times New Roman" w:cs="Times New Roman"/>
          <w:i/>
          <w:sz w:val="20"/>
          <w:szCs w:val="20"/>
        </w:rPr>
        <w:t>Microcitrus garrawayae</w:t>
      </w:r>
      <w:r w:rsidRPr="006A3DC6">
        <w:rPr>
          <w:rFonts w:ascii="Times New Roman" w:eastAsia="Times New Roman" w:hAnsi="Times New Roman" w:cs="Times New Roman"/>
          <w:sz w:val="20"/>
          <w:szCs w:val="20"/>
        </w:rPr>
        <w:t xml:space="preserve"> (PR3), </w:t>
      </w:r>
      <w:r w:rsidRPr="006A3DC6">
        <w:rPr>
          <w:rFonts w:ascii="Times New Roman" w:eastAsia="Times New Roman" w:hAnsi="Times New Roman" w:cs="Times New Roman"/>
          <w:i/>
          <w:sz w:val="20"/>
          <w:szCs w:val="20"/>
        </w:rPr>
        <w:t>Microcitrus australis</w:t>
      </w:r>
      <w:r w:rsidRPr="006A3DC6">
        <w:rPr>
          <w:rFonts w:ascii="Times New Roman" w:eastAsia="Times New Roman" w:hAnsi="Times New Roman" w:cs="Times New Roman"/>
          <w:sz w:val="20"/>
          <w:szCs w:val="20"/>
        </w:rPr>
        <w:t xml:space="preserve"> (R1), </w:t>
      </w:r>
      <w:r w:rsidRPr="006A3DC6">
        <w:rPr>
          <w:rFonts w:ascii="Times New Roman" w:eastAsia="Times New Roman" w:hAnsi="Times New Roman" w:cs="Times New Roman"/>
          <w:i/>
          <w:sz w:val="20"/>
          <w:szCs w:val="20"/>
        </w:rPr>
        <w:t>Emocitrus glauca</w:t>
      </w:r>
      <w:r w:rsidRPr="006A3DC6">
        <w:rPr>
          <w:rFonts w:ascii="Times New Roman" w:eastAsia="Times New Roman" w:hAnsi="Times New Roman" w:cs="Times New Roman"/>
          <w:sz w:val="20"/>
          <w:szCs w:val="20"/>
        </w:rPr>
        <w:t xml:space="preserve"> (R2) and </w:t>
      </w:r>
      <w:r w:rsidRPr="006A3DC6">
        <w:rPr>
          <w:rFonts w:ascii="Times New Roman" w:eastAsia="Times New Roman" w:hAnsi="Times New Roman" w:cs="Times New Roman"/>
          <w:i/>
          <w:sz w:val="20"/>
          <w:szCs w:val="20"/>
        </w:rPr>
        <w:t>Microcitrus warburgiana</w:t>
      </w:r>
      <w:r w:rsidRPr="006A3DC6">
        <w:rPr>
          <w:rFonts w:ascii="Times New Roman" w:eastAsia="Times New Roman" w:hAnsi="Times New Roman" w:cs="Times New Roman"/>
          <w:sz w:val="20"/>
          <w:szCs w:val="20"/>
        </w:rPr>
        <w:t xml:space="preserve"> (R3).</w:t>
      </w:r>
      <w:r w:rsidRPr="006A3DC6">
        <w:rPr>
          <w:sz w:val="20"/>
          <w:szCs w:val="20"/>
        </w:rPr>
        <w:t xml:space="preserve"> </w:t>
      </w:r>
    </w:p>
    <w:p w14:paraId="376B1CDE" w14:textId="77777777" w:rsidR="008406CE" w:rsidRPr="006A3DC6" w:rsidRDefault="008406CE" w:rsidP="008406CE">
      <w:pPr>
        <w:spacing w:line="240" w:lineRule="auto"/>
        <w:jc w:val="both"/>
        <w:rPr>
          <w:rFonts w:ascii="Times New Roman" w:eastAsia="Times New Roman" w:hAnsi="Times New Roman" w:cs="Times New Roman"/>
          <w:sz w:val="20"/>
          <w:szCs w:val="20"/>
        </w:rPr>
      </w:pPr>
      <w:r>
        <w:rPr>
          <w:rFonts w:ascii="Times New Roman" w:eastAsia="Times New Roman" w:hAnsi="Times New Roman" w:cs="Times New Roman"/>
          <w:b/>
          <w:sz w:val="20"/>
          <w:szCs w:val="20"/>
        </w:rPr>
        <w:t>Supplementary Fig.</w:t>
      </w:r>
      <w:r w:rsidRPr="006A3DC6">
        <w:rPr>
          <w:rFonts w:ascii="Times New Roman" w:eastAsia="Times New Roman" w:hAnsi="Times New Roman" w:cs="Times New Roman"/>
          <w:b/>
          <w:sz w:val="20"/>
          <w:szCs w:val="20"/>
        </w:rPr>
        <w:t xml:space="preserve"> S8. </w:t>
      </w:r>
      <w:r w:rsidRPr="006A3DC6">
        <w:rPr>
          <w:rFonts w:ascii="Times New Roman" w:eastAsia="Times New Roman" w:hAnsi="Times New Roman" w:cs="Times New Roman"/>
          <w:sz w:val="20"/>
          <w:szCs w:val="20"/>
        </w:rPr>
        <w:t xml:space="preserve">Non-essential </w:t>
      </w:r>
      <w:r w:rsidRPr="006A3DC6">
        <w:rPr>
          <w:rFonts w:ascii="Times New Roman" w:eastAsia="Times New Roman" w:hAnsi="Times New Roman" w:cs="Times New Roman"/>
          <w:b/>
          <w:sz w:val="20"/>
          <w:szCs w:val="20"/>
        </w:rPr>
        <w:t>(A)</w:t>
      </w:r>
      <w:r w:rsidRPr="006A3DC6">
        <w:rPr>
          <w:rFonts w:ascii="Times New Roman" w:eastAsia="Times New Roman" w:hAnsi="Times New Roman" w:cs="Times New Roman"/>
          <w:sz w:val="20"/>
          <w:szCs w:val="20"/>
        </w:rPr>
        <w:t xml:space="preserve"> and non-proteinogenic </w:t>
      </w:r>
      <w:r w:rsidRPr="006A3DC6">
        <w:rPr>
          <w:rFonts w:ascii="Times New Roman" w:eastAsia="Times New Roman" w:hAnsi="Times New Roman" w:cs="Times New Roman"/>
          <w:b/>
          <w:sz w:val="20"/>
          <w:szCs w:val="20"/>
        </w:rPr>
        <w:t>(B)</w:t>
      </w:r>
      <w:r w:rsidRPr="006A3DC6">
        <w:rPr>
          <w:rFonts w:ascii="Times New Roman" w:eastAsia="Times New Roman" w:hAnsi="Times New Roman" w:cs="Times New Roman"/>
          <w:sz w:val="20"/>
          <w:szCs w:val="20"/>
        </w:rPr>
        <w:t xml:space="preserve"> amino acid distribution in all the analyzed phloem sap samples. Values represent the percentage of each metabolite related to the total of non-essential </w:t>
      </w:r>
      <w:r w:rsidRPr="006A3DC6">
        <w:rPr>
          <w:rFonts w:ascii="Times New Roman" w:eastAsia="Times New Roman" w:hAnsi="Times New Roman" w:cs="Times New Roman"/>
          <w:b/>
          <w:sz w:val="20"/>
          <w:szCs w:val="20"/>
        </w:rPr>
        <w:t>(A)</w:t>
      </w:r>
      <w:r w:rsidRPr="006A3DC6">
        <w:rPr>
          <w:rFonts w:ascii="Times New Roman" w:eastAsia="Times New Roman" w:hAnsi="Times New Roman" w:cs="Times New Roman"/>
          <w:sz w:val="20"/>
          <w:szCs w:val="20"/>
        </w:rPr>
        <w:t xml:space="preserve"> and non-proteinogenic </w:t>
      </w:r>
      <w:r w:rsidRPr="006A3DC6">
        <w:rPr>
          <w:rFonts w:ascii="Times New Roman" w:eastAsia="Times New Roman" w:hAnsi="Times New Roman" w:cs="Times New Roman"/>
          <w:b/>
          <w:sz w:val="20"/>
          <w:szCs w:val="20"/>
        </w:rPr>
        <w:t>(B)</w:t>
      </w:r>
      <w:r w:rsidRPr="006A3DC6">
        <w:rPr>
          <w:rFonts w:ascii="Times New Roman" w:eastAsia="Times New Roman" w:hAnsi="Times New Roman" w:cs="Times New Roman"/>
          <w:sz w:val="20"/>
          <w:szCs w:val="20"/>
        </w:rPr>
        <w:t xml:space="preserve"> amino acids in each analyzed sample. The percentage of each component was calculated from the Total Ion Chromatogram (TIC). Susceptible (S in green), Partially Resistant (PR in orange) and Resistant (R in red)</w:t>
      </w:r>
    </w:p>
    <w:p w14:paraId="233F48EB" w14:textId="77777777" w:rsidR="008406CE" w:rsidRPr="006A3DC6" w:rsidRDefault="008406CE" w:rsidP="008406CE">
      <w:pPr>
        <w:spacing w:line="240" w:lineRule="auto"/>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Supplementary Fig.</w:t>
      </w:r>
      <w:r w:rsidRPr="006A3DC6">
        <w:rPr>
          <w:rFonts w:ascii="Times New Roman" w:eastAsia="Times New Roman" w:hAnsi="Times New Roman" w:cs="Times New Roman"/>
          <w:b/>
          <w:sz w:val="20"/>
          <w:szCs w:val="20"/>
        </w:rPr>
        <w:t xml:space="preserve"> S9. </w:t>
      </w:r>
      <w:r w:rsidRPr="006A3DC6">
        <w:rPr>
          <w:rFonts w:ascii="Times New Roman" w:eastAsia="Times New Roman" w:hAnsi="Times New Roman" w:cs="Times New Roman"/>
          <w:sz w:val="20"/>
          <w:szCs w:val="20"/>
        </w:rPr>
        <w:t xml:space="preserve">Individual essential amino acid distribution in all the analyzed phloem sap samples. Values represent the percentage of each metabolite related to the total of essential acids in each analyzed sample. The percentage of each component was calculated from the Total Ion Chromatogram (TIC). Susceptible (S in green), Partially Resistant (PR in orange) and Resistant (R in red). </w:t>
      </w:r>
      <w:r w:rsidRPr="006A3DC6">
        <w:rPr>
          <w:sz w:val="20"/>
          <w:szCs w:val="20"/>
        </w:rPr>
        <w:t xml:space="preserve"> </w:t>
      </w:r>
      <w:r w:rsidRPr="006A3DC6">
        <w:rPr>
          <w:rFonts w:ascii="Times New Roman" w:eastAsia="Times New Roman" w:hAnsi="Times New Roman" w:cs="Times New Roman"/>
          <w:sz w:val="20"/>
          <w:szCs w:val="20"/>
        </w:rPr>
        <w:t>The asterisk (*) indicating lysine means the only amino acid in which we observed significant differences between susceptible (S) and resistant (R) samples* (t student analysis for lysine, S vs R (α 0.05, P 0.0035)).</w:t>
      </w:r>
    </w:p>
    <w:p w14:paraId="4DDD11CC" w14:textId="77777777" w:rsidR="008406CE" w:rsidRPr="006A3DC6" w:rsidRDefault="008406CE" w:rsidP="008406CE">
      <w:pPr>
        <w:spacing w:line="240" w:lineRule="auto"/>
        <w:jc w:val="both"/>
        <w:rPr>
          <w:rFonts w:ascii="Times New Roman" w:eastAsia="Times New Roman" w:hAnsi="Times New Roman" w:cs="Times New Roman"/>
          <w:sz w:val="20"/>
          <w:szCs w:val="20"/>
        </w:rPr>
      </w:pPr>
      <w:r>
        <w:rPr>
          <w:rFonts w:ascii="Times New Roman" w:eastAsia="Times New Roman" w:hAnsi="Times New Roman" w:cs="Times New Roman"/>
          <w:b/>
          <w:sz w:val="20"/>
          <w:szCs w:val="20"/>
        </w:rPr>
        <w:t>Supplementary Fig.</w:t>
      </w:r>
      <w:r w:rsidRPr="006A3DC6">
        <w:rPr>
          <w:rFonts w:ascii="Times New Roman" w:eastAsia="Times New Roman" w:hAnsi="Times New Roman" w:cs="Times New Roman"/>
          <w:b/>
          <w:sz w:val="20"/>
          <w:szCs w:val="20"/>
        </w:rPr>
        <w:t xml:space="preserve"> S10. </w:t>
      </w:r>
      <w:r w:rsidRPr="006A3DC6">
        <w:rPr>
          <w:rFonts w:ascii="Times New Roman" w:eastAsia="Times New Roman" w:hAnsi="Times New Roman" w:cs="Times New Roman"/>
          <w:sz w:val="20"/>
          <w:szCs w:val="20"/>
        </w:rPr>
        <w:t xml:space="preserve">Principal component analysis </w:t>
      </w:r>
      <w:r w:rsidRPr="006A3DC6">
        <w:rPr>
          <w:rFonts w:ascii="Times New Roman" w:eastAsia="Times New Roman" w:hAnsi="Times New Roman" w:cs="Times New Roman"/>
          <w:b/>
          <w:sz w:val="20"/>
          <w:szCs w:val="20"/>
        </w:rPr>
        <w:t>(A)</w:t>
      </w:r>
      <w:r w:rsidRPr="006A3DC6">
        <w:rPr>
          <w:rFonts w:ascii="Times New Roman" w:eastAsia="Times New Roman" w:hAnsi="Times New Roman" w:cs="Times New Roman"/>
          <w:sz w:val="20"/>
          <w:szCs w:val="20"/>
        </w:rPr>
        <w:t xml:space="preserve"> and its associated loading plot </w:t>
      </w:r>
      <w:r w:rsidRPr="006A3DC6">
        <w:rPr>
          <w:rFonts w:ascii="Times New Roman" w:eastAsia="Times New Roman" w:hAnsi="Times New Roman" w:cs="Times New Roman"/>
          <w:b/>
          <w:sz w:val="20"/>
          <w:szCs w:val="20"/>
        </w:rPr>
        <w:t>(B)</w:t>
      </w:r>
      <w:r w:rsidRPr="006A3DC6">
        <w:rPr>
          <w:rFonts w:ascii="Times New Roman" w:eastAsia="Times New Roman" w:hAnsi="Times New Roman" w:cs="Times New Roman"/>
          <w:sz w:val="20"/>
          <w:szCs w:val="20"/>
        </w:rPr>
        <w:t xml:space="preserve"> using all detected amino acids in all phloem sap analysed samples with the exception of PR1 (</w:t>
      </w:r>
      <w:r w:rsidRPr="006A3DC6">
        <w:rPr>
          <w:rFonts w:ascii="Times New Roman" w:eastAsia="Times New Roman" w:hAnsi="Times New Roman" w:cs="Times New Roman"/>
          <w:i/>
          <w:sz w:val="20"/>
          <w:szCs w:val="20"/>
        </w:rPr>
        <w:t>Microcitrus australasica</w:t>
      </w:r>
      <w:r w:rsidRPr="006A3DC6">
        <w:rPr>
          <w:rFonts w:ascii="Times New Roman" w:eastAsia="Times New Roman" w:hAnsi="Times New Roman" w:cs="Times New Roman"/>
          <w:sz w:val="20"/>
          <w:szCs w:val="20"/>
        </w:rPr>
        <w:t>). Susceptible (S, green), Partially Resistant (PR, red), and Resistant (R, blue).</w:t>
      </w:r>
    </w:p>
    <w:p w14:paraId="4591D843" w14:textId="77777777" w:rsidR="00833D74" w:rsidRDefault="00833D74"/>
    <w:sectPr w:rsidR="00833D7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06CE"/>
    <w:rsid w:val="00014241"/>
    <w:rsid w:val="001942F0"/>
    <w:rsid w:val="002C0857"/>
    <w:rsid w:val="003F01F8"/>
    <w:rsid w:val="00833D74"/>
    <w:rsid w:val="008406CE"/>
    <w:rsid w:val="00884728"/>
    <w:rsid w:val="008E2845"/>
    <w:rsid w:val="00D00B5E"/>
    <w:rsid w:val="00F07CF1"/>
    <w:rsid w:val="00FC61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17F58F"/>
  <w15:chartTrackingRefBased/>
  <w15:docId w15:val="{C4C96209-B956-4485-A867-D5DA896277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406CE"/>
    <w:rPr>
      <w:rFonts w:ascii="Calibri" w:eastAsia="Calibri" w:hAnsi="Calibri" w:cs="Calibri"/>
      <w:kern w:val="0"/>
      <w:lang w:val="en-GB" w:eastAsia="es-E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616</Words>
  <Characters>3514</Characters>
  <Application>Microsoft Office Word</Application>
  <DocSecurity>0</DocSecurity>
  <Lines>29</Lines>
  <Paragraphs>8</Paragraphs>
  <ScaleCrop>false</ScaleCrop>
  <Company>Springer Nature</Company>
  <LinksUpToDate>false</LinksUpToDate>
  <CharactersWithSpaces>4122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Vilas Pawar</dc:creator>
  <cp:keywords/>
  <dc:description/>
  <cp:lastModifiedBy>Sachin Vilas Pawar</cp:lastModifiedBy>
  <cp:revision>1</cp:revision>
  <dcterms:created xsi:type="dcterms:W3CDTF">2024-02-26T09:28:00Z</dcterms:created>
  <dcterms:modified xsi:type="dcterms:W3CDTF">2024-02-26T09:28:00Z</dcterms:modified>
</cp:coreProperties>
</file>