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4"/>
        <w:gridCol w:w="2494"/>
        <w:gridCol w:w="3088"/>
      </w:tblGrid>
      <w:tr w:rsidR="00F63F15" w:rsidRPr="00F63F15" w14:paraId="07CE9202" w14:textId="77777777" w:rsidTr="00F63F15">
        <w:trPr>
          <w:trHeight w:val="300"/>
        </w:trPr>
        <w:tc>
          <w:tcPr>
            <w:tcW w:w="11060" w:type="dxa"/>
            <w:gridSpan w:val="3"/>
            <w:tcBorders>
              <w:bottom w:val="single" w:sz="4" w:space="0" w:color="auto"/>
            </w:tcBorders>
            <w:hideMark/>
          </w:tcPr>
          <w:p w14:paraId="7C1D36DC" w14:textId="77777777" w:rsidR="00F63F15" w:rsidRPr="00F63F15" w:rsidRDefault="00F63F15" w:rsidP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Appendix. The anatomical and echocardiographic definitions*</w:t>
            </w:r>
          </w:p>
        </w:tc>
      </w:tr>
      <w:tr w:rsidR="00F63F15" w:rsidRPr="00F63F15" w14:paraId="05D5799B" w14:textId="77777777" w:rsidTr="00F63F15">
        <w:trPr>
          <w:trHeight w:val="300"/>
        </w:trPr>
        <w:tc>
          <w:tcPr>
            <w:tcW w:w="36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C4026A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31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9D4C03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 xml:space="preserve">Surgery/necropsy </w:t>
            </w:r>
          </w:p>
        </w:tc>
        <w:tc>
          <w:tcPr>
            <w:tcW w:w="42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979EF12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Echocardiography</w:t>
            </w:r>
          </w:p>
        </w:tc>
      </w:tr>
      <w:tr w:rsidR="00F63F15" w:rsidRPr="00F63F15" w14:paraId="016DA70B" w14:textId="77777777" w:rsidTr="00F63F15">
        <w:trPr>
          <w:trHeight w:val="1140"/>
        </w:trPr>
        <w:tc>
          <w:tcPr>
            <w:tcW w:w="3660" w:type="dxa"/>
            <w:tcBorders>
              <w:top w:val="single" w:sz="4" w:space="0" w:color="auto"/>
            </w:tcBorders>
            <w:hideMark/>
          </w:tcPr>
          <w:p w14:paraId="69A6F0A5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Vegetation</w:t>
            </w:r>
          </w:p>
        </w:tc>
        <w:tc>
          <w:tcPr>
            <w:tcW w:w="3160" w:type="dxa"/>
            <w:tcBorders>
              <w:top w:val="single" w:sz="4" w:space="0" w:color="auto"/>
            </w:tcBorders>
            <w:hideMark/>
          </w:tcPr>
          <w:p w14:paraId="446AD2C4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Infected mass attached to an endocardial structure or on implanted intracardiac material. </w:t>
            </w:r>
          </w:p>
        </w:tc>
        <w:tc>
          <w:tcPr>
            <w:tcW w:w="4240" w:type="dxa"/>
            <w:tcBorders>
              <w:top w:val="single" w:sz="4" w:space="0" w:color="auto"/>
            </w:tcBorders>
            <w:hideMark/>
          </w:tcPr>
          <w:p w14:paraId="51248776" w14:textId="1A0F5F99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Oscillating or </w:t>
            </w:r>
            <w:r w:rsidRPr="00F63F15">
              <w:rPr>
                <w:rFonts w:ascii="Times New Roman" w:hAnsi="Times New Roman" w:cs="Times New Roman"/>
              </w:rPr>
              <w:t>no oscillating</w:t>
            </w:r>
            <w:r w:rsidRPr="00F63F15">
              <w:rPr>
                <w:rFonts w:ascii="Times New Roman" w:hAnsi="Times New Roman" w:cs="Times New Roman"/>
              </w:rPr>
              <w:t xml:space="preserve"> intracardiac mass on valve or other endocardial structures, or on implanted intracardiac material</w:t>
            </w:r>
          </w:p>
        </w:tc>
      </w:tr>
      <w:tr w:rsidR="00F63F15" w:rsidRPr="00F63F15" w14:paraId="5A2891E1" w14:textId="77777777" w:rsidTr="00F63F15">
        <w:trPr>
          <w:trHeight w:val="1140"/>
        </w:trPr>
        <w:tc>
          <w:tcPr>
            <w:tcW w:w="3660" w:type="dxa"/>
            <w:hideMark/>
          </w:tcPr>
          <w:p w14:paraId="66ADF70F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Abscess</w:t>
            </w:r>
          </w:p>
        </w:tc>
        <w:tc>
          <w:tcPr>
            <w:tcW w:w="3160" w:type="dxa"/>
            <w:hideMark/>
          </w:tcPr>
          <w:p w14:paraId="3AEBDEC8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Perivalvular cavity with necrosis and purulent material not communicating with the cardiovascular lumen. </w:t>
            </w:r>
          </w:p>
        </w:tc>
        <w:tc>
          <w:tcPr>
            <w:tcW w:w="4240" w:type="dxa"/>
            <w:hideMark/>
          </w:tcPr>
          <w:p w14:paraId="05CE65EB" w14:textId="022266A1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Thickened, nonhomogeneous perivalvular area with </w:t>
            </w:r>
            <w:r w:rsidRPr="00F63F15">
              <w:rPr>
                <w:rFonts w:ascii="Times New Roman" w:hAnsi="Times New Roman" w:cs="Times New Roman"/>
              </w:rPr>
              <w:t>echo dense</w:t>
            </w:r>
            <w:r w:rsidRPr="00F63F15">
              <w:rPr>
                <w:rFonts w:ascii="Times New Roman" w:hAnsi="Times New Roman" w:cs="Times New Roman"/>
              </w:rPr>
              <w:t xml:space="preserve"> or </w:t>
            </w:r>
            <w:r w:rsidRPr="00F63F15">
              <w:rPr>
                <w:rFonts w:ascii="Times New Roman" w:hAnsi="Times New Roman" w:cs="Times New Roman"/>
              </w:rPr>
              <w:t>echo lucent</w:t>
            </w:r>
            <w:r w:rsidRPr="00F63F15">
              <w:rPr>
                <w:rFonts w:ascii="Times New Roman" w:hAnsi="Times New Roman" w:cs="Times New Roman"/>
              </w:rPr>
              <w:t xml:space="preserve"> appearance.</w:t>
            </w:r>
          </w:p>
        </w:tc>
      </w:tr>
      <w:tr w:rsidR="00F63F15" w:rsidRPr="00F63F15" w14:paraId="603FF5C8" w14:textId="77777777" w:rsidTr="00F63F15">
        <w:trPr>
          <w:trHeight w:val="855"/>
        </w:trPr>
        <w:tc>
          <w:tcPr>
            <w:tcW w:w="3660" w:type="dxa"/>
            <w:hideMark/>
          </w:tcPr>
          <w:p w14:paraId="617156B4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Pseudoaneurysm</w:t>
            </w:r>
          </w:p>
        </w:tc>
        <w:tc>
          <w:tcPr>
            <w:tcW w:w="3160" w:type="dxa"/>
            <w:hideMark/>
          </w:tcPr>
          <w:p w14:paraId="54181BCB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>Perivalvular cavity communicating with the cardiovascular lumen.</w:t>
            </w:r>
          </w:p>
        </w:tc>
        <w:tc>
          <w:tcPr>
            <w:tcW w:w="4240" w:type="dxa"/>
            <w:hideMark/>
          </w:tcPr>
          <w:p w14:paraId="3BEF23DF" w14:textId="744000E8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Pulsatile perivalvular echo-free space, with </w:t>
            </w:r>
            <w:r w:rsidRPr="00F63F15">
              <w:rPr>
                <w:rFonts w:ascii="Times New Roman" w:hAnsi="Times New Roman" w:cs="Times New Roman"/>
              </w:rPr>
              <w:t>color</w:t>
            </w:r>
            <w:r w:rsidRPr="00F63F15">
              <w:rPr>
                <w:rFonts w:ascii="Times New Roman" w:hAnsi="Times New Roman" w:cs="Times New Roman"/>
              </w:rPr>
              <w:t>-Doppler flow detected.</w:t>
            </w:r>
          </w:p>
        </w:tc>
      </w:tr>
      <w:tr w:rsidR="00F63F15" w:rsidRPr="00F63F15" w14:paraId="32417CC9" w14:textId="77777777" w:rsidTr="00F63F15">
        <w:trPr>
          <w:trHeight w:val="855"/>
        </w:trPr>
        <w:tc>
          <w:tcPr>
            <w:tcW w:w="3660" w:type="dxa"/>
            <w:hideMark/>
          </w:tcPr>
          <w:p w14:paraId="10C4D659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Perforation</w:t>
            </w:r>
          </w:p>
        </w:tc>
        <w:tc>
          <w:tcPr>
            <w:tcW w:w="3160" w:type="dxa"/>
            <w:hideMark/>
          </w:tcPr>
          <w:p w14:paraId="6A5FBBE4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>Interruption of endocardial tissue continuity</w:t>
            </w:r>
          </w:p>
        </w:tc>
        <w:tc>
          <w:tcPr>
            <w:tcW w:w="4240" w:type="dxa"/>
            <w:hideMark/>
          </w:tcPr>
          <w:p w14:paraId="75B8166E" w14:textId="5940E0C6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Interruption of endocardial tissue continuity traversed by </w:t>
            </w:r>
            <w:r w:rsidRPr="00F63F15">
              <w:rPr>
                <w:rFonts w:ascii="Times New Roman" w:hAnsi="Times New Roman" w:cs="Times New Roman"/>
              </w:rPr>
              <w:t>color</w:t>
            </w:r>
            <w:r w:rsidRPr="00F63F15">
              <w:rPr>
                <w:rFonts w:ascii="Times New Roman" w:hAnsi="Times New Roman" w:cs="Times New Roman"/>
              </w:rPr>
              <w:t>-Doppler flow</w:t>
            </w:r>
          </w:p>
        </w:tc>
      </w:tr>
      <w:tr w:rsidR="00F63F15" w:rsidRPr="00F63F15" w14:paraId="38C6034F" w14:textId="77777777" w:rsidTr="00F63F15">
        <w:trPr>
          <w:trHeight w:val="855"/>
        </w:trPr>
        <w:tc>
          <w:tcPr>
            <w:tcW w:w="3660" w:type="dxa"/>
            <w:hideMark/>
          </w:tcPr>
          <w:p w14:paraId="155D0A8E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Fistula</w:t>
            </w:r>
          </w:p>
        </w:tc>
        <w:tc>
          <w:tcPr>
            <w:tcW w:w="3160" w:type="dxa"/>
            <w:hideMark/>
          </w:tcPr>
          <w:p w14:paraId="2D6AB3C4" w14:textId="2F50EA36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Communication between two </w:t>
            </w:r>
            <w:r w:rsidRPr="00F63F15">
              <w:rPr>
                <w:rFonts w:ascii="Times New Roman" w:hAnsi="Times New Roman" w:cs="Times New Roman"/>
              </w:rPr>
              <w:t>neighboring</w:t>
            </w:r>
            <w:r w:rsidRPr="00F63F15">
              <w:rPr>
                <w:rFonts w:ascii="Times New Roman" w:hAnsi="Times New Roman" w:cs="Times New Roman"/>
              </w:rPr>
              <w:t xml:space="preserve"> cavities through a perforation.</w:t>
            </w:r>
          </w:p>
        </w:tc>
        <w:tc>
          <w:tcPr>
            <w:tcW w:w="4240" w:type="dxa"/>
            <w:hideMark/>
          </w:tcPr>
          <w:p w14:paraId="717F394C" w14:textId="03E6E26B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Color-Doppler communication between two </w:t>
            </w:r>
            <w:r w:rsidRPr="00F63F15">
              <w:rPr>
                <w:rFonts w:ascii="Times New Roman" w:hAnsi="Times New Roman" w:cs="Times New Roman"/>
              </w:rPr>
              <w:t>neighboring</w:t>
            </w:r>
            <w:r w:rsidRPr="00F63F15">
              <w:rPr>
                <w:rFonts w:ascii="Times New Roman" w:hAnsi="Times New Roman" w:cs="Times New Roman"/>
              </w:rPr>
              <w:t xml:space="preserve"> cavities through a perforation.</w:t>
            </w:r>
          </w:p>
        </w:tc>
      </w:tr>
      <w:tr w:rsidR="00F63F15" w:rsidRPr="00F63F15" w14:paraId="41B8CD9C" w14:textId="77777777" w:rsidTr="00F63F15">
        <w:trPr>
          <w:trHeight w:val="570"/>
        </w:trPr>
        <w:tc>
          <w:tcPr>
            <w:tcW w:w="3660" w:type="dxa"/>
            <w:hideMark/>
          </w:tcPr>
          <w:p w14:paraId="1F79BA5A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Valve aneurysm</w:t>
            </w:r>
          </w:p>
        </w:tc>
        <w:tc>
          <w:tcPr>
            <w:tcW w:w="3160" w:type="dxa"/>
            <w:hideMark/>
          </w:tcPr>
          <w:p w14:paraId="1BEEE192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Saccular outpouching of valvular tissue. </w:t>
            </w:r>
          </w:p>
        </w:tc>
        <w:tc>
          <w:tcPr>
            <w:tcW w:w="4240" w:type="dxa"/>
            <w:hideMark/>
          </w:tcPr>
          <w:p w14:paraId="36504D78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Saccular bulging of valvular tissue. </w:t>
            </w:r>
          </w:p>
        </w:tc>
      </w:tr>
      <w:tr w:rsidR="00F63F15" w:rsidRPr="00F63F15" w14:paraId="47BA3F43" w14:textId="77777777" w:rsidTr="00F63F15">
        <w:trPr>
          <w:trHeight w:val="870"/>
        </w:trPr>
        <w:tc>
          <w:tcPr>
            <w:tcW w:w="3660" w:type="dxa"/>
            <w:tcBorders>
              <w:bottom w:val="single" w:sz="4" w:space="0" w:color="auto"/>
            </w:tcBorders>
            <w:hideMark/>
          </w:tcPr>
          <w:p w14:paraId="69B4AB6B" w14:textId="77777777" w:rsidR="00F63F15" w:rsidRPr="00F63F15" w:rsidRDefault="00F63F15">
            <w:pPr>
              <w:rPr>
                <w:rFonts w:ascii="Times New Roman" w:hAnsi="Times New Roman" w:cs="Times New Roman"/>
                <w:b/>
                <w:bCs/>
              </w:rPr>
            </w:pPr>
            <w:r w:rsidRPr="00F63F15">
              <w:rPr>
                <w:rFonts w:ascii="Times New Roman" w:hAnsi="Times New Roman" w:cs="Times New Roman"/>
                <w:b/>
                <w:bCs/>
              </w:rPr>
              <w:t>Dehiscence of a prosthetic valve</w:t>
            </w:r>
          </w:p>
        </w:tc>
        <w:tc>
          <w:tcPr>
            <w:tcW w:w="3160" w:type="dxa"/>
            <w:tcBorders>
              <w:bottom w:val="single" w:sz="4" w:space="0" w:color="auto"/>
            </w:tcBorders>
            <w:hideMark/>
          </w:tcPr>
          <w:p w14:paraId="5321083A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Dehiscence of the prosthesis. </w:t>
            </w:r>
          </w:p>
        </w:tc>
        <w:tc>
          <w:tcPr>
            <w:tcW w:w="4240" w:type="dxa"/>
            <w:tcBorders>
              <w:bottom w:val="single" w:sz="4" w:space="0" w:color="auto"/>
            </w:tcBorders>
            <w:hideMark/>
          </w:tcPr>
          <w:p w14:paraId="3545898A" w14:textId="77777777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>Paravalvular regurgitation identified by TTE/TOE, with or without rocking motion of the prosthesis.</w:t>
            </w:r>
          </w:p>
        </w:tc>
      </w:tr>
      <w:tr w:rsidR="00F63F15" w:rsidRPr="00F63F15" w14:paraId="28601F63" w14:textId="77777777" w:rsidTr="00F63F15">
        <w:trPr>
          <w:trHeight w:val="285"/>
        </w:trPr>
        <w:tc>
          <w:tcPr>
            <w:tcW w:w="11060" w:type="dxa"/>
            <w:gridSpan w:val="3"/>
            <w:tcBorders>
              <w:top w:val="single" w:sz="4" w:space="0" w:color="auto"/>
            </w:tcBorders>
            <w:hideMark/>
          </w:tcPr>
          <w:p w14:paraId="4F19B5CB" w14:textId="6BBB179A" w:rsidR="00F63F15" w:rsidRPr="00F63F15" w:rsidRDefault="00F63F15">
            <w:pPr>
              <w:rPr>
                <w:rFonts w:ascii="Times New Roman" w:hAnsi="Times New Roman" w:cs="Times New Roman"/>
              </w:rPr>
            </w:pPr>
            <w:r w:rsidRPr="00F63F15">
              <w:rPr>
                <w:rFonts w:ascii="Times New Roman" w:hAnsi="Times New Roman" w:cs="Times New Roman"/>
              </w:rPr>
              <w:t xml:space="preserve">*Cited from the ESC </w:t>
            </w:r>
            <w:r w:rsidRPr="00F63F15">
              <w:rPr>
                <w:rFonts w:ascii="Times New Roman" w:hAnsi="Times New Roman" w:cs="Times New Roman"/>
              </w:rPr>
              <w:t>guideline</w:t>
            </w:r>
            <w:r w:rsidRPr="00F63F15">
              <w:rPr>
                <w:rFonts w:ascii="Times New Roman" w:hAnsi="Times New Roman" w:cs="Times New Roman"/>
              </w:rPr>
              <w:t xml:space="preserve"> of IE[4].</w:t>
            </w:r>
          </w:p>
        </w:tc>
      </w:tr>
    </w:tbl>
    <w:p w14:paraId="485D5EC9" w14:textId="77777777" w:rsidR="00F63F15" w:rsidRPr="00F63F15" w:rsidRDefault="00F63F15"/>
    <w:sectPr w:rsidR="00F63F15" w:rsidRPr="00F63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F15"/>
    <w:rsid w:val="00F6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6A751"/>
  <w15:chartTrackingRefBased/>
  <w15:docId w15:val="{0C11BB46-CE4B-4BDD-9802-D08BB2A8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3F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6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树音 任</dc:creator>
  <cp:keywords/>
  <dc:description/>
  <cp:lastModifiedBy>树音 任</cp:lastModifiedBy>
  <cp:revision>1</cp:revision>
  <dcterms:created xsi:type="dcterms:W3CDTF">2020-06-03T16:40:00Z</dcterms:created>
  <dcterms:modified xsi:type="dcterms:W3CDTF">2020-06-03T16:41:00Z</dcterms:modified>
</cp:coreProperties>
</file>