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t xml:space="preserve">Table 3. Evaluation of the bioequivalence of the test and reference products </w:t>
      </w:r>
    </w:p>
    <w:tbl>
      <w:tblPr>
        <w:tblStyle w:val="5"/>
        <w:tblW w:w="3672" w:type="pct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689"/>
        <w:gridCol w:w="689"/>
        <w:gridCol w:w="479"/>
        <w:gridCol w:w="1164"/>
        <w:gridCol w:w="473"/>
        <w:gridCol w:w="473"/>
        <w:gridCol w:w="479"/>
        <w:gridCol w:w="1164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4126" w:type="pct"/>
          <w:trHeight w:val="340" w:hRule="atLeast"/>
          <w:jc w:val="center"/>
        </w:trPr>
        <w:tc>
          <w:tcPr>
            <w:tcW w:w="873" w:type="pct"/>
            <w:vMerge w:val="restart"/>
            <w:tcBorders>
              <w:top w:val="single" w:color="000000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Parameters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3" w:type="pct"/>
            <w:vMerge w:val="continue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cs="Times New Roman"/>
              </w:rPr>
            </w:pPr>
          </w:p>
        </w:tc>
        <w:tc>
          <w:tcPr>
            <w:tcW w:w="408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GM (T)</w:t>
            </w:r>
          </w:p>
        </w:tc>
        <w:tc>
          <w:tcPr>
            <w:tcW w:w="398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GM (R)</w:t>
            </w:r>
          </w:p>
        </w:tc>
        <w:tc>
          <w:tcPr>
            <w:tcW w:w="468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GMR (%)</w:t>
            </w:r>
          </w:p>
        </w:tc>
        <w:tc>
          <w:tcPr>
            <w:tcW w:w="757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90%CI (%)</w:t>
            </w:r>
          </w:p>
        </w:tc>
        <w:tc>
          <w:tcPr>
            <w:tcW w:w="436" w:type="pct"/>
            <w:tcBorders>
              <w:top w:val="single" w:color="000000" w:themeColor="text1" w:sz="4" w:space="0"/>
              <w:left w:val="single" w:color="FFFFFF" w:themeColor="background1" w:sz="48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GM (T)</w:t>
            </w:r>
          </w:p>
        </w:tc>
        <w:tc>
          <w:tcPr>
            <w:tcW w:w="483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GM (R)</w:t>
            </w:r>
          </w:p>
        </w:tc>
        <w:tc>
          <w:tcPr>
            <w:tcW w:w="482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GMR (%)</w:t>
            </w:r>
          </w:p>
        </w:tc>
        <w:tc>
          <w:tcPr>
            <w:tcW w:w="689" w:type="pct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90%CI (%)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3" w:type="pct"/>
            <w:tcBorders>
              <w:top w:val="single" w:color="000000" w:sz="4" w:space="0"/>
              <w:right w:val="nil"/>
            </w:tcBorders>
            <w:vAlign w:val="center"/>
          </w:tcPr>
          <w:p>
            <w:pPr>
              <w:jc w:val="left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  <w:szCs w:val="21"/>
              </w:rPr>
              <w:t>C</w:t>
            </w:r>
            <w:r>
              <w:rPr>
                <w:rFonts w:cs="Times New Roman"/>
                <w:szCs w:val="21"/>
                <w:vertAlign w:val="subscript"/>
              </w:rPr>
              <w:t>max</w:t>
            </w:r>
            <w:r>
              <w:rPr>
                <w:rFonts w:cs="Times New Roman"/>
                <w:szCs w:val="21"/>
              </w:rPr>
              <w:t xml:space="preserve"> (ng/mL)</w:t>
            </w:r>
          </w:p>
        </w:tc>
        <w:tc>
          <w:tcPr>
            <w:tcW w:w="408" w:type="pct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rFonts w:hint="eastAsia"/>
              </w:rPr>
              <w:t>48.7</w:t>
            </w:r>
          </w:p>
        </w:tc>
        <w:tc>
          <w:tcPr>
            <w:tcW w:w="398" w:type="pct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hint="eastAsia"/>
              </w:rPr>
              <w:t>50.</w:t>
            </w:r>
            <w:bookmarkStart w:id="0" w:name="_GoBack"/>
            <w:bookmarkEnd w:id="0"/>
            <w:r>
              <w:rPr>
                <w:rFonts w:hint="eastAsia"/>
              </w:rPr>
              <w:t>7</w:t>
            </w:r>
          </w:p>
        </w:tc>
        <w:tc>
          <w:tcPr>
            <w:tcW w:w="468" w:type="pc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rFonts w:hint="eastAsia"/>
              </w:rPr>
              <w:t>96.02</w:t>
            </w:r>
          </w:p>
        </w:tc>
        <w:tc>
          <w:tcPr>
            <w:tcW w:w="757" w:type="pc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szCs w:val="21"/>
              </w:rPr>
              <w:t>91.09</w:t>
            </w:r>
            <w:r>
              <w:rPr>
                <w:rFonts w:hint="eastAsia"/>
                <w:szCs w:val="21"/>
              </w:rPr>
              <w:t>~</w:t>
            </w:r>
            <w:r>
              <w:rPr>
                <w:szCs w:val="21"/>
              </w:rPr>
              <w:t>101.22</w:t>
            </w:r>
          </w:p>
        </w:tc>
        <w:tc>
          <w:tcPr>
            <w:tcW w:w="436" w:type="pct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62.1</w:t>
            </w: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62.9</w:t>
            </w:r>
          </w:p>
        </w:tc>
        <w:tc>
          <w:tcPr>
            <w:tcW w:w="482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98.63</w:t>
            </w:r>
          </w:p>
        </w:tc>
        <w:tc>
          <w:tcPr>
            <w:tcW w:w="68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89.94~108.16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3" w:type="pct"/>
            <w:tcBorders>
              <w:right w:val="nil"/>
            </w:tcBorders>
            <w:vAlign w:val="center"/>
          </w:tcPr>
          <w:p>
            <w:pPr>
              <w:jc w:val="left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</w:rPr>
              <w:t>AUC</w:t>
            </w:r>
            <w:r>
              <w:rPr>
                <w:rFonts w:cs="Times New Roman"/>
                <w:vertAlign w:val="subscript"/>
              </w:rPr>
              <w:t xml:space="preserve">0-t </w:t>
            </w:r>
            <w:r>
              <w:rPr>
                <w:rFonts w:cs="Times New Roman"/>
              </w:rPr>
              <w:t>(h·ng/mL)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hint="eastAsia"/>
              </w:rPr>
              <w:t>442.2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hint="eastAsia"/>
              </w:rPr>
              <w:t>469.2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rFonts w:hint="eastAsia"/>
              </w:rPr>
              <w:t>94.23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rFonts w:hint="eastAsia"/>
              </w:rPr>
              <w:t>91.64~96.90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435.6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444.8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97.93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95.79~100.11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73" w:type="pct"/>
            <w:tcBorders>
              <w:bottom w:val="single" w:color="000000" w:sz="8" w:space="0"/>
              <w:right w:val="nil"/>
            </w:tcBorders>
            <w:vAlign w:val="center"/>
          </w:tcPr>
          <w:p>
            <w:pPr>
              <w:ind w:left="210" w:hanging="210" w:hangingChars="100"/>
              <w:jc w:val="left"/>
              <w:textAlignment w:val="bottom"/>
              <w:rPr>
                <w:rFonts w:cs="Times New Roman"/>
                <w:color w:val="000000"/>
                <w:szCs w:val="21"/>
                <w:lang w:bidi="ar"/>
              </w:rPr>
            </w:pPr>
            <w:r>
              <w:rPr>
                <w:rFonts w:cs="Times New Roman"/>
              </w:rPr>
              <w:t>AUC</w:t>
            </w:r>
            <w:r>
              <w:rPr>
                <w:rFonts w:cs="Times New Roman"/>
                <w:vertAlign w:val="subscript"/>
              </w:rPr>
              <w:t xml:space="preserve">0-∞ </w:t>
            </w:r>
            <w:r>
              <w:rPr>
                <w:rFonts w:cs="Times New Roman"/>
              </w:rPr>
              <w:t>(h·ng/mL)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hint="eastAsia"/>
              </w:rPr>
              <w:t>451.4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hint="eastAsia"/>
              </w:rPr>
              <w:t>479.7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rFonts w:hint="eastAsia"/>
              </w:rPr>
              <w:t>94.11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kern w:val="2"/>
                <w:szCs w:val="21"/>
              </w:rPr>
            </w:pPr>
            <w:r>
              <w:rPr>
                <w:rFonts w:hint="eastAsia"/>
              </w:rPr>
              <w:t>91.54~96.74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444.5</w:t>
            </w:r>
          </w:p>
        </w:tc>
        <w:tc>
          <w:tcPr>
            <w:tcW w:w="483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453.9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97.94</w:t>
            </w:r>
          </w:p>
        </w:tc>
        <w:tc>
          <w:tcPr>
            <w:tcW w:w="689" w:type="pct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jc w:val="center"/>
              <w:textAlignment w:val="bottom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95.80~100.12</w:t>
            </w:r>
          </w:p>
        </w:tc>
      </w:tr>
    </w:tbl>
    <w:p>
      <w:r>
        <w:rPr>
          <w:rFonts w:cs="Times New Roman"/>
          <w:bCs w:val="0"/>
        </w:rPr>
        <w:t xml:space="preserve">T, test products; R, reference products; GM, geometric mean; CV, coefficient of variation </w:t>
      </w:r>
      <w:r>
        <w:rPr>
          <w:rFonts w:cs="Times New Roman"/>
          <w:bCs w:val="0"/>
          <w:i/>
          <w:iCs/>
        </w:rPr>
        <w:t>in vivo</w:t>
      </w:r>
      <w:r>
        <w:rPr>
          <w:rFonts w:cs="Times New Roman"/>
          <w:bCs w:val="0"/>
        </w:rPr>
        <w:t>; Power, power of the test.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MDk5MzMyOWQ3OTU3ZWZlOGYzNzkzY2JjNWJiMjkifQ=="/>
  </w:docVars>
  <w:rsids>
    <w:rsidRoot w:val="00DF4621"/>
    <w:rsid w:val="00013335"/>
    <w:rsid w:val="006F4C6D"/>
    <w:rsid w:val="009A08B1"/>
    <w:rsid w:val="00DF4621"/>
    <w:rsid w:val="1F3F164B"/>
    <w:rsid w:val="5B0501F8"/>
    <w:rsid w:val="6DB9786C"/>
    <w:rsid w:val="7564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iPriority w:val="0"/>
    <w:rPr>
      <w:sz w:val="20"/>
      <w:szCs w:val="20"/>
    </w:rPr>
  </w:style>
  <w:style w:type="paragraph" w:styleId="3">
    <w:name w:val="Balloon Text"/>
    <w:basedOn w:val="1"/>
    <w:link w:val="10"/>
    <w:autoRedefine/>
    <w:qFormat/>
    <w:uiPriority w:val="0"/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9"/>
    <w:autoRedefine/>
    <w:qFormat/>
    <w:uiPriority w:val="0"/>
    <w:rPr>
      <w:b/>
    </w:rPr>
  </w:style>
  <w:style w:type="character" w:styleId="7">
    <w:name w:val="annotation reference"/>
    <w:basedOn w:val="6"/>
    <w:autoRedefine/>
    <w:qFormat/>
    <w:uiPriority w:val="0"/>
    <w:rPr>
      <w:sz w:val="16"/>
      <w:szCs w:val="16"/>
    </w:rPr>
  </w:style>
  <w:style w:type="character" w:customStyle="1" w:styleId="8">
    <w:name w:val="Comment Text Char"/>
    <w:basedOn w:val="6"/>
    <w:link w:val="2"/>
    <w:autoRedefine/>
    <w:qFormat/>
    <w:uiPriority w:val="0"/>
    <w:rPr>
      <w:rFonts w:ascii="Times New Roman" w:hAnsi="Times New Roman" w:eastAsia="宋体"/>
      <w:bCs/>
      <w:kern w:val="44"/>
      <w:lang w:val="en-US" w:eastAsia="zh-CN"/>
      <w14:ligatures w14:val="standardContextual"/>
    </w:rPr>
  </w:style>
  <w:style w:type="character" w:customStyle="1" w:styleId="9">
    <w:name w:val="Comment Subject Char"/>
    <w:basedOn w:val="8"/>
    <w:link w:val="4"/>
    <w:autoRedefine/>
    <w:qFormat/>
    <w:uiPriority w:val="0"/>
    <w:rPr>
      <w:rFonts w:ascii="Times New Roman" w:hAnsi="Times New Roman" w:eastAsia="宋体"/>
      <w:b/>
      <w:kern w:val="44"/>
      <w:lang w:val="en-US" w:eastAsia="zh-CN"/>
      <w14:ligatures w14:val="standardContextual"/>
    </w:rPr>
  </w:style>
  <w:style w:type="character" w:customStyle="1" w:styleId="10">
    <w:name w:val="Balloon Text Char"/>
    <w:basedOn w:val="6"/>
    <w:link w:val="3"/>
    <w:autoRedefine/>
    <w:qFormat/>
    <w:uiPriority w:val="0"/>
    <w:rPr>
      <w:rFonts w:ascii="Segoe UI" w:hAnsi="Segoe UI" w:eastAsia="宋体" w:cs="Segoe UI"/>
      <w:bCs/>
      <w:kern w:val="44"/>
      <w:sz w:val="18"/>
      <w:szCs w:val="18"/>
      <w:lang w:val="en-US" w:eastAsia="zh-CN"/>
      <w14:ligatures w14:val="standardContextual"/>
    </w:rPr>
  </w:style>
  <w:style w:type="paragraph" w:customStyle="1" w:styleId="11">
    <w:name w:val="Revision"/>
    <w:autoRedefine/>
    <w:hidden/>
    <w:semiHidden/>
    <w:qFormat/>
    <w:uiPriority w:val="99"/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437</Characters>
  <Lines>3</Lines>
  <Paragraphs>1</Paragraphs>
  <TotalTime>2</TotalTime>
  <ScaleCrop>false</ScaleCrop>
  <LinksUpToDate>false</LinksUpToDate>
  <CharactersWithSpaces>512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2023-12-27T22:03:00Z</dcterms:created>
  <dc:creator>谭东妹</dc:creator>
  <cp:lastModifiedBy>咩</cp:lastModifiedBy>
  <dcterms:modified xsi:type="dcterms:W3CDTF">2024-02-03T06:50:55Z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1701A64AEEC6485ABFA692C598BC658B_12</vt:lpwstr>
  </property>
</Properties>
</file>