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t xml:space="preserve">Table 2. </w:t>
      </w:r>
      <w:bookmarkStart w:id="0" w:name="_Hlk140312549"/>
      <w:r>
        <w:t xml:space="preserve">Pharmacokinetic parameters of the test and </w:t>
      </w:r>
      <w:bookmarkStart w:id="1" w:name="_GoBack"/>
      <w:bookmarkEnd w:id="1"/>
      <w:r>
        <w:t>reference formulations of trimetazidine hydrochloride</w:t>
      </w:r>
    </w:p>
    <w:bookmarkEnd w:id="0"/>
    <w:tbl>
      <w:tblPr>
        <w:tblStyle w:val="5"/>
        <w:tblW w:w="5000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34"/>
        <w:gridCol w:w="1826"/>
        <w:gridCol w:w="1826"/>
        <w:gridCol w:w="1758"/>
        <w:gridCol w:w="8"/>
        <w:gridCol w:w="1746"/>
        <w:gridCol w:w="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3" w:type="pct"/>
            <w:vMerge w:val="restart"/>
            <w:tcBorders>
              <w:top w:val="single" w:color="000000" w:sz="8" w:space="0"/>
              <w:left w:val="nil"/>
            </w:tcBorders>
            <w:vAlign w:val="center"/>
          </w:tcPr>
          <w:p>
            <w:pPr>
              <w:jc w:val="both"/>
              <w:rPr>
                <w:szCs w:val="21"/>
              </w:rPr>
            </w:pPr>
            <w:r>
              <w:t>Parameters</w:t>
            </w:r>
          </w:p>
        </w:tc>
        <w:tc>
          <w:tcPr>
            <w:tcW w:w="4317" w:type="pct"/>
            <w:gridSpan w:val="6"/>
            <w:tcBorders>
              <w:top w:val="single" w:color="000000" w:sz="8" w:space="0"/>
              <w:bottom w:val="single" w:color="auto" w:sz="4" w:space="0"/>
              <w:right w:val="nil"/>
            </w:tcBorders>
            <w:vAlign w:val="center"/>
          </w:tcPr>
          <w:p>
            <w:pPr>
              <w:jc w:val="both"/>
            </w:pPr>
            <w:r>
              <w:t>Mean (SD)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3" w:type="pct"/>
            <w:vMerge w:val="continue"/>
            <w:tcBorders>
              <w:left w:val="nil"/>
            </w:tcBorders>
            <w:vAlign w:val="center"/>
          </w:tcPr>
          <w:p>
            <w:pPr>
              <w:jc w:val="both"/>
            </w:pPr>
          </w:p>
        </w:tc>
        <w:tc>
          <w:tcPr>
            <w:tcW w:w="2198" w:type="pct"/>
            <w:gridSpan w:val="2"/>
            <w:tcBorders>
              <w:top w:val="single" w:color="auto" w:sz="4" w:space="0"/>
              <w:bottom w:val="single" w:color="auto" w:sz="4" w:space="0"/>
              <w:right w:val="single" w:color="FFFFFF" w:themeColor="background1" w:sz="48" w:space="0"/>
            </w:tcBorders>
            <w:vAlign w:val="center"/>
          </w:tcPr>
          <w:p>
            <w:pPr>
              <w:jc w:val="both"/>
            </w:pPr>
            <w:r>
              <w:t xml:space="preserve">Fasting </w:t>
            </w:r>
            <w:r>
              <w:rPr>
                <w:kern w:val="2"/>
              </w:rPr>
              <w:t>(N=28)</w:t>
            </w:r>
          </w:p>
        </w:tc>
        <w:tc>
          <w:tcPr>
            <w:tcW w:w="2119" w:type="pct"/>
            <w:gridSpan w:val="4"/>
            <w:tcBorders>
              <w:top w:val="single" w:color="auto" w:sz="4" w:space="0"/>
              <w:left w:val="single" w:color="FFFFFF" w:themeColor="background1" w:sz="48" w:space="0"/>
              <w:bottom w:val="single" w:color="auto" w:sz="4" w:space="0"/>
              <w:right w:val="nil"/>
            </w:tcBorders>
            <w:vAlign w:val="center"/>
          </w:tcPr>
          <w:p>
            <w:pPr>
              <w:jc w:val="both"/>
            </w:pPr>
            <w:r>
              <w:t>Fed (N=28)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3" w:type="pct"/>
            <w:vMerge w:val="continue"/>
            <w:tcBorders>
              <w:left w:val="nil"/>
              <w:bottom w:val="single" w:color="auto" w:sz="4" w:space="0"/>
            </w:tcBorders>
            <w:vAlign w:val="center"/>
          </w:tcPr>
          <w:p>
            <w:pPr>
              <w:jc w:val="both"/>
            </w:pPr>
          </w:p>
        </w:tc>
        <w:tc>
          <w:tcPr>
            <w:tcW w:w="1099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both"/>
            </w:pPr>
            <w:r>
              <w:t>T</w:t>
            </w:r>
          </w:p>
        </w:tc>
        <w:tc>
          <w:tcPr>
            <w:tcW w:w="1099" w:type="pct"/>
            <w:tcBorders>
              <w:top w:val="single" w:color="auto" w:sz="4" w:space="0"/>
              <w:bottom w:val="single" w:color="auto" w:sz="4" w:space="0"/>
              <w:right w:val="single" w:color="FFFFFF" w:themeColor="background1" w:sz="48" w:space="0"/>
            </w:tcBorders>
            <w:vAlign w:val="center"/>
          </w:tcPr>
          <w:p>
            <w:pPr>
              <w:jc w:val="both"/>
            </w:pPr>
            <w:r>
              <w:t>R</w:t>
            </w:r>
          </w:p>
        </w:tc>
        <w:tc>
          <w:tcPr>
            <w:tcW w:w="1063" w:type="pct"/>
            <w:gridSpan w:val="2"/>
            <w:tcBorders>
              <w:top w:val="single" w:color="auto" w:sz="4" w:space="0"/>
              <w:left w:val="single" w:color="FFFFFF" w:themeColor="background1" w:sz="48" w:space="0"/>
              <w:bottom w:val="single" w:color="auto" w:sz="4" w:space="0"/>
            </w:tcBorders>
            <w:vAlign w:val="center"/>
          </w:tcPr>
          <w:p>
            <w:pPr>
              <w:jc w:val="both"/>
            </w:pPr>
            <w:r>
              <w:t>T</w:t>
            </w:r>
          </w:p>
        </w:tc>
        <w:tc>
          <w:tcPr>
            <w:tcW w:w="1056" w:type="pct"/>
            <w:gridSpan w:val="2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jc w:val="both"/>
            </w:pPr>
            <w:r>
              <w:t>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" w:type="dxa"/>
          <w:jc w:val="center"/>
        </w:trPr>
        <w:tc>
          <w:tcPr>
            <w:tcW w:w="683" w:type="pct"/>
            <w:tcBorders>
              <w:top w:val="single" w:color="auto" w:sz="4" w:space="0"/>
            </w:tcBorders>
            <w:vAlign w:val="center"/>
          </w:tcPr>
          <w:p>
            <w:pPr>
              <w:textAlignment w:val="auto"/>
              <w:rPr>
                <w:color w:val="000000"/>
                <w:lang w:bidi="ar"/>
              </w:rPr>
            </w:pPr>
            <w:r>
              <w:t>C</w:t>
            </w:r>
            <w:r>
              <w:rPr>
                <w:vertAlign w:val="subscript"/>
              </w:rPr>
              <w:t>max</w:t>
            </w:r>
            <w:r>
              <w:t xml:space="preserve"> (ng/mL)</w:t>
            </w:r>
          </w:p>
        </w:tc>
        <w:tc>
          <w:tcPr>
            <w:tcW w:w="1099" w:type="pct"/>
            <w:tcBorders>
              <w:top w:val="single" w:color="auto" w:sz="4" w:space="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both"/>
              <w:textAlignment w:val="auto"/>
            </w:pPr>
            <w:r>
              <w:rPr>
                <w:rFonts w:hint="eastAsia"/>
              </w:rPr>
              <w:t>5</w:t>
            </w:r>
            <w:r>
              <w:t>0.0 (11.96)</w:t>
            </w:r>
          </w:p>
        </w:tc>
        <w:tc>
          <w:tcPr>
            <w:tcW w:w="1099" w:type="pct"/>
            <w:tcBorders>
              <w:top w:val="single" w:color="auto" w:sz="4" w:space="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both"/>
              <w:textAlignment w:val="auto"/>
            </w:pPr>
            <w:r>
              <w:rPr>
                <w:rFonts w:hint="eastAsia"/>
              </w:rPr>
              <w:t>5</w:t>
            </w:r>
            <w:r>
              <w:t>2.6 (14.95)</w:t>
            </w:r>
          </w:p>
        </w:tc>
        <w:tc>
          <w:tcPr>
            <w:tcW w:w="1058" w:type="pct"/>
            <w:tcBorders>
              <w:top w:val="single" w:color="auto" w:sz="4" w:space="0"/>
            </w:tcBorders>
            <w:vAlign w:val="center"/>
          </w:tcPr>
          <w:p>
            <w:pPr>
              <w:jc w:val="both"/>
              <w:textAlignment w:val="auto"/>
            </w:pPr>
            <w:r>
              <w:t>64.0 (16.66)</w:t>
            </w:r>
          </w:p>
        </w:tc>
        <w:tc>
          <w:tcPr>
            <w:tcW w:w="1056" w:type="pct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both"/>
              <w:textAlignment w:val="auto"/>
            </w:pPr>
            <w:r>
              <w:t>66.8 (20.09)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" w:type="dxa"/>
          <w:jc w:val="center"/>
        </w:trPr>
        <w:tc>
          <w:tcPr>
            <w:tcW w:w="683" w:type="pct"/>
            <w:vAlign w:val="center"/>
          </w:tcPr>
          <w:p>
            <w:pPr>
              <w:jc w:val="both"/>
              <w:textAlignment w:val="auto"/>
              <w:rPr>
                <w:color w:val="000000"/>
                <w:lang w:bidi="ar"/>
              </w:rPr>
            </w:pPr>
            <w:r>
              <w:t>AUC</w:t>
            </w:r>
            <w:r>
              <w:rPr>
                <w:vertAlign w:val="subscript"/>
              </w:rPr>
              <w:t>0-t</w:t>
            </w:r>
            <w:r>
              <w:t xml:space="preserve"> (h·ng/mL)</w:t>
            </w:r>
          </w:p>
        </w:tc>
        <w:tc>
          <w:tcPr>
            <w:tcW w:w="1099" w:type="pct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both"/>
              <w:textAlignment w:val="auto"/>
            </w:pPr>
            <w:r>
              <w:rPr>
                <w:rFonts w:hint="eastAsia"/>
              </w:rPr>
              <w:t>4</w:t>
            </w:r>
            <w:r>
              <w:t>61.1 (127.61)</w:t>
            </w:r>
          </w:p>
        </w:tc>
        <w:tc>
          <w:tcPr>
            <w:tcW w:w="1099" w:type="pct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both"/>
              <w:textAlignment w:val="auto"/>
            </w:pPr>
            <w:r>
              <w:rPr>
                <w:rFonts w:hint="eastAsia"/>
              </w:rPr>
              <w:t>4</w:t>
            </w:r>
            <w:r>
              <w:t>88.6 (134.13)</w:t>
            </w:r>
          </w:p>
        </w:tc>
        <w:tc>
          <w:tcPr>
            <w:tcW w:w="1058" w:type="pct"/>
            <w:vAlign w:val="center"/>
          </w:tcPr>
          <w:p>
            <w:pPr>
              <w:jc w:val="both"/>
              <w:textAlignment w:val="auto"/>
            </w:pPr>
            <w:r>
              <w:t>439.6 (62.86)</w:t>
            </w:r>
          </w:p>
        </w:tc>
        <w:tc>
          <w:tcPr>
            <w:tcW w:w="1056" w:type="pct"/>
            <w:gridSpan w:val="2"/>
            <w:vAlign w:val="center"/>
          </w:tcPr>
          <w:p>
            <w:pPr>
              <w:jc w:val="both"/>
              <w:textAlignment w:val="auto"/>
            </w:pPr>
            <w:r>
              <w:t>453.8 (63.39)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" w:type="dxa"/>
          <w:jc w:val="center"/>
        </w:trPr>
        <w:tc>
          <w:tcPr>
            <w:tcW w:w="683" w:type="pct"/>
            <w:vAlign w:val="center"/>
          </w:tcPr>
          <w:p>
            <w:pPr>
              <w:jc w:val="both"/>
              <w:textAlignment w:val="auto"/>
              <w:rPr>
                <w:color w:val="000000"/>
                <w:lang w:bidi="ar"/>
              </w:rPr>
            </w:pPr>
            <w:r>
              <w:t>AUC</w:t>
            </w:r>
            <w:r>
              <w:rPr>
                <w:vertAlign w:val="subscript"/>
              </w:rPr>
              <w:t xml:space="preserve">0-∞ </w:t>
            </w:r>
            <w:r>
              <w:t>(h·ng/mL)</w:t>
            </w:r>
          </w:p>
        </w:tc>
        <w:tc>
          <w:tcPr>
            <w:tcW w:w="1099" w:type="pct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both"/>
              <w:textAlignment w:val="auto"/>
            </w:pPr>
            <w:r>
              <w:rPr>
                <w:rFonts w:hint="eastAsia"/>
              </w:rPr>
              <w:t>4</w:t>
            </w:r>
            <w:r>
              <w:t>71.3 (132.49)</w:t>
            </w:r>
          </w:p>
        </w:tc>
        <w:tc>
          <w:tcPr>
            <w:tcW w:w="1099" w:type="pct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both"/>
              <w:textAlignment w:val="auto"/>
            </w:pPr>
            <w:r>
              <w:rPr>
                <w:rFonts w:hint="eastAsia"/>
              </w:rPr>
              <w:t>5</w:t>
            </w:r>
            <w:r>
              <w:t>00.2 (140.77)</w:t>
            </w:r>
          </w:p>
        </w:tc>
        <w:tc>
          <w:tcPr>
            <w:tcW w:w="1058" w:type="pct"/>
            <w:vAlign w:val="center"/>
          </w:tcPr>
          <w:p>
            <w:pPr>
              <w:jc w:val="both"/>
              <w:textAlignment w:val="auto"/>
            </w:pPr>
            <w:r>
              <w:t>448.4 (63.06)</w:t>
            </w:r>
          </w:p>
        </w:tc>
        <w:tc>
          <w:tcPr>
            <w:tcW w:w="1056" w:type="pct"/>
            <w:gridSpan w:val="2"/>
            <w:vAlign w:val="center"/>
          </w:tcPr>
          <w:p>
            <w:pPr>
              <w:jc w:val="both"/>
              <w:textAlignment w:val="auto"/>
            </w:pPr>
            <w:r>
              <w:t>462.9 (63.75)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" w:type="dxa"/>
          <w:jc w:val="center"/>
        </w:trPr>
        <w:tc>
          <w:tcPr>
            <w:tcW w:w="683" w:type="pct"/>
            <w:vAlign w:val="center"/>
          </w:tcPr>
          <w:p>
            <w:pPr>
              <w:jc w:val="both"/>
              <w:textAlignment w:val="auto"/>
              <w:rPr>
                <w:color w:val="000000"/>
                <w:lang w:bidi="ar"/>
              </w:rPr>
            </w:pPr>
            <w:r>
              <w:t>T</w:t>
            </w:r>
            <w:r>
              <w:rPr>
                <w:vertAlign w:val="subscript"/>
              </w:rPr>
              <w:t>max</w:t>
            </w:r>
            <w:r>
              <w:rPr>
                <w:vertAlign w:val="superscript"/>
              </w:rPr>
              <w:t xml:space="preserve">* </w:t>
            </w:r>
            <w:r>
              <w:t>(h)</w:t>
            </w:r>
          </w:p>
        </w:tc>
        <w:tc>
          <w:tcPr>
            <w:tcW w:w="1099" w:type="pct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both"/>
              <w:textAlignment w:val="auto"/>
            </w:pPr>
            <w:r>
              <w:t>1.50 (0.502, 4.003)</w:t>
            </w:r>
          </w:p>
        </w:tc>
        <w:tc>
          <w:tcPr>
            <w:tcW w:w="1099" w:type="pct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both"/>
              <w:textAlignment w:val="auto"/>
            </w:pPr>
            <w:r>
              <w:t>1.50 (0.753, 6.016)</w:t>
            </w:r>
          </w:p>
        </w:tc>
        <w:tc>
          <w:tcPr>
            <w:tcW w:w="1058" w:type="pct"/>
            <w:vAlign w:val="center"/>
          </w:tcPr>
          <w:p>
            <w:pPr>
              <w:jc w:val="both"/>
              <w:textAlignment w:val="auto"/>
            </w:pPr>
            <w:r>
              <w:t>1.50 (0.503, 3.003)</w:t>
            </w:r>
          </w:p>
        </w:tc>
        <w:tc>
          <w:tcPr>
            <w:tcW w:w="1056" w:type="pct"/>
            <w:gridSpan w:val="2"/>
            <w:vAlign w:val="center"/>
          </w:tcPr>
          <w:p>
            <w:pPr>
              <w:jc w:val="both"/>
              <w:textAlignment w:val="auto"/>
            </w:pPr>
            <w:r>
              <w:t>1.25 (0.337, 4.004)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" w:type="dxa"/>
          <w:jc w:val="center"/>
        </w:trPr>
        <w:tc>
          <w:tcPr>
            <w:tcW w:w="683" w:type="pct"/>
            <w:tcBorders>
              <w:bottom w:val="single" w:color="000000" w:sz="8" w:space="0"/>
            </w:tcBorders>
            <w:vAlign w:val="center"/>
          </w:tcPr>
          <w:p>
            <w:pPr>
              <w:jc w:val="both"/>
              <w:textAlignment w:val="auto"/>
              <w:rPr>
                <w:color w:val="000000"/>
                <w:lang w:bidi="ar"/>
              </w:rPr>
            </w:pPr>
            <w:r>
              <w:t>t</w:t>
            </w:r>
            <w:r>
              <w:rPr>
                <w:vertAlign w:val="subscript"/>
              </w:rPr>
              <w:t>1/2</w:t>
            </w:r>
            <w:r>
              <w:t xml:space="preserve"> (h)</w:t>
            </w:r>
          </w:p>
        </w:tc>
        <w:tc>
          <w:tcPr>
            <w:tcW w:w="1099" w:type="pct"/>
            <w:tcBorders>
              <w:bottom w:val="single" w:color="000000" w:sz="8" w:space="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both"/>
              <w:textAlignment w:val="auto"/>
            </w:pPr>
            <w:r>
              <w:rPr>
                <w:rFonts w:hint="eastAsia"/>
              </w:rPr>
              <w:t>5</w:t>
            </w:r>
            <w:r>
              <w:t>.897 (0.9307)</w:t>
            </w:r>
          </w:p>
        </w:tc>
        <w:tc>
          <w:tcPr>
            <w:tcW w:w="1099" w:type="pct"/>
            <w:tcBorders>
              <w:bottom w:val="single" w:color="000000" w:sz="8" w:space="0"/>
            </w:tcBorders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both"/>
              <w:textAlignment w:val="auto"/>
            </w:pPr>
            <w:r>
              <w:rPr>
                <w:rFonts w:hint="eastAsia"/>
              </w:rPr>
              <w:t>5</w:t>
            </w:r>
            <w:r>
              <w:t>.967 (0.9948)</w:t>
            </w:r>
          </w:p>
        </w:tc>
        <w:tc>
          <w:tcPr>
            <w:tcW w:w="1058" w:type="pct"/>
            <w:tcBorders>
              <w:bottom w:val="single" w:color="000000" w:sz="8" w:space="0"/>
            </w:tcBorders>
            <w:vAlign w:val="center"/>
          </w:tcPr>
          <w:p>
            <w:pPr>
              <w:jc w:val="both"/>
              <w:textAlignment w:val="auto"/>
            </w:pPr>
            <w:r>
              <w:t>5.797 (0.8796)</w:t>
            </w:r>
          </w:p>
        </w:tc>
        <w:tc>
          <w:tcPr>
            <w:tcW w:w="1056" w:type="pct"/>
            <w:gridSpan w:val="2"/>
            <w:tcBorders>
              <w:bottom w:val="single" w:color="000000" w:sz="8" w:space="0"/>
            </w:tcBorders>
            <w:vAlign w:val="center"/>
          </w:tcPr>
          <w:p>
            <w:pPr>
              <w:jc w:val="both"/>
              <w:textAlignment w:val="auto"/>
            </w:pPr>
            <w:r>
              <w:t>5.915 (0.8142)</w:t>
            </w:r>
          </w:p>
        </w:tc>
      </w:tr>
    </w:tbl>
    <w:p>
      <w:r>
        <w:t>T, test products; R, reference products; SD, standard deviation; C</w:t>
      </w:r>
      <w:r>
        <w:rPr>
          <w:vertAlign w:val="subscript"/>
        </w:rPr>
        <w:t>max</w:t>
      </w:r>
      <w:r>
        <w:t>, maximum serum concentration; AUC</w:t>
      </w:r>
      <w:r>
        <w:rPr>
          <w:vertAlign w:val="subscript"/>
        </w:rPr>
        <w:t>0-t</w:t>
      </w:r>
      <w:r>
        <w:t>, area under the concentration-time curve from 0 to 24 hours; AUC</w:t>
      </w:r>
      <w:r>
        <w:rPr>
          <w:vertAlign w:val="subscript"/>
        </w:rPr>
        <w:t>0-∞</w:t>
      </w:r>
      <w:r>
        <w:t>, area under the concentration time-curves from time zero to infinity; T</w:t>
      </w:r>
      <w:r>
        <w:rPr>
          <w:vertAlign w:val="subscript"/>
        </w:rPr>
        <w:t>max</w:t>
      </w:r>
      <w:r>
        <w:t>, time to peak drug concentration; t</w:t>
      </w:r>
      <w:r>
        <w:rPr>
          <w:vertAlign w:val="subscript"/>
        </w:rPr>
        <w:t>1/2</w:t>
      </w:r>
      <w:r>
        <w:t>, half-life.</w:t>
      </w:r>
    </w:p>
    <w:p>
      <w:r>
        <w:rPr>
          <w:vertAlign w:val="superscript"/>
        </w:rPr>
        <w:t>*</w:t>
      </w:r>
      <w:r>
        <w:t xml:space="preserve"> T</w:t>
      </w:r>
      <w:r>
        <w:rPr>
          <w:vertAlign w:val="subscript"/>
        </w:rPr>
        <w:t>max</w:t>
      </w:r>
      <w:r>
        <w:t xml:space="preserve"> is expressed as median (minimum-maximum).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zMDk5MzMyOWQ3OTU3ZWZlOGYzNzkzY2JjNWJiMjkifQ=="/>
  </w:docVars>
  <w:rsids>
    <w:rsidRoot w:val="00F24F68"/>
    <w:rsid w:val="00714BF3"/>
    <w:rsid w:val="00D07075"/>
    <w:rsid w:val="00DB3E1B"/>
    <w:rsid w:val="00E10565"/>
    <w:rsid w:val="00EE3A76"/>
    <w:rsid w:val="00F24F68"/>
    <w:rsid w:val="015A0A65"/>
    <w:rsid w:val="2FA65BB8"/>
    <w:rsid w:val="7A0D5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  <w:pPrChange w:id="0" w:author="Author" w:date="2024-02-09T22:49:00Z">
        <w:pPr>
          <w:widowControl w:val="0"/>
          <w:jc w:val="both"/>
        </w:pPr>
      </w:pPrChange>
    </w:pPr>
    <w:rPr>
      <w:rFonts w:ascii="Times New Roman" w:hAnsi="Times New Roman" w:eastAsia="宋体" w:cstheme="minorBidi"/>
      <w:bCs/>
      <w:kern w:val="44"/>
      <w:sz w:val="21"/>
      <w:szCs w:val="44"/>
      <w:lang w:val="en-US" w:eastAsia="zh-CN" w:bidi="ar-SA"/>
      <w:rPrChange w:id="1" w:author="Author" w:date="2024-02-09T22:49:00Z">
        <w:rPr>
          <w:rFonts w:eastAsia="宋体" w:cstheme="minorBidi"/>
          <w:bCs/>
          <w:kern w:val="44"/>
          <w:sz w:val="21"/>
          <w:szCs w:val="44"/>
          <w:lang w:val="en-US" w:eastAsia="zh-CN" w:bidi="ar-SA"/>
          <w14:ligatures w14:val="standardContextual"/>
        </w:rPr>
      </w:rPrChange>
      <w14:ligatures w14:val="standardContextual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8"/>
    <w:autoRedefine/>
    <w:qFormat/>
    <w:uiPriority w:val="0"/>
    <w:rPr>
      <w:sz w:val="20"/>
      <w:szCs w:val="20"/>
    </w:rPr>
  </w:style>
  <w:style w:type="paragraph" w:styleId="3">
    <w:name w:val="Balloon Text"/>
    <w:basedOn w:val="1"/>
    <w:link w:val="10"/>
    <w:autoRedefine/>
    <w:qFormat/>
    <w:uiPriority w:val="0"/>
    <w:rPr>
      <w:rFonts w:ascii="Segoe UI" w:hAnsi="Segoe UI" w:cs="Segoe UI"/>
      <w:sz w:val="18"/>
      <w:szCs w:val="18"/>
    </w:rPr>
  </w:style>
  <w:style w:type="paragraph" w:styleId="4">
    <w:name w:val="annotation subject"/>
    <w:basedOn w:val="2"/>
    <w:next w:val="2"/>
    <w:link w:val="9"/>
    <w:autoRedefine/>
    <w:qFormat/>
    <w:uiPriority w:val="0"/>
    <w:rPr>
      <w:b/>
    </w:rPr>
  </w:style>
  <w:style w:type="character" w:styleId="7">
    <w:name w:val="annotation reference"/>
    <w:basedOn w:val="6"/>
    <w:autoRedefine/>
    <w:qFormat/>
    <w:uiPriority w:val="0"/>
    <w:rPr>
      <w:sz w:val="16"/>
      <w:szCs w:val="16"/>
    </w:rPr>
  </w:style>
  <w:style w:type="character" w:customStyle="1" w:styleId="8">
    <w:name w:val="Comment Text Char"/>
    <w:basedOn w:val="6"/>
    <w:link w:val="2"/>
    <w:autoRedefine/>
    <w:qFormat/>
    <w:uiPriority w:val="0"/>
    <w:rPr>
      <w:rFonts w:ascii="Times New Roman" w:hAnsi="Times New Roman" w:eastAsia="宋体"/>
      <w:bCs/>
      <w:kern w:val="44"/>
      <w:lang w:val="en-US" w:eastAsia="zh-CN"/>
      <w14:ligatures w14:val="standardContextual"/>
    </w:rPr>
  </w:style>
  <w:style w:type="character" w:customStyle="1" w:styleId="9">
    <w:name w:val="Comment Subject Char"/>
    <w:basedOn w:val="8"/>
    <w:link w:val="4"/>
    <w:autoRedefine/>
    <w:qFormat/>
    <w:uiPriority w:val="0"/>
    <w:rPr>
      <w:rFonts w:ascii="Times New Roman" w:hAnsi="Times New Roman" w:eastAsia="宋体"/>
      <w:b/>
      <w:kern w:val="44"/>
      <w:lang w:val="en-US" w:eastAsia="zh-CN"/>
      <w14:ligatures w14:val="standardContextual"/>
    </w:rPr>
  </w:style>
  <w:style w:type="character" w:customStyle="1" w:styleId="10">
    <w:name w:val="Balloon Text Char"/>
    <w:basedOn w:val="6"/>
    <w:link w:val="3"/>
    <w:autoRedefine/>
    <w:qFormat/>
    <w:uiPriority w:val="0"/>
    <w:rPr>
      <w:rFonts w:ascii="Segoe UI" w:hAnsi="Segoe UI" w:eastAsia="宋体" w:cs="Segoe UI"/>
      <w:bCs/>
      <w:kern w:val="44"/>
      <w:sz w:val="18"/>
      <w:szCs w:val="18"/>
      <w:lang w:val="en-US" w:eastAsia="zh-CN"/>
      <w14:ligatures w14:val="standardContextual"/>
    </w:rPr>
  </w:style>
  <w:style w:type="paragraph" w:customStyle="1" w:styleId="11">
    <w:name w:val="Revision1"/>
    <w:autoRedefine/>
    <w:hidden/>
    <w:semiHidden/>
    <w:qFormat/>
    <w:uiPriority w:val="99"/>
    <w:rPr>
      <w:rFonts w:ascii="Times New Roman" w:hAnsi="Times New Roman" w:eastAsia="宋体" w:cstheme="minorBidi"/>
      <w:bCs/>
      <w:kern w:val="44"/>
      <w:sz w:val="21"/>
      <w:szCs w:val="44"/>
      <w:lang w:val="en-US" w:eastAsia="zh-CN" w:bidi="ar-SA"/>
      <w14:ligatures w14:val="standardContextual"/>
    </w:rPr>
  </w:style>
  <w:style w:type="paragraph" w:customStyle="1" w:styleId="12">
    <w:name w:val="Revision"/>
    <w:autoRedefine/>
    <w:hidden/>
    <w:unhideWhenUsed/>
    <w:qFormat/>
    <w:uiPriority w:val="99"/>
    <w:rPr>
      <w:rFonts w:ascii="Times New Roman" w:hAnsi="Times New Roman" w:eastAsia="宋体" w:cstheme="minorBidi"/>
      <w:bCs/>
      <w:kern w:val="44"/>
      <w:sz w:val="21"/>
      <w:szCs w:val="44"/>
      <w:lang w:val="en-US" w:eastAsia="zh-CN" w:bidi="ar-SA"/>
      <w14:ligatures w14:val="standardContextual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135</Words>
  <Characters>772</Characters>
  <Lines>6</Lines>
  <Paragraphs>1</Paragraphs>
  <TotalTime>8</TotalTime>
  <ScaleCrop>false</ScaleCrop>
  <LinksUpToDate>false</LinksUpToDate>
  <CharactersWithSpaces>906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2023-12-27T21:57:00Z</dcterms:created>
  <dc:creator>谭东妹</dc:creator>
  <cp:lastModifiedBy>咩</cp:lastModifiedBy>
  <dcterms:modified xsi:type="dcterms:W3CDTF">2024-02-15T16:13:04Z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088D865687B641328E03953F1EAD0576_12</vt:lpwstr>
  </property>
</Properties>
</file>