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1373" w:rsidRPr="00F16EF2" w:rsidRDefault="00511373" w:rsidP="00511373">
      <w:pPr>
        <w:spacing w:line="240" w:lineRule="auto"/>
        <w:jc w:val="both"/>
        <w:rPr>
          <w:sz w:val="20"/>
          <w:szCs w:val="20"/>
          <w:lang w:val="en-US"/>
        </w:rPr>
      </w:pPr>
      <w:r w:rsidRPr="00F16EF2">
        <w:rPr>
          <w:b/>
          <w:color w:val="222222"/>
          <w:sz w:val="20"/>
          <w:szCs w:val="20"/>
          <w:highlight w:val="white"/>
          <w:lang w:val="en-US"/>
        </w:rPr>
        <w:t>Table S1:</w:t>
      </w:r>
      <w:r w:rsidRPr="00F16EF2">
        <w:rPr>
          <w:color w:val="222222"/>
          <w:sz w:val="20"/>
          <w:szCs w:val="20"/>
          <w:highlight w:val="white"/>
          <w:lang w:val="en-US"/>
        </w:rPr>
        <w:t xml:space="preserve"> Demographic, clinical and molecular characteristics of MPS cases.</w:t>
      </w:r>
    </w:p>
    <w:tbl>
      <w:tblPr>
        <w:tblW w:w="93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4"/>
        <w:gridCol w:w="480"/>
        <w:gridCol w:w="765"/>
        <w:gridCol w:w="1350"/>
        <w:gridCol w:w="1110"/>
        <w:gridCol w:w="930"/>
        <w:gridCol w:w="705"/>
        <w:gridCol w:w="855"/>
        <w:gridCol w:w="1425"/>
        <w:gridCol w:w="1455"/>
      </w:tblGrid>
      <w:tr w:rsidR="00511373" w:rsidTr="00956003">
        <w:tc>
          <w:tcPr>
            <w:tcW w:w="254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ID</w:t>
            </w:r>
          </w:p>
        </w:tc>
        <w:tc>
          <w:tcPr>
            <w:tcW w:w="480" w:type="dxa"/>
            <w:tcBorders>
              <w:top w:val="single" w:sz="8" w:space="0" w:color="222222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MPS</w:t>
            </w:r>
          </w:p>
        </w:tc>
        <w:tc>
          <w:tcPr>
            <w:tcW w:w="765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Gender</w:t>
            </w:r>
          </w:p>
        </w:tc>
        <w:tc>
          <w:tcPr>
            <w:tcW w:w="1350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Parental consanguinity</w:t>
            </w:r>
          </w:p>
        </w:tc>
        <w:tc>
          <w:tcPr>
            <w:tcW w:w="1110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Pr="00F16EF2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  <w:lang w:val="en-US"/>
              </w:rPr>
            </w:pPr>
            <w:r w:rsidRPr="00F16EF2">
              <w:rPr>
                <w:b/>
                <w:color w:val="222222"/>
                <w:sz w:val="20"/>
                <w:szCs w:val="20"/>
                <w:highlight w:val="white"/>
                <w:lang w:val="en-US"/>
              </w:rPr>
              <w:t>Age at first symptoms (months)</w:t>
            </w:r>
          </w:p>
        </w:tc>
        <w:tc>
          <w:tcPr>
            <w:tcW w:w="930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Age at diagnosis (years)</w:t>
            </w:r>
          </w:p>
        </w:tc>
        <w:tc>
          <w:tcPr>
            <w:tcW w:w="705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Age at death (years)</w:t>
            </w:r>
          </w:p>
        </w:tc>
        <w:tc>
          <w:tcPr>
            <w:tcW w:w="855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Gene</w:t>
            </w:r>
          </w:p>
        </w:tc>
        <w:tc>
          <w:tcPr>
            <w:tcW w:w="1425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Pathogenic Variants</w:t>
            </w:r>
          </w:p>
        </w:tc>
        <w:tc>
          <w:tcPr>
            <w:tcW w:w="1455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1373" w:rsidRDefault="00511373" w:rsidP="00956003">
            <w:pP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color w:val="222222"/>
                <w:sz w:val="20"/>
                <w:szCs w:val="20"/>
                <w:highlight w:val="white"/>
              </w:rPr>
              <w:t>Variant type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p.(Glu182Lys);</w:t>
            </w:r>
          </w:p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p.(Gly208Asp)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9mo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p.(Glu182Lys); p.(Gly208Asp)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p.(Pro533Arg); 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p.(Arg89Gln); p.(Pro533Arg)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p.(Trp402Ter); p.(Trp402Ter)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Nonsense; Nonsense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p.(Trp402Ter); p.(Trp402Ter)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Nonsense; Nonsense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p.(Arg89Gln); p.(Pro533Arg)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RPr="00A067C3" w:rsidTr="00956003">
        <w:trPr>
          <w:trHeight w:val="123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c.144_146del; c.144_146del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Pr="00F16EF2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  <w:lang w:val="en-US"/>
              </w:rPr>
            </w:pPr>
            <w:r w:rsidRPr="00F16EF2">
              <w:rPr>
                <w:color w:val="222222"/>
                <w:sz w:val="20"/>
                <w:szCs w:val="20"/>
                <w:highlight w:val="white"/>
                <w:lang w:val="en-US"/>
              </w:rPr>
              <w:t>In-frame deletion; In-frame deletion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IDUA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p.(Trp402Ter); p.(Trp402Ter)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Nonsense; Nonsense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p.(His138Tyr)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c.880-8A&gt;G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p.(Lys440Thrfs*15)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Frameshift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p.(Lys440Thrfs*15)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Frameshift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16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c.880-8A&gt;G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p.Gly374=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Silent*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p.(Asp334Val)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p.(His138Tyr)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p.(Lys440Thrfs*15)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Frameshift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p.(Pro86Leu)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p.(Pro86Leu)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IDS/</w:t>
            </w:r>
          </w:p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IDSP1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 xml:space="preserve">IDS/IDSP1 </w:t>
            </w:r>
            <w:r>
              <w:rPr>
                <w:color w:val="222222"/>
                <w:sz w:val="20"/>
                <w:szCs w:val="20"/>
                <w:highlight w:val="white"/>
              </w:rPr>
              <w:t>inversion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Complex rearrangement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 xml:space="preserve">IDS, 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p.(Tyr306Asn)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IDS/</w:t>
            </w:r>
          </w:p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IDSP1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 xml:space="preserve">IDS/IDSP1 </w:t>
            </w:r>
            <w:r>
              <w:rPr>
                <w:color w:val="222222"/>
                <w:sz w:val="20"/>
                <w:szCs w:val="20"/>
                <w:highlight w:val="white"/>
              </w:rPr>
              <w:t>inversion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Complex rearrangement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IDS/</w:t>
            </w:r>
          </w:p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IDSP1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 xml:space="preserve">IDS/IDSP1 </w:t>
            </w:r>
            <w:r>
              <w:rPr>
                <w:color w:val="222222"/>
                <w:sz w:val="20"/>
                <w:szCs w:val="20"/>
                <w:highlight w:val="white"/>
              </w:rPr>
              <w:t>inversion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Complex rearrangement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p.(Ser152Asn)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IDS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p.(Ser152Asn)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SGSH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p.(Gly80Val); p.(Gly80Val)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SGSH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c.1091del; c.1091del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Frameshift; Frameshift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39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NAGLU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p.(Glu28Lys); p.(Arg203Ter)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Nonsense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NAGLU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p.(Arg203Ter); p.(Arg203Ter)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Nonsense; Nonsense</w:t>
            </w:r>
          </w:p>
        </w:tc>
      </w:tr>
      <w:tr w:rsidR="00511373" w:rsidTr="00956003">
        <w:trPr>
          <w:trHeight w:val="725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NAGLU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p.Tyr174=; NA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Silent; 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III-B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NAGLU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p.(Arg565Gln); p.(Arg565Gln)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III-C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HGSNAT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c.372-2A&gt;G; c.372-2A&gt;G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Splice-site; Splice-site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III-C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HGSNAT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c.372-2A&gt;G; c.372-2A&gt;G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Splice-site; Splice-site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III-C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HGSNAT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p.(Leu55Ter); c.372-2A&gt;G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Nonsense; Splice-site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p.(Val239Phe); p.(Val239Phe)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p.(Val239Phe); p.(Val239Phe)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p.(Val239Phe);</w:t>
            </w:r>
          </w:p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GALNS,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p.(Val239Phe);</w:t>
            </w:r>
          </w:p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54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p.(Val239Phe);</w:t>
            </w:r>
          </w:p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p.(Val239Phe)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IV-A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GALNS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p.(Glu51Lys); p.(Glu51Lys)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p.(Leu72Arg); p.(Leu72Arg)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p.(Asp54Asn); p.(Leu72Arg)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Missense; Missense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67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68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69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70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71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72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73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11mo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c.1143-8T&gt;G; c.1143-8T&gt;G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Intronic</w:t>
            </w:r>
          </w:p>
        </w:tc>
      </w:tr>
      <w:tr w:rsidR="00511373" w:rsidTr="00956003">
        <w:trPr>
          <w:trHeight w:val="50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74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</w:tr>
      <w:tr w:rsidR="00511373" w:rsidTr="00956003">
        <w:trPr>
          <w:trHeight w:val="980"/>
        </w:trPr>
        <w:tc>
          <w:tcPr>
            <w:tcW w:w="25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75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N/A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Pr="00F16EF2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  <w:lang w:val="en-US"/>
              </w:rPr>
            </w:pPr>
            <w:r w:rsidRPr="00F16EF2">
              <w:rPr>
                <w:color w:val="222222"/>
                <w:sz w:val="20"/>
                <w:szCs w:val="20"/>
                <w:highlight w:val="white"/>
                <w:lang w:val="en-US"/>
              </w:rPr>
              <w:t>c.1143-8T&gt;G; p.(Trp353Cys)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Missense</w:t>
            </w:r>
          </w:p>
        </w:tc>
      </w:tr>
      <w:tr w:rsidR="00511373" w:rsidTr="00956003">
        <w:tc>
          <w:tcPr>
            <w:tcW w:w="254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76</w:t>
            </w:r>
          </w:p>
        </w:tc>
        <w:tc>
          <w:tcPr>
            <w:tcW w:w="480" w:type="dxa"/>
            <w:tcBorders>
              <w:top w:val="nil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VI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Alive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i/>
                <w:color w:val="222222"/>
                <w:sz w:val="20"/>
                <w:szCs w:val="20"/>
                <w:highlight w:val="white"/>
              </w:rPr>
            </w:pPr>
            <w:r>
              <w:rPr>
                <w:i/>
                <w:color w:val="222222"/>
                <w:sz w:val="20"/>
                <w:szCs w:val="20"/>
                <w:highlight w:val="white"/>
              </w:rPr>
              <w:t>ARSB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Pr="00F16EF2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  <w:lang w:val="en-US"/>
              </w:rPr>
            </w:pPr>
            <w:r w:rsidRPr="00F16EF2">
              <w:rPr>
                <w:color w:val="222222"/>
                <w:sz w:val="20"/>
                <w:szCs w:val="20"/>
                <w:highlight w:val="white"/>
                <w:lang w:val="en-US"/>
              </w:rPr>
              <w:t>c.1143-8T&gt;G; p.(Trp353Cys)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222222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1373" w:rsidRDefault="00511373" w:rsidP="00956003">
            <w:pPr>
              <w:spacing w:line="240" w:lineRule="auto"/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Intronic; Missense</w:t>
            </w:r>
          </w:p>
        </w:tc>
      </w:tr>
    </w:tbl>
    <w:p w:rsidR="00511373" w:rsidRDefault="00511373" w:rsidP="00511373">
      <w:pPr>
        <w:spacing w:line="240" w:lineRule="auto"/>
        <w:jc w:val="both"/>
        <w:rPr>
          <w:color w:val="222222"/>
          <w:sz w:val="20"/>
          <w:szCs w:val="20"/>
          <w:highlight w:val="white"/>
        </w:rPr>
      </w:pPr>
      <w:r>
        <w:rPr>
          <w:color w:val="222222"/>
          <w:sz w:val="20"/>
          <w:szCs w:val="20"/>
          <w:highlight w:val="white"/>
        </w:rPr>
        <w:t>N/A: Not available.</w:t>
      </w:r>
    </w:p>
    <w:p w:rsidR="00511373" w:rsidRPr="00F16EF2" w:rsidRDefault="00511373" w:rsidP="00511373">
      <w:pPr>
        <w:spacing w:line="240" w:lineRule="auto"/>
        <w:jc w:val="both"/>
        <w:rPr>
          <w:color w:val="222222"/>
          <w:sz w:val="20"/>
          <w:szCs w:val="20"/>
          <w:highlight w:val="white"/>
          <w:lang w:val="en-US"/>
        </w:rPr>
      </w:pPr>
      <w:r w:rsidRPr="00F16EF2">
        <w:rPr>
          <w:color w:val="222222"/>
          <w:sz w:val="20"/>
          <w:szCs w:val="20"/>
          <w:highlight w:val="white"/>
          <w:lang w:val="en-US"/>
        </w:rPr>
        <w:t>* Synonymous variant p.Gly374= lead to a splice mutation with deletion of 20 amino acids of IDS protein (Rathmann et al. 1996; Zhang et al. 2011).</w:t>
      </w:r>
    </w:p>
    <w:p w:rsidR="004B52D1" w:rsidRPr="00511373" w:rsidRDefault="004B52D1">
      <w:pPr>
        <w:rPr>
          <w:lang w:val="en-US"/>
        </w:rPr>
      </w:pPr>
    </w:p>
    <w:sectPr w:rsidR="004B52D1" w:rsidRPr="00511373">
      <w:pgSz w:w="11909" w:h="16834"/>
      <w:pgMar w:top="1440" w:right="1115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73"/>
    <w:rsid w:val="004B52D1"/>
    <w:rsid w:val="00511373"/>
    <w:rsid w:val="00822148"/>
    <w:rsid w:val="00D1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3AAB7AC-B884-4847-9F7C-7A9036D2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373"/>
    <w:pPr>
      <w:spacing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1137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137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137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137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137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137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1373"/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1373"/>
    <w:rPr>
      <w:rFonts w:ascii="Arial" w:eastAsia="Arial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1373"/>
    <w:rPr>
      <w:rFonts w:ascii="Arial" w:eastAsia="Arial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1373"/>
    <w:rPr>
      <w:rFonts w:ascii="Arial" w:eastAsia="Arial" w:hAnsi="Arial" w:cs="Arial"/>
      <w:color w:val="666666"/>
      <w:kern w:val="0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1373"/>
    <w:rPr>
      <w:rFonts w:ascii="Arial" w:eastAsia="Arial" w:hAnsi="Arial" w:cs="Arial"/>
      <w:color w:val="666666"/>
      <w:kern w:val="0"/>
      <w:sz w:val="22"/>
      <w:szCs w:val="22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1373"/>
    <w:rPr>
      <w:rFonts w:ascii="Arial" w:eastAsia="Arial" w:hAnsi="Arial" w:cs="Arial"/>
      <w:i/>
      <w:color w:val="666666"/>
      <w:kern w:val="0"/>
      <w:sz w:val="22"/>
      <w:szCs w:val="22"/>
      <w:lang w:eastAsia="pt-BR"/>
      <w14:ligatures w14:val="none"/>
    </w:rPr>
  </w:style>
  <w:style w:type="table" w:customStyle="1" w:styleId="TableNormal">
    <w:name w:val="Table Normal"/>
    <w:rsid w:val="00511373"/>
    <w:pPr>
      <w:spacing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511373"/>
    <w:pPr>
      <w:keepNext/>
      <w:keepLines/>
      <w:spacing w:after="60"/>
    </w:pPr>
    <w:rPr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11373"/>
    <w:rPr>
      <w:rFonts w:ascii="Arial" w:eastAsia="Arial" w:hAnsi="Arial" w:cs="Arial"/>
      <w:kern w:val="0"/>
      <w:sz w:val="52"/>
      <w:szCs w:val="52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1373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tuloChar">
    <w:name w:val="Subtítulo Char"/>
    <w:basedOn w:val="Fontepargpadro"/>
    <w:link w:val="Subttulo"/>
    <w:uiPriority w:val="11"/>
    <w:rsid w:val="00511373"/>
    <w:rPr>
      <w:rFonts w:ascii="Arial" w:eastAsia="Arial" w:hAnsi="Arial" w:cs="Arial"/>
      <w:color w:val="666666"/>
      <w:kern w:val="0"/>
      <w:sz w:val="30"/>
      <w:szCs w:val="30"/>
      <w:lang w:eastAsia="pt-BR"/>
      <w14:ligatures w14:val="non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1137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1137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511373"/>
    <w:rPr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511373"/>
    <w:rPr>
      <w:color w:val="808080"/>
    </w:rPr>
  </w:style>
  <w:style w:type="character" w:styleId="Hyperlink">
    <w:name w:val="Hyperlink"/>
    <w:basedOn w:val="Fontepargpadro"/>
    <w:uiPriority w:val="99"/>
    <w:unhideWhenUsed/>
    <w:rsid w:val="0051137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113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770</Words>
  <Characters>4163</Characters>
  <Application>Microsoft Office Word</Application>
  <DocSecurity>0</DocSecurity>
  <Lines>34</Lines>
  <Paragraphs>9</Paragraphs>
  <ScaleCrop>false</ScaleCrop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Augusto César Cardoso Dos Santos</dc:creator>
  <cp:keywords/>
  <dc:description/>
  <cp:lastModifiedBy>Augusto César Cardoso Dos Santos</cp:lastModifiedBy>
  <cp:revision>1</cp:revision>
  <dcterms:created xsi:type="dcterms:W3CDTF">2024-02-17T00:18:00Z</dcterms:created>
  <dcterms:modified xsi:type="dcterms:W3CDTF">2024-02-17T00:19:00Z</dcterms:modified>
</cp:coreProperties>
</file>