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5BE63" w14:textId="77777777" w:rsidR="00934668" w:rsidRDefault="00934668" w:rsidP="00934668">
      <w:pPr>
        <w:spacing w:line="360" w:lineRule="auto"/>
        <w:rPr>
          <w:rFonts w:ascii="Arial" w:hAnsi="Arial" w:cs="Arial"/>
          <w:b/>
          <w:bCs/>
        </w:rPr>
      </w:pPr>
    </w:p>
    <w:p w14:paraId="52A95BB9" w14:textId="69A7A96E" w:rsidR="00934668" w:rsidRDefault="00934668" w:rsidP="00934668">
      <w:pPr>
        <w:spacing w:line="360" w:lineRule="auto"/>
        <w:rPr>
          <w:rFonts w:ascii="Arial" w:hAnsi="Arial" w:cs="Arial"/>
          <w:b/>
          <w:bCs/>
        </w:rPr>
      </w:pPr>
      <w:r w:rsidRPr="00934668">
        <w:rPr>
          <w:rFonts w:ascii="Arial" w:hAnsi="Arial" w:cs="Arial"/>
          <w:b/>
          <w:bCs/>
          <w:u w:val="single"/>
        </w:rPr>
        <w:t>Supplementary Figure legend</w:t>
      </w:r>
      <w:r>
        <w:rPr>
          <w:rFonts w:ascii="Arial" w:hAnsi="Arial" w:cs="Arial"/>
          <w:b/>
          <w:bCs/>
        </w:rPr>
        <w:t>:</w:t>
      </w:r>
    </w:p>
    <w:p w14:paraId="750DE71B" w14:textId="77777777" w:rsidR="00934668" w:rsidRDefault="00934668" w:rsidP="00934668">
      <w:pPr>
        <w:spacing w:line="360" w:lineRule="auto"/>
        <w:rPr>
          <w:rFonts w:ascii="Arial" w:hAnsi="Arial" w:cs="Arial"/>
          <w:b/>
          <w:bCs/>
        </w:rPr>
      </w:pPr>
    </w:p>
    <w:p w14:paraId="39511226" w14:textId="297127BB" w:rsidR="00934668" w:rsidRPr="0027041F" w:rsidRDefault="00934668" w:rsidP="00934668">
      <w:pPr>
        <w:spacing w:line="360" w:lineRule="auto"/>
        <w:rPr>
          <w:rFonts w:ascii="Arial" w:hAnsi="Arial" w:cs="Arial"/>
        </w:rPr>
      </w:pPr>
      <w:r w:rsidRPr="0027041F">
        <w:rPr>
          <w:rFonts w:ascii="Arial" w:hAnsi="Arial" w:cs="Arial"/>
          <w:b/>
          <w:bCs/>
        </w:rPr>
        <w:t>Figure S1</w:t>
      </w:r>
      <w:r w:rsidRPr="0027041F">
        <w:rPr>
          <w:rFonts w:ascii="Arial" w:hAnsi="Arial" w:cs="Arial"/>
        </w:rPr>
        <w:t xml:space="preserve">: </w:t>
      </w:r>
      <w:r w:rsidRPr="0027041F">
        <w:rPr>
          <w:rFonts w:ascii="Arial" w:hAnsi="Arial" w:cs="Arial"/>
          <w:b/>
          <w:bCs/>
        </w:rPr>
        <w:t>Species specificity of anti-human CD147 and anti-mouse CD147 antibodies tested against human and mouse cell lines</w:t>
      </w:r>
      <w:r w:rsidRPr="0027041F">
        <w:rPr>
          <w:rFonts w:ascii="Arial" w:hAnsi="Arial" w:cs="Arial"/>
        </w:rPr>
        <w:t>. Representative contour plots of CD147 expression on BNL 1ME A.7R.1 (top) and HepG2 (bottom) cells using antibodies targeting either mouse CD147 protein, human CD147 protein, or a combination of both antibodies (far right). Relative percentages are listed, and significant shifts highlighted in red. Gating was determined based on donkey anti-goat and mouse isotype IgG antibody background staining.</w:t>
      </w:r>
    </w:p>
    <w:p w14:paraId="4A4F88B2" w14:textId="77777777" w:rsidR="00275EDC" w:rsidRDefault="00275EDC"/>
    <w:sectPr w:rsidR="00275E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668"/>
    <w:rsid w:val="00275EDC"/>
    <w:rsid w:val="0093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789E9"/>
  <w15:chartTrackingRefBased/>
  <w15:docId w15:val="{1C76087C-0752-4A6E-B18A-E8E0C3985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eorgia" w:eastAsiaTheme="minorHAnsi" w:hAnsi="Georg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Saiaditya Badeti</dc:creator>
  <cp:keywords/>
  <dc:description/>
  <cp:lastModifiedBy>Saiaditya Badeti</cp:lastModifiedBy>
  <cp:revision>1</cp:revision>
  <dcterms:created xsi:type="dcterms:W3CDTF">2021-04-01T22:13:00Z</dcterms:created>
  <dcterms:modified xsi:type="dcterms:W3CDTF">2021-04-01T22:14:00Z</dcterms:modified>
</cp:coreProperties>
</file>