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416" w:rsidRDefault="00945416" w:rsidP="0022464D">
      <w:pPr>
        <w:autoSpaceDE w:val="0"/>
        <w:autoSpaceDN w:val="0"/>
        <w:adjustRightInd w:val="0"/>
        <w:jc w:val="left"/>
        <w:rPr>
          <w:rFonts w:ascii="Times New Roman" w:hAnsi="Times New Roman"/>
          <w:b/>
          <w:sz w:val="24"/>
          <w:szCs w:val="24"/>
        </w:rPr>
      </w:pPr>
    </w:p>
    <w:p w:rsidR="001175BE" w:rsidRDefault="00993D9F" w:rsidP="0022464D">
      <w:pPr>
        <w:autoSpaceDE w:val="0"/>
        <w:autoSpaceDN w:val="0"/>
        <w:adjustRightInd w:val="0"/>
        <w:jc w:val="left"/>
        <w:rPr>
          <w:rFonts w:ascii="Times New Roman" w:hAnsi="Times New Roman"/>
          <w:b/>
          <w:sz w:val="24"/>
          <w:szCs w:val="24"/>
        </w:rPr>
      </w:pPr>
      <w:r w:rsidRPr="00993D9F">
        <w:rPr>
          <w:rFonts w:ascii="Times New Roman" w:hAnsi="Times New Roman"/>
          <w:b/>
          <w:sz w:val="24"/>
          <w:szCs w:val="24"/>
        </w:rPr>
        <w:t xml:space="preserve">Supplementary </w:t>
      </w:r>
      <w:r w:rsidR="00945416">
        <w:rPr>
          <w:rFonts w:ascii="Times New Roman" w:hAnsi="Times New Roman"/>
          <w:b/>
          <w:sz w:val="24"/>
          <w:szCs w:val="24"/>
        </w:rPr>
        <w:t xml:space="preserve">Table </w:t>
      </w:r>
      <w:r w:rsidR="002D2E48">
        <w:rPr>
          <w:rFonts w:ascii="Times New Roman" w:hAnsi="Times New Roman" w:hint="eastAsia"/>
          <w:b/>
          <w:sz w:val="24"/>
          <w:szCs w:val="24"/>
        </w:rPr>
        <w:t>S</w:t>
      </w:r>
      <w:r w:rsidR="00945416">
        <w:rPr>
          <w:rFonts w:ascii="Times New Roman" w:hAnsi="Times New Roman"/>
          <w:b/>
          <w:sz w:val="24"/>
          <w:szCs w:val="24"/>
        </w:rPr>
        <w:t xml:space="preserve">1.  </w:t>
      </w:r>
      <w:r w:rsidR="00945416" w:rsidRPr="00421162">
        <w:rPr>
          <w:rFonts w:ascii="Times New Roman" w:hAnsi="Times New Roman"/>
          <w:b/>
          <w:sz w:val="24"/>
          <w:szCs w:val="24"/>
        </w:rPr>
        <w:t>T</w:t>
      </w:r>
      <w:r w:rsidR="00945416">
        <w:rPr>
          <w:rFonts w:ascii="Times New Roman" w:hAnsi="Times New Roman"/>
          <w:b/>
          <w:sz w:val="24"/>
          <w:szCs w:val="24"/>
        </w:rPr>
        <w:t>ubal ciliated cell change among women in different age by microscopy</w:t>
      </w:r>
      <w:r w:rsidR="00723A70" w:rsidRPr="00723A70">
        <w:t xml:space="preserve"> </w:t>
      </w:r>
      <w:r w:rsidR="00723A70" w:rsidRPr="00723A70">
        <w:rPr>
          <w:rFonts w:ascii="Times New Roman" w:hAnsi="Times New Roman"/>
          <w:b/>
          <w:sz w:val="24"/>
          <w:szCs w:val="24"/>
        </w:rPr>
        <w:t>(H&amp;E)</w:t>
      </w:r>
    </w:p>
    <w:tbl>
      <w:tblPr>
        <w:tblStyle w:val="a7"/>
        <w:tblW w:w="0" w:type="auto"/>
        <w:tblInd w:w="-2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076"/>
        <w:gridCol w:w="1145"/>
        <w:gridCol w:w="1145"/>
        <w:gridCol w:w="1145"/>
        <w:gridCol w:w="1145"/>
        <w:gridCol w:w="1145"/>
        <w:gridCol w:w="1136"/>
      </w:tblGrid>
      <w:tr w:rsidR="000A2D44" w:rsidTr="0022464D">
        <w:trPr>
          <w:trHeight w:val="713"/>
        </w:trPr>
        <w:tc>
          <w:tcPr>
            <w:tcW w:w="1702" w:type="dxa"/>
          </w:tcPr>
          <w:p w:rsidR="000A2D44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7DEB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Age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12" w:space="0" w:color="auto"/>
            </w:tcBorders>
          </w:tcPr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432A15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20-29</w:t>
            </w:r>
          </w:p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C17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(n=14)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2" w:space="0" w:color="auto"/>
            </w:tcBorders>
          </w:tcPr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432A15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30-39</w:t>
            </w:r>
          </w:p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C17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(n=29)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2" w:space="0" w:color="auto"/>
            </w:tcBorders>
          </w:tcPr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432A15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40-49</w:t>
            </w:r>
          </w:p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C17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(n=48)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2" w:space="0" w:color="auto"/>
            </w:tcBorders>
          </w:tcPr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432A15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50-59</w:t>
            </w:r>
          </w:p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C17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(n=64)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2" w:space="0" w:color="auto"/>
            </w:tcBorders>
          </w:tcPr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432A15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60-69</w:t>
            </w:r>
          </w:p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C17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(n=42)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2" w:space="0" w:color="auto"/>
            </w:tcBorders>
          </w:tcPr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432A15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70-79</w:t>
            </w:r>
          </w:p>
          <w:p w:rsidR="000A2D44" w:rsidRPr="00432A15" w:rsidRDefault="000A2D44" w:rsidP="0022464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C17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(n=37)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12" w:space="0" w:color="auto"/>
            </w:tcBorders>
          </w:tcPr>
          <w:p w:rsidR="000A2D44" w:rsidRDefault="000A2D44" w:rsidP="0022464D">
            <w:pPr>
              <w:jc w:val="center"/>
            </w:pPr>
            <w:r w:rsidRPr="00432A15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&gt;80</w:t>
            </w:r>
          </w:p>
          <w:p w:rsidR="000A2D44" w:rsidRDefault="000A2D44" w:rsidP="0022464D">
            <w:pPr>
              <w:jc w:val="center"/>
            </w:pPr>
            <w:r w:rsidRPr="005C17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(n=6)</w:t>
            </w:r>
          </w:p>
        </w:tc>
      </w:tr>
      <w:tr w:rsidR="000A2D44" w:rsidTr="0022464D">
        <w:trPr>
          <w:trHeight w:val="854"/>
        </w:trPr>
        <w:tc>
          <w:tcPr>
            <w:tcW w:w="1702" w:type="dxa"/>
          </w:tcPr>
          <w:p w:rsidR="000A2D44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#CC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 xml:space="preserve">, </w:t>
            </w:r>
            <w:r w:rsidRPr="00797DE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Fimbria</w:t>
            </w:r>
          </w:p>
          <w:p w:rsidR="000A2D44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2E17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</w:t>
            </w:r>
            <w:r w:rsidR="0022464D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 xml:space="preserve">Mean </w:t>
            </w:r>
            <w:r w:rsidRPr="006F2E17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+/- SD)</w:t>
            </w:r>
          </w:p>
        </w:tc>
        <w:tc>
          <w:tcPr>
            <w:tcW w:w="1076" w:type="dxa"/>
            <w:tcBorders>
              <w:top w:val="single" w:sz="12" w:space="0" w:color="auto"/>
            </w:tcBorders>
          </w:tcPr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DA4CA6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258</w:t>
            </w:r>
          </w:p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544B2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80.4</w:t>
            </w:r>
          </w:p>
        </w:tc>
        <w:tc>
          <w:tcPr>
            <w:tcW w:w="1145" w:type="dxa"/>
            <w:tcBorders>
              <w:top w:val="single" w:sz="12" w:space="0" w:color="auto"/>
            </w:tcBorders>
          </w:tcPr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DA4CA6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212</w:t>
            </w:r>
          </w:p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544B2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55.9</w:t>
            </w:r>
          </w:p>
        </w:tc>
        <w:tc>
          <w:tcPr>
            <w:tcW w:w="1145" w:type="dxa"/>
            <w:tcBorders>
              <w:top w:val="single" w:sz="12" w:space="0" w:color="auto"/>
            </w:tcBorders>
          </w:tcPr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DA4CA6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165</w:t>
            </w:r>
          </w:p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544B2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32.6</w:t>
            </w:r>
          </w:p>
        </w:tc>
        <w:tc>
          <w:tcPr>
            <w:tcW w:w="1145" w:type="dxa"/>
            <w:tcBorders>
              <w:top w:val="single" w:sz="12" w:space="0" w:color="auto"/>
            </w:tcBorders>
          </w:tcPr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DA4CA6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128</w:t>
            </w:r>
          </w:p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544B2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42.0</w:t>
            </w:r>
          </w:p>
        </w:tc>
        <w:tc>
          <w:tcPr>
            <w:tcW w:w="1145" w:type="dxa"/>
            <w:tcBorders>
              <w:top w:val="single" w:sz="12" w:space="0" w:color="auto"/>
            </w:tcBorders>
          </w:tcPr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DA4CA6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56</w:t>
            </w:r>
          </w:p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544B2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21.5</w:t>
            </w:r>
          </w:p>
        </w:tc>
        <w:tc>
          <w:tcPr>
            <w:tcW w:w="1145" w:type="dxa"/>
            <w:tcBorders>
              <w:top w:val="single" w:sz="12" w:space="0" w:color="auto"/>
            </w:tcBorders>
          </w:tcPr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DA4CA6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32</w:t>
            </w:r>
          </w:p>
          <w:p w:rsidR="000A2D44" w:rsidRPr="00DA4CA6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544B2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17.6</w:t>
            </w:r>
          </w:p>
        </w:tc>
        <w:tc>
          <w:tcPr>
            <w:tcW w:w="1136" w:type="dxa"/>
            <w:tcBorders>
              <w:top w:val="single" w:sz="12" w:space="0" w:color="auto"/>
            </w:tcBorders>
          </w:tcPr>
          <w:p w:rsidR="000A2D44" w:rsidRDefault="000A2D44" w:rsidP="0022464D">
            <w:pPr>
              <w:jc w:val="center"/>
            </w:pPr>
            <w:r w:rsidRPr="00DA4CA6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15</w:t>
            </w:r>
          </w:p>
          <w:p w:rsidR="000A2D44" w:rsidRDefault="000A2D44" w:rsidP="0022464D">
            <w:pPr>
              <w:jc w:val="center"/>
            </w:pPr>
            <w:r w:rsidRPr="005544B2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9.5</w:t>
            </w:r>
          </w:p>
        </w:tc>
      </w:tr>
      <w:tr w:rsidR="000A2D44" w:rsidTr="0022464D">
        <w:trPr>
          <w:trHeight w:val="562"/>
        </w:trPr>
        <w:tc>
          <w:tcPr>
            <w:tcW w:w="1702" w:type="dxa"/>
          </w:tcPr>
          <w:p w:rsidR="000A2D44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#C</w:t>
            </w:r>
            <w:r w:rsidRPr="009C442C">
              <w:rPr>
                <w:rFonts w:ascii="Times New Roman" w:hAnsi="Times New Roman"/>
                <w:b/>
                <w:kern w:val="0"/>
                <w:sz w:val="24"/>
                <w:szCs w:val="24"/>
                <w:lang w:val="pt-BR"/>
              </w:rPr>
              <w:t>C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 xml:space="preserve">, </w:t>
            </w:r>
            <w:r w:rsidRPr="009C442C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Ampulla</w:t>
            </w:r>
          </w:p>
          <w:p w:rsidR="000A2D44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2E17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</w:t>
            </w:r>
            <w:r w:rsidR="0022464D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 xml:space="preserve">Mean +/- </w:t>
            </w:r>
            <w:r w:rsidRPr="006F2E17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SD)</w:t>
            </w:r>
          </w:p>
        </w:tc>
        <w:tc>
          <w:tcPr>
            <w:tcW w:w="1076" w:type="dxa"/>
          </w:tcPr>
          <w:p w:rsidR="000A2D44" w:rsidRPr="00FA426B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FA426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260</w:t>
            </w:r>
          </w:p>
          <w:p w:rsidR="000A2D44" w:rsidRPr="00FA426B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9855FE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78.2</w:t>
            </w:r>
          </w:p>
        </w:tc>
        <w:tc>
          <w:tcPr>
            <w:tcW w:w="1145" w:type="dxa"/>
          </w:tcPr>
          <w:p w:rsidR="000A2D44" w:rsidRPr="00FA426B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FA426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243</w:t>
            </w:r>
          </w:p>
          <w:p w:rsidR="000A2D44" w:rsidRPr="00FA426B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9855FE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99.4</w:t>
            </w:r>
          </w:p>
        </w:tc>
        <w:tc>
          <w:tcPr>
            <w:tcW w:w="1145" w:type="dxa"/>
          </w:tcPr>
          <w:p w:rsidR="000A2D44" w:rsidRPr="00FA426B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FA426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188</w:t>
            </w:r>
          </w:p>
          <w:p w:rsidR="000A2D44" w:rsidRPr="00FA426B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9855FE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49.3</w:t>
            </w:r>
          </w:p>
        </w:tc>
        <w:tc>
          <w:tcPr>
            <w:tcW w:w="1145" w:type="dxa"/>
          </w:tcPr>
          <w:p w:rsidR="000A2D44" w:rsidRPr="00FA426B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FA426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156</w:t>
            </w:r>
          </w:p>
          <w:p w:rsidR="000A2D44" w:rsidRPr="00FA426B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9855FE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30.0</w:t>
            </w:r>
          </w:p>
        </w:tc>
        <w:tc>
          <w:tcPr>
            <w:tcW w:w="1145" w:type="dxa"/>
          </w:tcPr>
          <w:p w:rsidR="000A2D44" w:rsidRPr="00FA426B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FA426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85</w:t>
            </w:r>
          </w:p>
          <w:p w:rsidR="000A2D44" w:rsidRPr="00FA426B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9855FE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25.3</w:t>
            </w:r>
          </w:p>
        </w:tc>
        <w:tc>
          <w:tcPr>
            <w:tcW w:w="1145" w:type="dxa"/>
          </w:tcPr>
          <w:p w:rsidR="000A2D44" w:rsidRPr="00FA426B" w:rsidRDefault="000A2D44" w:rsidP="0022464D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FA426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52</w:t>
            </w:r>
          </w:p>
          <w:p w:rsidR="000A2D44" w:rsidRPr="00FA426B" w:rsidRDefault="000A2D44" w:rsidP="002246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9855FE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13.5</w:t>
            </w:r>
          </w:p>
        </w:tc>
        <w:tc>
          <w:tcPr>
            <w:tcW w:w="1136" w:type="dxa"/>
          </w:tcPr>
          <w:p w:rsidR="000A2D44" w:rsidRDefault="000A2D44" w:rsidP="0022464D">
            <w:pPr>
              <w:jc w:val="center"/>
            </w:pPr>
            <w:r w:rsidRPr="00FA426B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48</w:t>
            </w:r>
          </w:p>
          <w:p w:rsidR="000A2D44" w:rsidRDefault="000A2D44" w:rsidP="0022464D">
            <w:pPr>
              <w:autoSpaceDE w:val="0"/>
              <w:autoSpaceDN w:val="0"/>
              <w:adjustRightInd w:val="0"/>
              <w:jc w:val="center"/>
            </w:pPr>
            <w:r w:rsidRPr="009855FE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22.3</w:t>
            </w:r>
          </w:p>
        </w:tc>
      </w:tr>
    </w:tbl>
    <w:p w:rsidR="00D1023D" w:rsidRDefault="00D1023D" w:rsidP="00D1023D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#C</w:t>
      </w:r>
      <w:r w:rsidRPr="00D15B97">
        <w:rPr>
          <w:rFonts w:ascii="Times New Roman" w:hAnsi="Times New Roman"/>
          <w:kern w:val="0"/>
          <w:sz w:val="24"/>
          <w:szCs w:val="24"/>
        </w:rPr>
        <w:t xml:space="preserve">C: </w:t>
      </w:r>
      <w:r>
        <w:rPr>
          <w:rFonts w:ascii="Times New Roman" w:hAnsi="Times New Roman"/>
          <w:kern w:val="0"/>
          <w:sz w:val="24"/>
          <w:szCs w:val="24"/>
        </w:rPr>
        <w:t xml:space="preserve">average number of ciliated cells within the tubal segment.  There is a clear trend that the number of ciliated cells decreases as a function of age in both fimbria and ampulla segments.    Standard deviations </w:t>
      </w:r>
      <w:r w:rsidR="006F4A3F">
        <w:rPr>
          <w:rFonts w:ascii="Times New Roman" w:hAnsi="Times New Roman"/>
          <w:kern w:val="0"/>
          <w:sz w:val="24"/>
          <w:szCs w:val="24"/>
        </w:rPr>
        <w:t xml:space="preserve">and </w:t>
      </w:r>
      <w:r w:rsidR="006F4A3F" w:rsidRPr="00993D9F">
        <w:rPr>
          <w:rFonts w:ascii="Times New Roman" w:hAnsi="Times New Roman"/>
          <w:i/>
          <w:kern w:val="0"/>
          <w:sz w:val="24"/>
          <w:szCs w:val="24"/>
        </w:rPr>
        <w:t>p</w:t>
      </w:r>
      <w:r w:rsidR="006F4A3F">
        <w:rPr>
          <w:rFonts w:ascii="Times New Roman" w:hAnsi="Times New Roman"/>
          <w:kern w:val="0"/>
          <w:sz w:val="24"/>
          <w:szCs w:val="24"/>
        </w:rPr>
        <w:t xml:space="preserve"> values </w:t>
      </w:r>
      <w:r>
        <w:rPr>
          <w:rFonts w:ascii="Times New Roman" w:hAnsi="Times New Roman"/>
          <w:kern w:val="0"/>
          <w:sz w:val="24"/>
          <w:szCs w:val="24"/>
        </w:rPr>
        <w:t xml:space="preserve">are shown in the corresponding bar graph in Figure 1.  </w:t>
      </w:r>
    </w:p>
    <w:p w:rsidR="008F2DFF" w:rsidRDefault="008F2DFF" w:rsidP="00D1023D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</w:p>
    <w:p w:rsidR="008F2DFF" w:rsidRDefault="008F2DFF" w:rsidP="00D1023D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</w:p>
    <w:p w:rsidR="008F2DFF" w:rsidRDefault="008F2DFF" w:rsidP="00D1023D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</w:p>
    <w:p w:rsidR="008F2DFF" w:rsidRDefault="008F2DFF" w:rsidP="008F2DFF"/>
    <w:p w:rsidR="008F2DFF" w:rsidRDefault="008F2DFF" w:rsidP="008F2DFF">
      <w:r w:rsidRPr="00993D9F">
        <w:rPr>
          <w:rFonts w:ascii="Times New Roman" w:hAnsi="Times New Roman"/>
          <w:b/>
          <w:sz w:val="24"/>
          <w:szCs w:val="24"/>
        </w:rPr>
        <w:t xml:space="preserve">Supplementary </w:t>
      </w:r>
      <w:r w:rsidRPr="00F53C2E">
        <w:rPr>
          <w:rFonts w:ascii="Times New Roman" w:eastAsia="Times New Roman" w:hAnsi="Times New Roman"/>
          <w:b/>
          <w:sz w:val="24"/>
          <w:szCs w:val="24"/>
        </w:rPr>
        <w:t>Table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S2</w:t>
      </w:r>
      <w:r>
        <w:rPr>
          <w:rFonts w:asciiTheme="minorEastAsia" w:eastAsiaTheme="minorEastAsia" w:hAnsiTheme="minorEastAsia"/>
          <w:b/>
          <w:sz w:val="24"/>
          <w:szCs w:val="24"/>
        </w:rPr>
        <w:t>.</w:t>
      </w:r>
      <w:r w:rsidRPr="00F53C2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F53C2E">
        <w:rPr>
          <w:rFonts w:ascii="Times New Roman" w:eastAsia="Times New Roman" w:hAnsi="Times New Roman"/>
          <w:b/>
          <w:sz w:val="24"/>
          <w:szCs w:val="24"/>
        </w:rPr>
        <w:t xml:space="preserve">The </w:t>
      </w:r>
      <w:r>
        <w:rPr>
          <w:rFonts w:ascii="Times New Roman" w:eastAsia="Times New Roman" w:hAnsi="Times New Roman"/>
          <w:b/>
          <w:sz w:val="24"/>
          <w:szCs w:val="24"/>
        </w:rPr>
        <w:t>number of ciliated cells in tubal</w:t>
      </w:r>
      <w:r w:rsidRPr="00F53C2E">
        <w:rPr>
          <w:rFonts w:ascii="Times New Roman" w:eastAsia="Times New Roman" w:hAnsi="Times New Roman"/>
          <w:b/>
          <w:sz w:val="24"/>
          <w:szCs w:val="24"/>
        </w:rPr>
        <w:t xml:space="preserve"> fimbria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and ampulla segments detected by </w:t>
      </w:r>
      <w:bookmarkStart w:id="0" w:name="OLE_LINK1"/>
      <w:r>
        <w:rPr>
          <w:rFonts w:ascii="Times New Roman" w:eastAsia="Times New Roman" w:hAnsi="Times New Roman"/>
          <w:b/>
          <w:sz w:val="24"/>
          <w:szCs w:val="24"/>
        </w:rPr>
        <w:t xml:space="preserve">tubulin </w:t>
      </w:r>
      <w:bookmarkEnd w:id="0"/>
      <w:r>
        <w:rPr>
          <w:rFonts w:ascii="Times New Roman" w:eastAsia="Times New Roman" w:hAnsi="Times New Roman"/>
          <w:b/>
          <w:sz w:val="24"/>
          <w:szCs w:val="24"/>
        </w:rPr>
        <w:t xml:space="preserve">stains </w:t>
      </w:r>
      <w:r w:rsidRPr="00723A70">
        <w:rPr>
          <w:rFonts w:ascii="Times New Roman" w:eastAsia="Times New Roman" w:hAnsi="Times New Roman"/>
          <w:b/>
          <w:sz w:val="24"/>
          <w:szCs w:val="24"/>
        </w:rPr>
        <w:t>(</w:t>
      </w:r>
      <w:r>
        <w:rPr>
          <w:rFonts w:ascii="Times New Roman" w:eastAsia="Times New Roman" w:hAnsi="Times New Roman"/>
          <w:b/>
          <w:sz w:val="24"/>
          <w:szCs w:val="24"/>
        </w:rPr>
        <w:t>IHC</w:t>
      </w:r>
      <w:r w:rsidRPr="00723A70">
        <w:rPr>
          <w:rFonts w:ascii="Times New Roman" w:eastAsia="Times New Roman" w:hAnsi="Times New Roman"/>
          <w:b/>
          <w:sz w:val="24"/>
          <w:szCs w:val="24"/>
        </w:rPr>
        <w:t>).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tbl>
      <w:tblPr>
        <w:tblW w:w="1122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13"/>
        <w:gridCol w:w="853"/>
        <w:gridCol w:w="1181"/>
        <w:gridCol w:w="236"/>
        <w:gridCol w:w="1018"/>
        <w:gridCol w:w="1289"/>
        <w:gridCol w:w="1455"/>
        <w:gridCol w:w="299"/>
        <w:gridCol w:w="1036"/>
        <w:gridCol w:w="1289"/>
        <w:gridCol w:w="1457"/>
      </w:tblGrid>
      <w:tr w:rsidR="008F2DFF" w:rsidRPr="0021574E" w:rsidTr="00BA5820">
        <w:trPr>
          <w:trHeight w:val="290"/>
          <w:jc w:val="center"/>
        </w:trPr>
        <w:tc>
          <w:tcPr>
            <w:tcW w:w="1113" w:type="dxa"/>
            <w:vMerge w:val="restart"/>
            <w:tcBorders>
              <w:top w:val="single" w:sz="12" w:space="0" w:color="auto"/>
            </w:tcBorders>
          </w:tcPr>
          <w:p w:rsidR="008F2DFF" w:rsidRPr="0021574E" w:rsidRDefault="008F2DFF" w:rsidP="00BA5820">
            <w:pPr>
              <w:jc w:val="center"/>
            </w:pPr>
          </w:p>
        </w:tc>
        <w:tc>
          <w:tcPr>
            <w:tcW w:w="853" w:type="dxa"/>
            <w:vMerge w:val="restart"/>
            <w:tcBorders>
              <w:top w:val="single" w:sz="12" w:space="0" w:color="auto"/>
            </w:tcBorders>
          </w:tcPr>
          <w:p w:rsidR="008F2DFF" w:rsidRDefault="008F2DFF" w:rsidP="00BA5820">
            <w:pPr>
              <w:jc w:val="center"/>
              <w:rPr>
                <w:b/>
              </w:rPr>
            </w:pPr>
          </w:p>
          <w:p w:rsidR="008F2DFF" w:rsidRPr="007E157F" w:rsidRDefault="008F2DFF" w:rsidP="00BA5820">
            <w:pPr>
              <w:jc w:val="center"/>
              <w:rPr>
                <w:b/>
              </w:rPr>
            </w:pPr>
            <w:r w:rsidRPr="00BF2A2C">
              <w:rPr>
                <w:b/>
              </w:rPr>
              <w:t># case</w:t>
            </w:r>
          </w:p>
        </w:tc>
        <w:tc>
          <w:tcPr>
            <w:tcW w:w="1181" w:type="dxa"/>
            <w:vMerge w:val="restart"/>
            <w:tcBorders>
              <w:top w:val="single" w:sz="12" w:space="0" w:color="auto"/>
            </w:tcBorders>
          </w:tcPr>
          <w:p w:rsidR="008F2DFF" w:rsidRDefault="008F2DFF" w:rsidP="00BA5820">
            <w:pPr>
              <w:jc w:val="center"/>
              <w:rPr>
                <w:b/>
              </w:rPr>
            </w:pPr>
          </w:p>
          <w:p w:rsidR="008F2DFF" w:rsidRPr="00BF2A2C" w:rsidRDefault="008F2DFF" w:rsidP="00BA5820">
            <w:pPr>
              <w:jc w:val="center"/>
              <w:rPr>
                <w:b/>
              </w:rPr>
            </w:pPr>
            <w:r w:rsidRPr="00BF2A2C">
              <w:rPr>
                <w:b/>
              </w:rPr>
              <w:t>Mean age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</w:p>
        </w:tc>
        <w:tc>
          <w:tcPr>
            <w:tcW w:w="3762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  <w:r w:rsidRPr="00BF2A2C">
              <w:rPr>
                <w:b/>
              </w:rPr>
              <w:t>#Ciliated Cells (fimbria)</w:t>
            </w:r>
          </w:p>
        </w:tc>
        <w:tc>
          <w:tcPr>
            <w:tcW w:w="299" w:type="dxa"/>
            <w:tcBorders>
              <w:top w:val="single" w:sz="12" w:space="0" w:color="auto"/>
              <w:bottom w:val="nil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</w:p>
        </w:tc>
        <w:tc>
          <w:tcPr>
            <w:tcW w:w="3782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  <w:r w:rsidRPr="00BF2A2C">
              <w:rPr>
                <w:b/>
              </w:rPr>
              <w:t>#Ciliated Cells (ampulla)</w:t>
            </w:r>
          </w:p>
        </w:tc>
      </w:tr>
      <w:tr w:rsidR="008F2DFF" w:rsidRPr="0021574E" w:rsidTr="00BA5820">
        <w:trPr>
          <w:trHeight w:val="290"/>
          <w:jc w:val="center"/>
        </w:trPr>
        <w:tc>
          <w:tcPr>
            <w:tcW w:w="1113" w:type="dxa"/>
            <w:vMerge/>
          </w:tcPr>
          <w:p w:rsidR="008F2DFF" w:rsidRPr="0021574E" w:rsidRDefault="008F2DFF" w:rsidP="00BA5820">
            <w:pPr>
              <w:jc w:val="center"/>
            </w:pPr>
          </w:p>
        </w:tc>
        <w:tc>
          <w:tcPr>
            <w:tcW w:w="853" w:type="dxa"/>
            <w:vMerge/>
            <w:tcBorders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</w:p>
        </w:tc>
        <w:tc>
          <w:tcPr>
            <w:tcW w:w="1181" w:type="dxa"/>
            <w:vMerge/>
            <w:tcBorders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</w:p>
        </w:tc>
        <w:tc>
          <w:tcPr>
            <w:tcW w:w="1018" w:type="dxa"/>
            <w:tcBorders>
              <w:top w:val="single" w:sz="12" w:space="0" w:color="auto"/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  <w:r w:rsidRPr="00BF2A2C">
              <w:rPr>
                <w:b/>
              </w:rPr>
              <w:t>Number</w:t>
            </w:r>
          </w:p>
        </w:tc>
        <w:tc>
          <w:tcPr>
            <w:tcW w:w="1289" w:type="dxa"/>
            <w:tcBorders>
              <w:top w:val="single" w:sz="12" w:space="0" w:color="auto"/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  <w:r w:rsidRPr="00BF2A2C">
              <w:rPr>
                <w:b/>
              </w:rPr>
              <w:t>Percentage</w:t>
            </w:r>
          </w:p>
        </w:tc>
        <w:tc>
          <w:tcPr>
            <w:tcW w:w="1455" w:type="dxa"/>
            <w:tcBorders>
              <w:top w:val="single" w:sz="12" w:space="0" w:color="auto"/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  <w:r w:rsidRPr="00C551A2">
              <w:rPr>
                <w:rFonts w:hint="eastAsia"/>
                <w:b/>
                <w:i/>
              </w:rPr>
              <w:t>P</w:t>
            </w:r>
            <w:r>
              <w:rPr>
                <w:b/>
              </w:rPr>
              <w:t xml:space="preserve"> value</w:t>
            </w:r>
          </w:p>
        </w:tc>
        <w:tc>
          <w:tcPr>
            <w:tcW w:w="299" w:type="dxa"/>
            <w:tcBorders>
              <w:top w:val="nil"/>
              <w:bottom w:val="nil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</w:p>
        </w:tc>
        <w:tc>
          <w:tcPr>
            <w:tcW w:w="1036" w:type="dxa"/>
            <w:tcBorders>
              <w:top w:val="single" w:sz="12" w:space="0" w:color="auto"/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  <w:r w:rsidRPr="00BF2A2C">
              <w:rPr>
                <w:b/>
              </w:rPr>
              <w:t>Number</w:t>
            </w:r>
          </w:p>
        </w:tc>
        <w:tc>
          <w:tcPr>
            <w:tcW w:w="1289" w:type="dxa"/>
            <w:tcBorders>
              <w:top w:val="single" w:sz="12" w:space="0" w:color="auto"/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  <w:r w:rsidRPr="00BF2A2C">
              <w:rPr>
                <w:b/>
              </w:rPr>
              <w:t>Percentage</w:t>
            </w:r>
          </w:p>
        </w:tc>
        <w:tc>
          <w:tcPr>
            <w:tcW w:w="1456" w:type="dxa"/>
            <w:tcBorders>
              <w:top w:val="single" w:sz="12" w:space="0" w:color="auto"/>
              <w:bottom w:val="single" w:sz="12" w:space="0" w:color="auto"/>
            </w:tcBorders>
          </w:tcPr>
          <w:p w:rsidR="008F2DFF" w:rsidRPr="00BF2A2C" w:rsidRDefault="008F2DFF" w:rsidP="00BA5820">
            <w:pPr>
              <w:jc w:val="center"/>
              <w:rPr>
                <w:b/>
              </w:rPr>
            </w:pPr>
            <w:r w:rsidRPr="00C551A2">
              <w:rPr>
                <w:rFonts w:hint="eastAsia"/>
                <w:b/>
                <w:i/>
              </w:rPr>
              <w:t>P</w:t>
            </w:r>
            <w:r>
              <w:rPr>
                <w:b/>
              </w:rPr>
              <w:t xml:space="preserve"> value</w:t>
            </w:r>
          </w:p>
        </w:tc>
      </w:tr>
      <w:tr w:rsidR="008F2DFF" w:rsidRPr="0021574E" w:rsidTr="00BA5820">
        <w:trPr>
          <w:trHeight w:val="585"/>
          <w:jc w:val="center"/>
        </w:trPr>
        <w:tc>
          <w:tcPr>
            <w:tcW w:w="1113" w:type="dxa"/>
          </w:tcPr>
          <w:p w:rsidR="008F2DFF" w:rsidRPr="00006A8A" w:rsidRDefault="008F2DFF" w:rsidP="00BA5820">
            <w:pPr>
              <w:jc w:val="center"/>
              <w:rPr>
                <w:b/>
              </w:rPr>
            </w:pPr>
            <w:r>
              <w:rPr>
                <w:b/>
              </w:rPr>
              <w:t>Low-</w:t>
            </w:r>
            <w:r w:rsidRPr="00006A8A">
              <w:rPr>
                <w:b/>
              </w:rPr>
              <w:t>risk</w:t>
            </w:r>
          </w:p>
          <w:p w:rsidR="008F2DFF" w:rsidRPr="0021574E" w:rsidRDefault="008F2DFF" w:rsidP="00BA5820">
            <w:pPr>
              <w:jc w:val="center"/>
            </w:pPr>
            <w:r w:rsidRPr="00D03E54">
              <w:rPr>
                <w:rFonts w:ascii="Times New Roman" w:hAnsi="Times New Roman"/>
                <w:kern w:val="0"/>
                <w:sz w:val="22"/>
                <w:szCs w:val="24"/>
                <w:lang w:val="pt-BR"/>
              </w:rPr>
              <w:t>(+/-SD)</w:t>
            </w:r>
          </w:p>
        </w:tc>
        <w:tc>
          <w:tcPr>
            <w:tcW w:w="853" w:type="dxa"/>
            <w:tcBorders>
              <w:top w:val="single" w:sz="12" w:space="0" w:color="auto"/>
            </w:tcBorders>
          </w:tcPr>
          <w:p w:rsidR="008F2DFF" w:rsidRPr="0021574E" w:rsidRDefault="008F2DFF" w:rsidP="00BA5820">
            <w:pPr>
              <w:jc w:val="center"/>
            </w:pPr>
            <w:r>
              <w:t>60</w:t>
            </w:r>
          </w:p>
        </w:tc>
        <w:tc>
          <w:tcPr>
            <w:tcW w:w="1181" w:type="dxa"/>
            <w:tcBorders>
              <w:top w:val="single" w:sz="12" w:space="0" w:color="auto"/>
            </w:tcBorders>
          </w:tcPr>
          <w:p w:rsidR="008F2DFF" w:rsidRDefault="008F2DFF" w:rsidP="00BA5820">
            <w:pPr>
              <w:jc w:val="center"/>
            </w:pPr>
            <w:r>
              <w:t>48</w:t>
            </w:r>
          </w:p>
          <w:p w:rsidR="008F2DFF" w:rsidRPr="0021574E" w:rsidRDefault="008F2DFF" w:rsidP="00BA5820">
            <w:pPr>
              <w:jc w:val="center"/>
            </w:pPr>
            <w:r>
              <w:t>(3.6)</w:t>
            </w:r>
          </w:p>
        </w:tc>
        <w:tc>
          <w:tcPr>
            <w:tcW w:w="236" w:type="dxa"/>
            <w:tcBorders>
              <w:top w:val="nil"/>
            </w:tcBorders>
          </w:tcPr>
          <w:p w:rsidR="008F2DFF" w:rsidRDefault="008F2DFF" w:rsidP="00BA5820">
            <w:pPr>
              <w:jc w:val="center"/>
            </w:pPr>
          </w:p>
        </w:tc>
        <w:tc>
          <w:tcPr>
            <w:tcW w:w="1018" w:type="dxa"/>
            <w:tcBorders>
              <w:top w:val="single" w:sz="12" w:space="0" w:color="auto"/>
            </w:tcBorders>
          </w:tcPr>
          <w:p w:rsidR="008F2DFF" w:rsidRDefault="008F2DFF" w:rsidP="00BA5820">
            <w:pPr>
              <w:jc w:val="center"/>
            </w:pPr>
            <w:r>
              <w:t>236</w:t>
            </w:r>
          </w:p>
          <w:p w:rsidR="008F2DFF" w:rsidRPr="0021574E" w:rsidRDefault="008F2DFF" w:rsidP="00BA5820">
            <w:pPr>
              <w:jc w:val="center"/>
            </w:pPr>
            <w:r>
              <w:t>(101.4)</w:t>
            </w:r>
          </w:p>
        </w:tc>
        <w:tc>
          <w:tcPr>
            <w:tcW w:w="1289" w:type="dxa"/>
            <w:tcBorders>
              <w:top w:val="nil"/>
            </w:tcBorders>
          </w:tcPr>
          <w:p w:rsidR="008F2DFF" w:rsidRPr="0021574E" w:rsidRDefault="008F2DFF" w:rsidP="00BA5820">
            <w:pPr>
              <w:jc w:val="center"/>
            </w:pPr>
            <w:r>
              <w:t>59%</w:t>
            </w:r>
          </w:p>
        </w:tc>
        <w:tc>
          <w:tcPr>
            <w:tcW w:w="1455" w:type="dxa"/>
            <w:tcBorders>
              <w:top w:val="nil"/>
            </w:tcBorders>
          </w:tcPr>
          <w:p w:rsidR="008F2DFF" w:rsidRDefault="008F2DFF" w:rsidP="00BA5820">
            <w:pPr>
              <w:jc w:val="center"/>
            </w:pPr>
          </w:p>
        </w:tc>
        <w:tc>
          <w:tcPr>
            <w:tcW w:w="299" w:type="dxa"/>
            <w:tcBorders>
              <w:top w:val="nil"/>
            </w:tcBorders>
          </w:tcPr>
          <w:p w:rsidR="008F2DFF" w:rsidRDefault="008F2DFF" w:rsidP="00BA5820">
            <w:pPr>
              <w:jc w:val="center"/>
            </w:pPr>
          </w:p>
        </w:tc>
        <w:tc>
          <w:tcPr>
            <w:tcW w:w="1036" w:type="dxa"/>
            <w:tcBorders>
              <w:top w:val="single" w:sz="12" w:space="0" w:color="auto"/>
            </w:tcBorders>
          </w:tcPr>
          <w:p w:rsidR="008F2DFF" w:rsidRDefault="008F2DFF" w:rsidP="00BA5820">
            <w:pPr>
              <w:jc w:val="center"/>
            </w:pPr>
            <w:r>
              <w:t>248</w:t>
            </w:r>
          </w:p>
          <w:p w:rsidR="008F2DFF" w:rsidRPr="0021574E" w:rsidRDefault="008F2DFF" w:rsidP="00BA5820">
            <w:pPr>
              <w:jc w:val="center"/>
            </w:pPr>
            <w:r>
              <w:t>(89.9)</w:t>
            </w:r>
          </w:p>
        </w:tc>
        <w:tc>
          <w:tcPr>
            <w:tcW w:w="1289" w:type="dxa"/>
            <w:tcBorders>
              <w:top w:val="single" w:sz="12" w:space="0" w:color="auto"/>
            </w:tcBorders>
          </w:tcPr>
          <w:p w:rsidR="008F2DFF" w:rsidRPr="0021574E" w:rsidRDefault="008F2DFF" w:rsidP="00BA5820">
            <w:pPr>
              <w:jc w:val="center"/>
            </w:pPr>
            <w:r>
              <w:t>61.5%</w:t>
            </w:r>
          </w:p>
        </w:tc>
        <w:tc>
          <w:tcPr>
            <w:tcW w:w="1456" w:type="dxa"/>
            <w:tcBorders>
              <w:top w:val="single" w:sz="12" w:space="0" w:color="auto"/>
            </w:tcBorders>
          </w:tcPr>
          <w:p w:rsidR="008F2DFF" w:rsidRDefault="008F2DFF" w:rsidP="00BA5820">
            <w:pPr>
              <w:jc w:val="center"/>
            </w:pPr>
          </w:p>
        </w:tc>
      </w:tr>
      <w:tr w:rsidR="008F2DFF" w:rsidRPr="0021574E" w:rsidTr="00BA5820">
        <w:trPr>
          <w:trHeight w:val="585"/>
          <w:jc w:val="center"/>
        </w:trPr>
        <w:tc>
          <w:tcPr>
            <w:tcW w:w="1113" w:type="dxa"/>
          </w:tcPr>
          <w:p w:rsidR="008F2DFF" w:rsidRPr="00006A8A" w:rsidRDefault="008F2DFF" w:rsidP="00BA5820">
            <w:pPr>
              <w:jc w:val="center"/>
              <w:rPr>
                <w:b/>
              </w:rPr>
            </w:pPr>
            <w:r>
              <w:rPr>
                <w:b/>
              </w:rPr>
              <w:t>High-</w:t>
            </w:r>
            <w:r w:rsidRPr="00006A8A">
              <w:rPr>
                <w:b/>
              </w:rPr>
              <w:t>risk</w:t>
            </w:r>
          </w:p>
          <w:p w:rsidR="008F2DFF" w:rsidRPr="0021574E" w:rsidRDefault="008F2DFF" w:rsidP="00BA5820">
            <w:pPr>
              <w:jc w:val="center"/>
            </w:pPr>
            <w:r w:rsidRPr="00D03E54">
              <w:rPr>
                <w:rFonts w:ascii="Times New Roman" w:hAnsi="Times New Roman"/>
                <w:kern w:val="0"/>
                <w:sz w:val="22"/>
                <w:szCs w:val="24"/>
                <w:lang w:val="pt-BR"/>
              </w:rPr>
              <w:t>(+/-SD)</w:t>
            </w:r>
          </w:p>
        </w:tc>
        <w:tc>
          <w:tcPr>
            <w:tcW w:w="853" w:type="dxa"/>
          </w:tcPr>
          <w:p w:rsidR="008F2DFF" w:rsidRPr="0021574E" w:rsidRDefault="008F2DFF" w:rsidP="00BA5820">
            <w:pPr>
              <w:jc w:val="center"/>
            </w:pPr>
            <w:r>
              <w:t>30</w:t>
            </w:r>
          </w:p>
        </w:tc>
        <w:tc>
          <w:tcPr>
            <w:tcW w:w="1181" w:type="dxa"/>
          </w:tcPr>
          <w:p w:rsidR="008F2DFF" w:rsidRDefault="008F2DFF" w:rsidP="00BA5820">
            <w:pPr>
              <w:jc w:val="center"/>
            </w:pPr>
            <w:r w:rsidRPr="0021574E">
              <w:t>4</w:t>
            </w:r>
            <w:r>
              <w:t>5</w:t>
            </w:r>
          </w:p>
          <w:p w:rsidR="008F2DFF" w:rsidRPr="0021574E" w:rsidRDefault="008F2DFF" w:rsidP="00BA5820">
            <w:pPr>
              <w:jc w:val="center"/>
            </w:pPr>
            <w:r>
              <w:t>(2.8)</w:t>
            </w:r>
          </w:p>
        </w:tc>
        <w:tc>
          <w:tcPr>
            <w:tcW w:w="236" w:type="dxa"/>
          </w:tcPr>
          <w:p w:rsidR="008F2DFF" w:rsidRDefault="008F2DFF" w:rsidP="00BA5820">
            <w:pPr>
              <w:jc w:val="center"/>
            </w:pPr>
          </w:p>
        </w:tc>
        <w:tc>
          <w:tcPr>
            <w:tcW w:w="1018" w:type="dxa"/>
          </w:tcPr>
          <w:p w:rsidR="008F2DFF" w:rsidRDefault="008F2DFF" w:rsidP="00BA5820">
            <w:pPr>
              <w:jc w:val="center"/>
            </w:pPr>
            <w:r>
              <w:t>118</w:t>
            </w:r>
          </w:p>
          <w:p w:rsidR="008F2DFF" w:rsidRPr="0021574E" w:rsidRDefault="008F2DFF" w:rsidP="00BA5820">
            <w:pPr>
              <w:jc w:val="center"/>
            </w:pPr>
            <w:r>
              <w:t>(24.9)</w:t>
            </w:r>
          </w:p>
        </w:tc>
        <w:tc>
          <w:tcPr>
            <w:tcW w:w="1289" w:type="dxa"/>
          </w:tcPr>
          <w:p w:rsidR="008F2DFF" w:rsidRPr="0021574E" w:rsidRDefault="008F2DFF" w:rsidP="00BA5820">
            <w:pPr>
              <w:jc w:val="center"/>
            </w:pPr>
            <w:r>
              <w:t>29.5%</w:t>
            </w:r>
          </w:p>
        </w:tc>
        <w:tc>
          <w:tcPr>
            <w:tcW w:w="1455" w:type="dxa"/>
          </w:tcPr>
          <w:p w:rsidR="008F2DFF" w:rsidRDefault="008F2DFF" w:rsidP="00BA5820">
            <w:pPr>
              <w:jc w:val="center"/>
            </w:pPr>
            <w:r w:rsidRPr="00C551A2">
              <w:rPr>
                <w:i/>
              </w:rPr>
              <w:t>P</w:t>
            </w:r>
            <w:r>
              <w:t>&lt;0.001</w:t>
            </w:r>
          </w:p>
          <w:p w:rsidR="008F2DFF" w:rsidRPr="00C551A2" w:rsidRDefault="008F2DFF" w:rsidP="00BA5820">
            <w:pPr>
              <w:jc w:val="center"/>
              <w:rPr>
                <w:b/>
              </w:rPr>
            </w:pPr>
            <w:r>
              <w:t>(vs.</w:t>
            </w:r>
            <w:r w:rsidRPr="00006A8A">
              <w:rPr>
                <w:b/>
              </w:rPr>
              <w:t xml:space="preserve"> </w:t>
            </w:r>
            <w:r>
              <w:rPr>
                <w:b/>
              </w:rPr>
              <w:t>Low-</w:t>
            </w:r>
            <w:r w:rsidRPr="00006A8A">
              <w:rPr>
                <w:b/>
              </w:rPr>
              <w:t>risk</w:t>
            </w:r>
            <w:r>
              <w:t>)</w:t>
            </w:r>
          </w:p>
        </w:tc>
        <w:tc>
          <w:tcPr>
            <w:tcW w:w="299" w:type="dxa"/>
          </w:tcPr>
          <w:p w:rsidR="008F2DFF" w:rsidRDefault="008F2DFF" w:rsidP="00BA5820">
            <w:pPr>
              <w:jc w:val="center"/>
            </w:pPr>
          </w:p>
        </w:tc>
        <w:tc>
          <w:tcPr>
            <w:tcW w:w="1036" w:type="dxa"/>
          </w:tcPr>
          <w:p w:rsidR="008F2DFF" w:rsidRDefault="008F2DFF" w:rsidP="00BA5820">
            <w:pPr>
              <w:jc w:val="center"/>
            </w:pPr>
            <w:r>
              <w:t>126</w:t>
            </w:r>
          </w:p>
          <w:p w:rsidR="008F2DFF" w:rsidRPr="0021574E" w:rsidRDefault="008F2DFF" w:rsidP="00BA5820">
            <w:pPr>
              <w:jc w:val="center"/>
            </w:pPr>
            <w:r>
              <w:t>(33.8)</w:t>
            </w:r>
          </w:p>
        </w:tc>
        <w:tc>
          <w:tcPr>
            <w:tcW w:w="1289" w:type="dxa"/>
          </w:tcPr>
          <w:p w:rsidR="008F2DFF" w:rsidRPr="0021574E" w:rsidRDefault="008F2DFF" w:rsidP="00BA5820">
            <w:pPr>
              <w:jc w:val="center"/>
            </w:pPr>
            <w:r>
              <w:t>31.5%</w:t>
            </w:r>
          </w:p>
        </w:tc>
        <w:tc>
          <w:tcPr>
            <w:tcW w:w="1456" w:type="dxa"/>
          </w:tcPr>
          <w:p w:rsidR="008F2DFF" w:rsidRDefault="008F2DFF" w:rsidP="00BA5820">
            <w:pPr>
              <w:jc w:val="center"/>
            </w:pPr>
            <w:r w:rsidRPr="00C551A2">
              <w:rPr>
                <w:i/>
              </w:rPr>
              <w:t>P</w:t>
            </w:r>
            <w:r>
              <w:t>&lt;0.001</w:t>
            </w:r>
          </w:p>
          <w:p w:rsidR="008F2DFF" w:rsidRPr="00C551A2" w:rsidRDefault="008F2DFF" w:rsidP="00BA5820">
            <w:pPr>
              <w:jc w:val="center"/>
              <w:rPr>
                <w:b/>
              </w:rPr>
            </w:pPr>
            <w:r>
              <w:t>(vs.</w:t>
            </w:r>
            <w:r w:rsidRPr="00006A8A">
              <w:rPr>
                <w:b/>
              </w:rPr>
              <w:t xml:space="preserve"> </w:t>
            </w:r>
            <w:r>
              <w:rPr>
                <w:b/>
              </w:rPr>
              <w:t>Low-</w:t>
            </w:r>
            <w:r w:rsidRPr="00006A8A">
              <w:rPr>
                <w:b/>
              </w:rPr>
              <w:t>risk</w:t>
            </w:r>
            <w:r>
              <w:t>)</w:t>
            </w:r>
          </w:p>
        </w:tc>
      </w:tr>
      <w:tr w:rsidR="008F2DFF" w:rsidRPr="0021574E" w:rsidTr="00BA5820">
        <w:trPr>
          <w:trHeight w:val="614"/>
          <w:jc w:val="center"/>
        </w:trPr>
        <w:tc>
          <w:tcPr>
            <w:tcW w:w="1113" w:type="dxa"/>
            <w:tcBorders>
              <w:bottom w:val="single" w:sz="12" w:space="0" w:color="auto"/>
            </w:tcBorders>
          </w:tcPr>
          <w:p w:rsidR="008F2DFF" w:rsidRPr="00006A8A" w:rsidRDefault="008F2DFF" w:rsidP="00BA5820">
            <w:pPr>
              <w:jc w:val="center"/>
              <w:rPr>
                <w:b/>
              </w:rPr>
            </w:pPr>
            <w:r w:rsidRPr="00006A8A">
              <w:rPr>
                <w:b/>
              </w:rPr>
              <w:t>O/PSC</w:t>
            </w:r>
          </w:p>
          <w:p w:rsidR="008F2DFF" w:rsidRPr="0021574E" w:rsidRDefault="008F2DFF" w:rsidP="00BA5820">
            <w:pPr>
              <w:jc w:val="center"/>
            </w:pPr>
            <w:r w:rsidRPr="00D03E54">
              <w:rPr>
                <w:rFonts w:ascii="Times New Roman" w:hAnsi="Times New Roman"/>
                <w:kern w:val="0"/>
                <w:sz w:val="22"/>
                <w:szCs w:val="24"/>
                <w:lang w:val="pt-BR"/>
              </w:rPr>
              <w:t>(+/-SD)</w:t>
            </w:r>
          </w:p>
        </w:tc>
        <w:tc>
          <w:tcPr>
            <w:tcW w:w="853" w:type="dxa"/>
            <w:tcBorders>
              <w:bottom w:val="single" w:sz="12" w:space="0" w:color="auto"/>
            </w:tcBorders>
          </w:tcPr>
          <w:p w:rsidR="008F2DFF" w:rsidRPr="0021574E" w:rsidRDefault="008F2DFF" w:rsidP="00BA5820">
            <w:pPr>
              <w:jc w:val="center"/>
            </w:pPr>
            <w:r>
              <w:t>30</w:t>
            </w:r>
          </w:p>
        </w:tc>
        <w:tc>
          <w:tcPr>
            <w:tcW w:w="1181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  <w:r w:rsidRPr="0021574E">
              <w:t>6</w:t>
            </w:r>
            <w:r>
              <w:t>1</w:t>
            </w:r>
          </w:p>
          <w:p w:rsidR="008F2DFF" w:rsidRPr="0021574E" w:rsidRDefault="008F2DFF" w:rsidP="00BA5820">
            <w:pPr>
              <w:jc w:val="center"/>
            </w:pPr>
            <w:r>
              <w:t>(4.1)</w:t>
            </w: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</w:p>
        </w:tc>
        <w:tc>
          <w:tcPr>
            <w:tcW w:w="1018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  <w:r>
              <w:t>156</w:t>
            </w:r>
          </w:p>
          <w:p w:rsidR="008F2DFF" w:rsidRPr="0021574E" w:rsidRDefault="008F2DFF" w:rsidP="00BA5820">
            <w:pPr>
              <w:jc w:val="center"/>
            </w:pPr>
            <w:r>
              <w:t>(</w:t>
            </w:r>
            <w:bookmarkStart w:id="1" w:name="OLE_LINK7"/>
            <w:r>
              <w:t>4</w:t>
            </w:r>
            <w:bookmarkEnd w:id="1"/>
            <w:r>
              <w:t>6.5)</w:t>
            </w:r>
          </w:p>
        </w:tc>
        <w:tc>
          <w:tcPr>
            <w:tcW w:w="1289" w:type="dxa"/>
            <w:tcBorders>
              <w:bottom w:val="single" w:sz="12" w:space="0" w:color="auto"/>
            </w:tcBorders>
          </w:tcPr>
          <w:p w:rsidR="008F2DFF" w:rsidRPr="0021574E" w:rsidRDefault="008F2DFF" w:rsidP="00BA5820">
            <w:pPr>
              <w:jc w:val="center"/>
            </w:pPr>
            <w:r>
              <w:t>39%</w:t>
            </w:r>
          </w:p>
        </w:tc>
        <w:tc>
          <w:tcPr>
            <w:tcW w:w="1455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  <w:r w:rsidRPr="00C551A2">
              <w:rPr>
                <w:i/>
              </w:rPr>
              <w:t>P</w:t>
            </w:r>
            <w:r>
              <w:t>&lt;0.001</w:t>
            </w:r>
          </w:p>
          <w:p w:rsidR="008F2DFF" w:rsidRDefault="008F2DFF" w:rsidP="00BA5820">
            <w:pPr>
              <w:jc w:val="center"/>
            </w:pPr>
            <w:r>
              <w:t>(vs.</w:t>
            </w:r>
            <w:r w:rsidRPr="00006A8A">
              <w:rPr>
                <w:b/>
              </w:rPr>
              <w:t xml:space="preserve"> </w:t>
            </w:r>
            <w:r>
              <w:rPr>
                <w:b/>
              </w:rPr>
              <w:t>Low-</w:t>
            </w:r>
            <w:r w:rsidRPr="00006A8A">
              <w:rPr>
                <w:b/>
              </w:rPr>
              <w:t>risk</w:t>
            </w:r>
            <w:r>
              <w:t>)</w:t>
            </w: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</w:p>
        </w:tc>
        <w:tc>
          <w:tcPr>
            <w:tcW w:w="1036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  <w:r>
              <w:t>139</w:t>
            </w:r>
          </w:p>
          <w:p w:rsidR="008F2DFF" w:rsidRPr="0021574E" w:rsidRDefault="008F2DFF" w:rsidP="00BA5820">
            <w:pPr>
              <w:jc w:val="center"/>
            </w:pPr>
            <w:r>
              <w:t>(50.9)</w:t>
            </w:r>
          </w:p>
        </w:tc>
        <w:tc>
          <w:tcPr>
            <w:tcW w:w="1289" w:type="dxa"/>
            <w:tcBorders>
              <w:bottom w:val="single" w:sz="12" w:space="0" w:color="auto"/>
            </w:tcBorders>
          </w:tcPr>
          <w:p w:rsidR="008F2DFF" w:rsidRPr="0021574E" w:rsidRDefault="008F2DFF" w:rsidP="00BA5820">
            <w:pPr>
              <w:jc w:val="center"/>
            </w:pPr>
            <w:r>
              <w:t>34.8%</w:t>
            </w:r>
          </w:p>
        </w:tc>
        <w:tc>
          <w:tcPr>
            <w:tcW w:w="1456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</w:pPr>
            <w:r w:rsidRPr="00C551A2">
              <w:rPr>
                <w:i/>
              </w:rPr>
              <w:t>P</w:t>
            </w:r>
            <w:r>
              <w:t>&lt;0.001</w:t>
            </w:r>
          </w:p>
          <w:p w:rsidR="008F2DFF" w:rsidRDefault="008F2DFF" w:rsidP="00BA5820">
            <w:pPr>
              <w:jc w:val="center"/>
            </w:pPr>
            <w:r>
              <w:t>(vs.</w:t>
            </w:r>
            <w:r w:rsidRPr="00006A8A">
              <w:rPr>
                <w:b/>
              </w:rPr>
              <w:t xml:space="preserve"> </w:t>
            </w:r>
            <w:r>
              <w:rPr>
                <w:b/>
              </w:rPr>
              <w:t>Low-</w:t>
            </w:r>
            <w:r w:rsidRPr="00006A8A">
              <w:rPr>
                <w:b/>
              </w:rPr>
              <w:t>risk</w:t>
            </w:r>
            <w:r>
              <w:t>)</w:t>
            </w:r>
          </w:p>
        </w:tc>
      </w:tr>
    </w:tbl>
    <w:p w:rsidR="008F2DFF" w:rsidRDefault="008F2DFF" w:rsidP="008F2DFF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Standard deviations and </w:t>
      </w:r>
      <w:r w:rsidRPr="000F0F18">
        <w:rPr>
          <w:rFonts w:ascii="Times New Roman" w:hAnsi="Times New Roman"/>
          <w:i/>
          <w:kern w:val="0"/>
          <w:sz w:val="24"/>
          <w:szCs w:val="24"/>
        </w:rPr>
        <w:t>p</w:t>
      </w:r>
      <w:r>
        <w:rPr>
          <w:rFonts w:ascii="Times New Roman" w:hAnsi="Times New Roman"/>
          <w:kern w:val="0"/>
          <w:sz w:val="24"/>
          <w:szCs w:val="24"/>
        </w:rPr>
        <w:t xml:space="preserve"> values are shown in the corresponding bar graph in Figure 2. </w:t>
      </w:r>
    </w:p>
    <w:p w:rsidR="008F2DFF" w:rsidRPr="00FC1BC9" w:rsidRDefault="008F2DFF" w:rsidP="008F2DFF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 w:rsidRPr="00FC1BC9">
        <w:rPr>
          <w:rFonts w:ascii="Times New Roman" w:hAnsi="Times New Roman"/>
          <w:kern w:val="0"/>
          <w:sz w:val="24"/>
          <w:szCs w:val="24"/>
        </w:rPr>
        <w:t xml:space="preserve">Statistically significant differences were determined using the Mann-Whitney U test. </w:t>
      </w:r>
    </w:p>
    <w:p w:rsidR="008F2DFF" w:rsidRDefault="008F2DFF" w:rsidP="008F2DFF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 </w:t>
      </w:r>
    </w:p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>
      <w:bookmarkStart w:id="2" w:name="_GoBack"/>
      <w:bookmarkEnd w:id="2"/>
    </w:p>
    <w:p w:rsidR="008F2DFF" w:rsidRDefault="008F2DFF" w:rsidP="008F2DFF">
      <w:r>
        <w:lastRenderedPageBreak/>
        <w:t xml:space="preserve">           </w:t>
      </w:r>
    </w:p>
    <w:p w:rsidR="008F2DFF" w:rsidRDefault="008F2DFF" w:rsidP="008F2DFF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993D9F">
        <w:rPr>
          <w:rFonts w:ascii="Times New Roman" w:hAnsi="Times New Roman"/>
          <w:b/>
          <w:sz w:val="24"/>
          <w:szCs w:val="24"/>
        </w:rPr>
        <w:t xml:space="preserve">Supplementary </w:t>
      </w:r>
      <w:r w:rsidRPr="006C6DBB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S3.  Decreased number of tubal ciliated cells</w:t>
      </w:r>
      <w:r w:rsidRPr="006C6DBB">
        <w:rPr>
          <w:rFonts w:ascii="Times New Roman" w:hAnsi="Times New Roman"/>
          <w:b/>
          <w:sz w:val="24"/>
          <w:szCs w:val="24"/>
        </w:rPr>
        <w:t xml:space="preserve"> significantly associated with age, high-risk factors, and the status of </w:t>
      </w:r>
      <w:r>
        <w:rPr>
          <w:rFonts w:ascii="Times New Roman" w:hAnsi="Times New Roman"/>
          <w:b/>
          <w:sz w:val="24"/>
          <w:szCs w:val="24"/>
        </w:rPr>
        <w:t xml:space="preserve">ovarian or </w:t>
      </w:r>
      <w:r w:rsidRPr="006C6DBB">
        <w:rPr>
          <w:rFonts w:ascii="Times New Roman" w:hAnsi="Times New Roman"/>
          <w:b/>
          <w:sz w:val="24"/>
          <w:szCs w:val="24"/>
        </w:rPr>
        <w:t>pelvic serous carcinoma</w:t>
      </w:r>
    </w:p>
    <w:tbl>
      <w:tblPr>
        <w:tblW w:w="8945" w:type="dxa"/>
        <w:tblBorders>
          <w:top w:val="single" w:sz="18" w:space="0" w:color="auto"/>
          <w:bottom w:val="single" w:sz="18" w:space="0" w:color="auto"/>
        </w:tblBorders>
        <w:tblLayout w:type="fixed"/>
        <w:tblLook w:val="0020" w:firstRow="1" w:lastRow="0" w:firstColumn="0" w:lastColumn="0" w:noHBand="0" w:noVBand="0"/>
      </w:tblPr>
      <w:tblGrid>
        <w:gridCol w:w="1722"/>
        <w:gridCol w:w="957"/>
        <w:gridCol w:w="1110"/>
        <w:gridCol w:w="344"/>
        <w:gridCol w:w="975"/>
        <w:gridCol w:w="1110"/>
        <w:gridCol w:w="303"/>
        <w:gridCol w:w="1307"/>
        <w:gridCol w:w="1110"/>
        <w:gridCol w:w="7"/>
      </w:tblGrid>
      <w:tr w:rsidR="008F2DFF" w:rsidRPr="006C6DBB" w:rsidTr="00BA5820">
        <w:trPr>
          <w:trHeight w:val="270"/>
        </w:trPr>
        <w:tc>
          <w:tcPr>
            <w:tcW w:w="1722" w:type="dxa"/>
            <w:vMerge w:val="restar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F2DFF" w:rsidRDefault="008F2DFF" w:rsidP="00BA5820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Age</w:t>
            </w:r>
          </w:p>
          <w:p w:rsidR="008F2DFF" w:rsidRPr="00A17C47" w:rsidRDefault="008F2DFF" w:rsidP="00BA5820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 w:rsidRPr="006F2E17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(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 xml:space="preserve">Mean </w:t>
            </w:r>
            <w:r w:rsidRPr="006F2E17">
              <w:rPr>
                <w:rFonts w:ascii="Times New Roman" w:hAnsi="Times New Roman"/>
                <w:kern w:val="0"/>
                <w:sz w:val="24"/>
                <w:szCs w:val="24"/>
                <w:lang w:val="pt-BR"/>
              </w:rPr>
              <w:t>+/- SD)</w:t>
            </w:r>
          </w:p>
        </w:tc>
        <w:tc>
          <w:tcPr>
            <w:tcW w:w="206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Low-risk</w:t>
            </w: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(n=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120</w:t>
            </w: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44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High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risk </w:t>
            </w:r>
          </w:p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(n=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60</w:t>
            </w: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0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2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O/</w:t>
            </w: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PSC </w:t>
            </w:r>
          </w:p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(n=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60</w:t>
            </w:r>
            <w:r w:rsidRPr="006C6DBB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8F2DFF" w:rsidRPr="006C6DBB" w:rsidTr="00BA5820">
        <w:trPr>
          <w:gridAfter w:val="1"/>
          <w:wAfter w:w="7" w:type="dxa"/>
          <w:trHeight w:val="270"/>
        </w:trPr>
        <w:tc>
          <w:tcPr>
            <w:tcW w:w="17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12" w:space="0" w:color="auto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fimbria</w:t>
            </w: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ampulla</w:t>
            </w:r>
          </w:p>
        </w:tc>
        <w:tc>
          <w:tcPr>
            <w:tcW w:w="344" w:type="dxa"/>
            <w:vMerge/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fimbria</w:t>
            </w: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ampulla</w:t>
            </w:r>
          </w:p>
        </w:tc>
        <w:tc>
          <w:tcPr>
            <w:tcW w:w="303" w:type="dxa"/>
            <w:tcBorders>
              <w:top w:val="nil"/>
            </w:tcBorders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sz="12" w:space="0" w:color="auto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fimbria</w:t>
            </w: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ampulla</w:t>
            </w:r>
          </w:p>
        </w:tc>
      </w:tr>
      <w:tr w:rsidR="008F2DFF" w:rsidRPr="006C6DBB" w:rsidTr="00BA5820">
        <w:trPr>
          <w:gridAfter w:val="1"/>
          <w:wAfter w:w="7" w:type="dxa"/>
          <w:trHeight w:val="514"/>
        </w:trPr>
        <w:tc>
          <w:tcPr>
            <w:tcW w:w="17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 xml:space="preserve">20-29 </w:t>
            </w:r>
          </w:p>
          <w:p w:rsidR="008F2DFF" w:rsidRPr="00A17C47" w:rsidRDefault="008F2DFF" w:rsidP="00BA582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(25</w:t>
            </w:r>
            <w:r w:rsidRPr="00A17C47">
              <w:rPr>
                <w:rFonts w:ascii="Times New Roman" w:hAnsi="Times New Roman" w:hint="eastAsia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2</w:t>
            </w:r>
            <w:r w:rsidRPr="00A17C47"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1</w:t>
            </w:r>
            <w:r w:rsidRPr="00A17C47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95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258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260</w:t>
            </w:r>
          </w:p>
        </w:tc>
        <w:tc>
          <w:tcPr>
            <w:tcW w:w="344" w:type="dxa"/>
            <w:vMerge/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03" w:type="dxa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F2DFF" w:rsidRPr="006C6DBB" w:rsidTr="00BA5820">
        <w:trPr>
          <w:gridAfter w:val="1"/>
          <w:wAfter w:w="7" w:type="dxa"/>
          <w:trHeight w:val="514"/>
        </w:trPr>
        <w:tc>
          <w:tcPr>
            <w:tcW w:w="17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30-39</w:t>
            </w:r>
          </w:p>
          <w:p w:rsidR="008F2DFF" w:rsidRPr="00A17C47" w:rsidRDefault="008F2DFF" w:rsidP="00BA5820">
            <w:pPr>
              <w:rPr>
                <w:rFonts w:ascii="Times New Roman" w:hAnsi="Times New Roman"/>
                <w:szCs w:val="21"/>
              </w:rPr>
            </w:pPr>
            <w:r w:rsidRPr="00A17C47">
              <w:rPr>
                <w:rFonts w:ascii="Times New Roman" w:hAnsi="Times New Roman"/>
                <w:szCs w:val="21"/>
              </w:rPr>
              <w:t>(34</w:t>
            </w:r>
            <w:r w:rsidRPr="00A17C47">
              <w:rPr>
                <w:rFonts w:ascii="Times New Roman" w:hAnsi="Times New Roman" w:hint="eastAsia"/>
                <w:szCs w:val="21"/>
              </w:rPr>
              <w:t>±</w:t>
            </w:r>
            <w:r w:rsidRPr="00A17C47"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/>
                <w:szCs w:val="21"/>
              </w:rPr>
              <w:t>7</w:t>
            </w:r>
            <w:r w:rsidRPr="00A17C47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95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227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240</w:t>
            </w:r>
          </w:p>
        </w:tc>
        <w:tc>
          <w:tcPr>
            <w:tcW w:w="344" w:type="dxa"/>
            <w:vMerge/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303" w:type="dxa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F2DFF" w:rsidRPr="006C6DBB" w:rsidTr="00BA5820">
        <w:trPr>
          <w:gridAfter w:val="1"/>
          <w:wAfter w:w="7" w:type="dxa"/>
          <w:trHeight w:val="514"/>
        </w:trPr>
        <w:tc>
          <w:tcPr>
            <w:tcW w:w="17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 xml:space="preserve">40-49 </w:t>
            </w:r>
          </w:p>
          <w:p w:rsidR="008F2DFF" w:rsidRPr="00A17C47" w:rsidRDefault="008F2DFF" w:rsidP="00BA5820">
            <w:pPr>
              <w:rPr>
                <w:rFonts w:ascii="Times New Roman" w:hAnsi="Times New Roman"/>
                <w:szCs w:val="21"/>
              </w:rPr>
            </w:pPr>
            <w:r w:rsidRPr="00A17C47">
              <w:rPr>
                <w:rFonts w:ascii="Times New Roman" w:hAnsi="Times New Roman"/>
                <w:szCs w:val="21"/>
              </w:rPr>
              <w:t>(46</w:t>
            </w:r>
            <w:r w:rsidRPr="00A17C47">
              <w:rPr>
                <w:rFonts w:ascii="Times New Roman" w:hAnsi="Times New Roman" w:hint="eastAsia"/>
                <w:szCs w:val="21"/>
              </w:rPr>
              <w:t>±</w:t>
            </w:r>
            <w:r w:rsidRPr="00A17C47">
              <w:rPr>
                <w:rFonts w:ascii="Times New Roman" w:hAnsi="Times New Roman"/>
                <w:szCs w:val="21"/>
              </w:rPr>
              <w:t>1.8)</w:t>
            </w:r>
          </w:p>
        </w:tc>
        <w:tc>
          <w:tcPr>
            <w:tcW w:w="95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</w:t>
            </w:r>
          </w:p>
        </w:tc>
        <w:tc>
          <w:tcPr>
            <w:tcW w:w="344" w:type="dxa"/>
            <w:vMerge/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03" w:type="dxa"/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</w:tr>
      <w:tr w:rsidR="008F2DFF" w:rsidRPr="006C6DBB" w:rsidTr="00BA5820">
        <w:trPr>
          <w:gridAfter w:val="1"/>
          <w:wAfter w:w="7" w:type="dxa"/>
          <w:trHeight w:val="514"/>
        </w:trPr>
        <w:tc>
          <w:tcPr>
            <w:tcW w:w="17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50-59</w:t>
            </w:r>
          </w:p>
          <w:p w:rsidR="008F2DFF" w:rsidRPr="00A17C47" w:rsidRDefault="008F2DFF" w:rsidP="00BA5820">
            <w:pPr>
              <w:rPr>
                <w:rFonts w:ascii="Times New Roman" w:hAnsi="Times New Roman"/>
                <w:szCs w:val="21"/>
              </w:rPr>
            </w:pPr>
            <w:r w:rsidRPr="00A17C47">
              <w:rPr>
                <w:rFonts w:ascii="Times New Roman" w:hAnsi="Times New Roman"/>
                <w:szCs w:val="21"/>
              </w:rPr>
              <w:t>(55</w:t>
            </w:r>
            <w:r w:rsidRPr="00A17C47">
              <w:rPr>
                <w:rFonts w:ascii="Times New Roman" w:hAnsi="Times New Roman" w:hint="eastAsia"/>
                <w:szCs w:val="21"/>
              </w:rPr>
              <w:t>±</w:t>
            </w:r>
            <w:r w:rsidRPr="00A17C47"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/>
                <w:szCs w:val="21"/>
              </w:rPr>
              <w:t>6</w:t>
            </w:r>
            <w:r w:rsidRPr="00A17C47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95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44" w:type="dxa"/>
            <w:vMerge/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303" w:type="dxa"/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</w:tr>
      <w:tr w:rsidR="008F2DFF" w:rsidRPr="006C6DBB" w:rsidTr="00BA5820">
        <w:trPr>
          <w:gridAfter w:val="1"/>
          <w:wAfter w:w="7" w:type="dxa"/>
          <w:trHeight w:val="514"/>
        </w:trPr>
        <w:tc>
          <w:tcPr>
            <w:tcW w:w="17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 xml:space="preserve">60-69 </w:t>
            </w:r>
          </w:p>
          <w:p w:rsidR="008F2DFF" w:rsidRPr="00A17C47" w:rsidRDefault="008F2DFF" w:rsidP="00BA5820">
            <w:pPr>
              <w:rPr>
                <w:rFonts w:ascii="Times New Roman" w:hAnsi="Times New Roman"/>
                <w:szCs w:val="21"/>
              </w:rPr>
            </w:pPr>
            <w:r w:rsidRPr="00A17C47">
              <w:rPr>
                <w:rFonts w:ascii="Times New Roman" w:hAnsi="Times New Roman"/>
                <w:szCs w:val="21"/>
              </w:rPr>
              <w:t>(63</w:t>
            </w:r>
            <w:r w:rsidRPr="00A17C47">
              <w:rPr>
                <w:rFonts w:ascii="Times New Roman" w:hAnsi="Times New Roman" w:hint="eastAsia"/>
                <w:szCs w:val="21"/>
              </w:rPr>
              <w:t>±</w:t>
            </w:r>
            <w:r w:rsidRPr="00A17C47">
              <w:rPr>
                <w:rFonts w:ascii="Times New Roman" w:hAnsi="Times New Roman"/>
                <w:szCs w:val="21"/>
              </w:rPr>
              <w:t>2.2)</w:t>
            </w:r>
          </w:p>
        </w:tc>
        <w:tc>
          <w:tcPr>
            <w:tcW w:w="95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344" w:type="dxa"/>
            <w:vMerge/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03" w:type="dxa"/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</w:tr>
      <w:tr w:rsidR="008F2DFF" w:rsidRPr="006C6DBB" w:rsidTr="00BA5820">
        <w:trPr>
          <w:gridAfter w:val="1"/>
          <w:wAfter w:w="7" w:type="dxa"/>
          <w:trHeight w:val="540"/>
        </w:trPr>
        <w:tc>
          <w:tcPr>
            <w:tcW w:w="17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70-79</w:t>
            </w:r>
          </w:p>
          <w:p w:rsidR="008F2DFF" w:rsidRPr="00A17C47" w:rsidRDefault="008F2DFF" w:rsidP="00BA5820">
            <w:pPr>
              <w:rPr>
                <w:rFonts w:ascii="Times New Roman" w:hAnsi="Times New Roman"/>
                <w:szCs w:val="21"/>
              </w:rPr>
            </w:pPr>
            <w:r w:rsidRPr="00A17C47">
              <w:rPr>
                <w:rFonts w:ascii="Times New Roman" w:hAnsi="Times New Roman"/>
                <w:szCs w:val="21"/>
              </w:rPr>
              <w:t>(76</w:t>
            </w:r>
            <w:r w:rsidRPr="00A17C47">
              <w:rPr>
                <w:rFonts w:ascii="Times New Roman" w:hAnsi="Times New Roman" w:hint="eastAsia"/>
                <w:szCs w:val="21"/>
              </w:rPr>
              <w:t>±</w:t>
            </w:r>
            <w:r w:rsidRPr="00A17C47"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2</w:t>
            </w:r>
            <w:r w:rsidRPr="00A17C47">
              <w:rPr>
                <w:rFonts w:ascii="Times New Roman" w:hAnsi="Times New Roman"/>
                <w:szCs w:val="21"/>
              </w:rPr>
              <w:t>5)</w:t>
            </w:r>
          </w:p>
        </w:tc>
        <w:tc>
          <w:tcPr>
            <w:tcW w:w="95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344" w:type="dxa"/>
            <w:vMerge/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03" w:type="dxa"/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</w:tr>
      <w:tr w:rsidR="008F2DFF" w:rsidRPr="006C6DBB" w:rsidTr="00BA5820">
        <w:trPr>
          <w:gridAfter w:val="1"/>
          <w:wAfter w:w="7" w:type="dxa"/>
          <w:trHeight w:val="540"/>
        </w:trPr>
        <w:tc>
          <w:tcPr>
            <w:tcW w:w="1722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F2DFF" w:rsidRDefault="008F2DFF" w:rsidP="00BA5820">
            <w:pPr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&gt;80</w:t>
            </w:r>
          </w:p>
          <w:p w:rsidR="008F2DFF" w:rsidRPr="00A17C47" w:rsidRDefault="008F2DFF" w:rsidP="00BA5820">
            <w:pPr>
              <w:rPr>
                <w:rFonts w:ascii="Times New Roman" w:hAnsi="Times New Roman"/>
                <w:szCs w:val="21"/>
              </w:rPr>
            </w:pPr>
            <w:r w:rsidRPr="00A17C47">
              <w:rPr>
                <w:rFonts w:ascii="Times New Roman" w:hAnsi="Times New Roman"/>
                <w:szCs w:val="21"/>
              </w:rPr>
              <w:t>(84</w:t>
            </w:r>
            <w:r w:rsidRPr="00A17C47">
              <w:rPr>
                <w:rFonts w:ascii="Times New Roman" w:hAnsi="Times New Roman" w:hint="eastAsia"/>
                <w:szCs w:val="21"/>
              </w:rPr>
              <w:t>±</w:t>
            </w:r>
            <w:r w:rsidRPr="00A17C47">
              <w:rPr>
                <w:rFonts w:ascii="Times New Roman" w:hAnsi="Times New Roman"/>
                <w:szCs w:val="21"/>
              </w:rPr>
              <w:t>1.5)</w:t>
            </w:r>
          </w:p>
        </w:tc>
        <w:tc>
          <w:tcPr>
            <w:tcW w:w="957" w:type="dxa"/>
            <w:tcBorders>
              <w:bottom w:val="single" w:sz="12" w:space="0" w:color="auto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11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44" w:type="dxa"/>
            <w:vMerge/>
            <w:tcBorders>
              <w:bottom w:val="single" w:sz="12" w:space="0" w:color="auto"/>
            </w:tcBorders>
          </w:tcPr>
          <w:p w:rsidR="008F2DFF" w:rsidRPr="007F2A03" w:rsidRDefault="008F2DFF" w:rsidP="00BA582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1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DB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03" w:type="dxa"/>
            <w:tcBorders>
              <w:bottom w:val="single" w:sz="12" w:space="0" w:color="auto"/>
            </w:tcBorders>
          </w:tcPr>
          <w:p w:rsidR="008F2DFF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bottom w:val="single" w:sz="12" w:space="0" w:color="auto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1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F2DFF" w:rsidRPr="006C6DBB" w:rsidRDefault="008F2DFF" w:rsidP="00BA5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8F2DFF" w:rsidRDefault="008F2DFF" w:rsidP="008F2DFF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O/</w:t>
      </w:r>
      <w:r w:rsidRPr="006C6DBB">
        <w:rPr>
          <w:rFonts w:ascii="Times New Roman" w:hAnsi="Times New Roman"/>
          <w:sz w:val="24"/>
          <w:szCs w:val="24"/>
        </w:rPr>
        <w:t xml:space="preserve">PSC: </w:t>
      </w:r>
      <w:r>
        <w:rPr>
          <w:rFonts w:ascii="Times New Roman" w:hAnsi="Times New Roman"/>
          <w:sz w:val="24"/>
          <w:szCs w:val="24"/>
        </w:rPr>
        <w:t xml:space="preserve">ovarian or </w:t>
      </w:r>
      <w:r w:rsidRPr="006C6DBB">
        <w:rPr>
          <w:rFonts w:ascii="Times New Roman" w:hAnsi="Times New Roman"/>
          <w:sz w:val="24"/>
          <w:szCs w:val="24"/>
        </w:rPr>
        <w:t xml:space="preserve">pelvic serous carcinoma.  There was no high-risk case with age elder than 80 and no </w:t>
      </w:r>
      <w:r>
        <w:rPr>
          <w:rFonts w:ascii="Times New Roman" w:hAnsi="Times New Roman"/>
          <w:sz w:val="24"/>
          <w:szCs w:val="24"/>
        </w:rPr>
        <w:t>O/</w:t>
      </w:r>
      <w:r w:rsidRPr="006C6DBB">
        <w:rPr>
          <w:rFonts w:ascii="Times New Roman" w:hAnsi="Times New Roman"/>
          <w:sz w:val="24"/>
          <w:szCs w:val="24"/>
        </w:rPr>
        <w:t xml:space="preserve">PSC case younger than 40 in this study.  There were only </w:t>
      </w:r>
      <w:r>
        <w:rPr>
          <w:rFonts w:ascii="Times New Roman" w:hAnsi="Times New Roman"/>
          <w:sz w:val="24"/>
          <w:szCs w:val="24"/>
        </w:rPr>
        <w:t>6</w:t>
      </w:r>
      <w:r w:rsidRPr="006C6D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O/</w:t>
      </w:r>
      <w:r w:rsidRPr="006C6DBB">
        <w:rPr>
          <w:rFonts w:ascii="Times New Roman" w:hAnsi="Times New Roman"/>
          <w:sz w:val="24"/>
          <w:szCs w:val="24"/>
        </w:rPr>
        <w:t xml:space="preserve">PSC cases with age elder than 80.  </w:t>
      </w:r>
      <w:r>
        <w:rPr>
          <w:rFonts w:ascii="Times New Roman" w:hAnsi="Times New Roman"/>
          <w:kern w:val="0"/>
          <w:sz w:val="24"/>
          <w:szCs w:val="24"/>
        </w:rPr>
        <w:t xml:space="preserve">Standard deviations are shown in the corresponding bar graph in Figure 3.  </w:t>
      </w:r>
    </w:p>
    <w:p w:rsidR="008F2DFF" w:rsidRPr="006C6DBB" w:rsidRDefault="008F2DFF" w:rsidP="008F2DFF">
      <w:pPr>
        <w:rPr>
          <w:rFonts w:ascii="Times New Roman" w:hAnsi="Times New Roman"/>
          <w:sz w:val="24"/>
          <w:szCs w:val="24"/>
        </w:rPr>
      </w:pPr>
    </w:p>
    <w:p w:rsidR="008F2DFF" w:rsidRDefault="008F2DFF" w:rsidP="008F2DFF"/>
    <w:p w:rsidR="008F2DFF" w:rsidRDefault="008F2DFF" w:rsidP="008F2DFF"/>
    <w:p w:rsidR="008F2DFF" w:rsidRPr="00F729DF" w:rsidRDefault="008F2DFF" w:rsidP="008F2DFF">
      <w:pPr>
        <w:tabs>
          <w:tab w:val="left" w:pos="1515"/>
        </w:tabs>
      </w:pPr>
      <w:r>
        <w:tab/>
      </w:r>
    </w:p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/>
    <w:p w:rsidR="008F2DFF" w:rsidRDefault="008F2DFF" w:rsidP="008F2DFF">
      <w:r>
        <w:t xml:space="preserve">            </w:t>
      </w:r>
    </w:p>
    <w:p w:rsidR="008F2DFF" w:rsidRDefault="008F2DFF" w:rsidP="00D1023D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</w:p>
    <w:sectPr w:rsidR="008F2DFF" w:rsidSect="00521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030B" w:rsidRDefault="0045030B" w:rsidP="00006A8A">
      <w:r>
        <w:separator/>
      </w:r>
    </w:p>
  </w:endnote>
  <w:endnote w:type="continuationSeparator" w:id="0">
    <w:p w:rsidR="0045030B" w:rsidRDefault="0045030B" w:rsidP="00006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030B" w:rsidRDefault="0045030B" w:rsidP="00006A8A">
      <w:r>
        <w:separator/>
      </w:r>
    </w:p>
  </w:footnote>
  <w:footnote w:type="continuationSeparator" w:id="0">
    <w:p w:rsidR="0045030B" w:rsidRDefault="0045030B" w:rsidP="00006A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416"/>
    <w:rsid w:val="00006A8A"/>
    <w:rsid w:val="000201A7"/>
    <w:rsid w:val="00046614"/>
    <w:rsid w:val="0009271D"/>
    <w:rsid w:val="00097C25"/>
    <w:rsid w:val="000A2D44"/>
    <w:rsid w:val="000E24E9"/>
    <w:rsid w:val="001057C7"/>
    <w:rsid w:val="001175BE"/>
    <w:rsid w:val="00156607"/>
    <w:rsid w:val="001B69F2"/>
    <w:rsid w:val="0022464D"/>
    <w:rsid w:val="00233B57"/>
    <w:rsid w:val="002B4C3E"/>
    <w:rsid w:val="002D2E48"/>
    <w:rsid w:val="003644F2"/>
    <w:rsid w:val="00383226"/>
    <w:rsid w:val="003C05CA"/>
    <w:rsid w:val="003C5081"/>
    <w:rsid w:val="003C65F7"/>
    <w:rsid w:val="003D5104"/>
    <w:rsid w:val="003D556F"/>
    <w:rsid w:val="00405979"/>
    <w:rsid w:val="0045030B"/>
    <w:rsid w:val="0045096E"/>
    <w:rsid w:val="004C208F"/>
    <w:rsid w:val="004E7167"/>
    <w:rsid w:val="005210F7"/>
    <w:rsid w:val="005509D8"/>
    <w:rsid w:val="005672D8"/>
    <w:rsid w:val="00572CF5"/>
    <w:rsid w:val="005B0434"/>
    <w:rsid w:val="005B2CE0"/>
    <w:rsid w:val="006031BC"/>
    <w:rsid w:val="006660D6"/>
    <w:rsid w:val="006803EE"/>
    <w:rsid w:val="006B73B7"/>
    <w:rsid w:val="006C3D63"/>
    <w:rsid w:val="006D18F0"/>
    <w:rsid w:val="006F4A3F"/>
    <w:rsid w:val="00713405"/>
    <w:rsid w:val="00723A70"/>
    <w:rsid w:val="007421E9"/>
    <w:rsid w:val="00762F56"/>
    <w:rsid w:val="00782996"/>
    <w:rsid w:val="007910F4"/>
    <w:rsid w:val="007A66E7"/>
    <w:rsid w:val="007B06EB"/>
    <w:rsid w:val="007B31F2"/>
    <w:rsid w:val="007C2D99"/>
    <w:rsid w:val="007E157F"/>
    <w:rsid w:val="008110CF"/>
    <w:rsid w:val="00872AE9"/>
    <w:rsid w:val="008F2DFF"/>
    <w:rsid w:val="00937B05"/>
    <w:rsid w:val="00945416"/>
    <w:rsid w:val="00993D9F"/>
    <w:rsid w:val="009B6CD2"/>
    <w:rsid w:val="009C3EED"/>
    <w:rsid w:val="00A875B4"/>
    <w:rsid w:val="00AA048A"/>
    <w:rsid w:val="00B07EE7"/>
    <w:rsid w:val="00B77F2D"/>
    <w:rsid w:val="00BF2A2C"/>
    <w:rsid w:val="00C551A2"/>
    <w:rsid w:val="00C808B6"/>
    <w:rsid w:val="00CA447B"/>
    <w:rsid w:val="00CD2795"/>
    <w:rsid w:val="00CD7395"/>
    <w:rsid w:val="00D1023D"/>
    <w:rsid w:val="00D66A94"/>
    <w:rsid w:val="00D811A0"/>
    <w:rsid w:val="00D84695"/>
    <w:rsid w:val="00DF6F01"/>
    <w:rsid w:val="00E13E14"/>
    <w:rsid w:val="00E56AEF"/>
    <w:rsid w:val="00E71308"/>
    <w:rsid w:val="00EE1C2A"/>
    <w:rsid w:val="00EF1BA7"/>
    <w:rsid w:val="00F25D54"/>
    <w:rsid w:val="00F424E2"/>
    <w:rsid w:val="00F729DF"/>
    <w:rsid w:val="00FB0B32"/>
    <w:rsid w:val="00FC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F5924"/>
  <w15:chartTrackingRefBased/>
  <w15:docId w15:val="{503E643D-C6E2-4DAA-8205-EAF88CFC6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41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A8A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006A8A"/>
    <w:rPr>
      <w:rFonts w:ascii="Calibri" w:eastAsia="宋体" w:hAnsi="Calibri" w:cs="Times New Roman"/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006A8A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006A8A"/>
    <w:rPr>
      <w:rFonts w:ascii="Calibri" w:eastAsia="宋体" w:hAnsi="Calibri" w:cs="Times New Roman"/>
      <w:kern w:val="2"/>
      <w:sz w:val="21"/>
      <w:szCs w:val="22"/>
    </w:rPr>
  </w:style>
  <w:style w:type="table" w:styleId="a7">
    <w:name w:val="Table Grid"/>
    <w:basedOn w:val="a1"/>
    <w:uiPriority w:val="39"/>
    <w:rsid w:val="000A2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25D54"/>
    <w:rPr>
      <w:rFonts w:ascii="Microsoft YaHei UI" w:eastAsia="Microsoft YaHei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25D54"/>
    <w:rPr>
      <w:rFonts w:ascii="Microsoft YaHei UI" w:eastAsia="Microsoft YaHei UI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6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1102</TotalTime>
  <Pages>2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</cp:lastModifiedBy>
  <cp:revision>9</cp:revision>
  <dcterms:created xsi:type="dcterms:W3CDTF">2020-04-24T02:45:00Z</dcterms:created>
  <dcterms:modified xsi:type="dcterms:W3CDTF">2020-05-28T03:06:00Z</dcterms:modified>
</cp:coreProperties>
</file>