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3ECF0" w14:textId="77777777" w:rsidR="001A4B25" w:rsidRDefault="001A4B25" w:rsidP="001A4B25">
      <w:pPr>
        <w:spacing w:line="480" w:lineRule="auto"/>
        <w:rPr>
          <w:rFonts w:cstheme="minorHAnsi"/>
          <w:b/>
          <w:bCs/>
          <w:lang w:val="en-US"/>
        </w:rPr>
      </w:pPr>
      <w:r>
        <w:rPr>
          <w:rFonts w:cstheme="minorHAnsi"/>
          <w:b/>
          <w:bCs/>
          <w:lang w:val="en-US"/>
        </w:rPr>
        <w:t>preliminary outcome list Waldenstroem’s Macroglobulinaemia</w:t>
      </w:r>
    </w:p>
    <w:tbl>
      <w:tblPr>
        <w:tblStyle w:val="Tabellenraster"/>
        <w:tblW w:w="0" w:type="auto"/>
        <w:tblLook w:val="04A0" w:firstRow="1" w:lastRow="0" w:firstColumn="1" w:lastColumn="0" w:noHBand="0" w:noVBand="1"/>
      </w:tblPr>
      <w:tblGrid>
        <w:gridCol w:w="3018"/>
        <w:gridCol w:w="3019"/>
        <w:gridCol w:w="3019"/>
      </w:tblGrid>
      <w:tr w:rsidR="001A4B25" w:rsidRPr="001C5C03" w14:paraId="5396E260" w14:textId="77777777" w:rsidTr="006158C9">
        <w:trPr>
          <w:trHeight w:val="570"/>
        </w:trPr>
        <w:tc>
          <w:tcPr>
            <w:tcW w:w="3018" w:type="dxa"/>
            <w:hideMark/>
          </w:tcPr>
          <w:p w14:paraId="72258C33"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Sensory neuropathy</w:t>
            </w:r>
          </w:p>
        </w:tc>
        <w:tc>
          <w:tcPr>
            <w:tcW w:w="3019" w:type="dxa"/>
            <w:hideMark/>
          </w:tcPr>
          <w:p w14:paraId="258078A4" w14:textId="77777777" w:rsidR="001A4B25" w:rsidRPr="001C5C03" w:rsidRDefault="001A4B25" w:rsidP="006158C9">
            <w:pPr>
              <w:rPr>
                <w:rFonts w:ascii="Calibri" w:eastAsia="Times New Roman" w:hAnsi="Calibri" w:cs="Calibri"/>
                <w:color w:val="000000"/>
                <w:sz w:val="22"/>
                <w:szCs w:val="22"/>
                <w:lang w:val="en-US" w:eastAsia="de-DE"/>
              </w:rPr>
            </w:pPr>
            <w:r w:rsidRPr="001C5C03">
              <w:rPr>
                <w:rFonts w:ascii="Calibri" w:eastAsia="Times New Roman" w:hAnsi="Calibri" w:cs="Calibri"/>
                <w:color w:val="000000"/>
                <w:sz w:val="22"/>
                <w:szCs w:val="22"/>
                <w:lang w:val="en-US" w:eastAsia="de-DE"/>
              </w:rPr>
              <w:t>Problems involving damage to the peripheral nerves (those that connect the limbs and organs to the central nervous sysem and control sensation, movement and coordination)  or symptoms caused by those issues, including numbness, tingling or burning sensations, increased sensivity to touch, weakness or dysfunction especially of extremities</w:t>
            </w:r>
          </w:p>
        </w:tc>
        <w:tc>
          <w:tcPr>
            <w:tcW w:w="3019" w:type="dxa"/>
            <w:noWrap/>
            <w:hideMark/>
          </w:tcPr>
          <w:p w14:paraId="4CA0E5A6"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PRO</w:t>
            </w:r>
          </w:p>
        </w:tc>
      </w:tr>
      <w:tr w:rsidR="001A4B25" w:rsidRPr="001C5C03" w14:paraId="7EC3BCBB" w14:textId="77777777" w:rsidTr="006158C9">
        <w:trPr>
          <w:trHeight w:val="570"/>
        </w:trPr>
        <w:tc>
          <w:tcPr>
            <w:tcW w:w="3018" w:type="dxa"/>
            <w:hideMark/>
          </w:tcPr>
          <w:p w14:paraId="5E776B3E"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Pain</w:t>
            </w:r>
          </w:p>
        </w:tc>
        <w:tc>
          <w:tcPr>
            <w:tcW w:w="3019" w:type="dxa"/>
            <w:hideMark/>
          </w:tcPr>
          <w:p w14:paraId="265A18B8"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val="en-US" w:eastAsia="de-DE"/>
              </w:rPr>
              <w:t xml:space="preserve">Unpleasant physical sensation, including aching joints, which may vary in intensity from mild discomfort to pain that limits activities of daily life, limits self care and/or requires medication or hospitalisation. </w:t>
            </w:r>
            <w:r w:rsidRPr="001C5C03">
              <w:rPr>
                <w:rFonts w:ascii="Calibri" w:eastAsia="Times New Roman" w:hAnsi="Calibri" w:cs="Calibri"/>
                <w:color w:val="000000"/>
                <w:sz w:val="22"/>
                <w:szCs w:val="22"/>
                <w:lang w:eastAsia="de-DE"/>
              </w:rPr>
              <w:t>Medication may be necessary</w:t>
            </w:r>
          </w:p>
        </w:tc>
        <w:tc>
          <w:tcPr>
            <w:tcW w:w="3019" w:type="dxa"/>
            <w:noWrap/>
            <w:hideMark/>
          </w:tcPr>
          <w:p w14:paraId="69731399"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PRO</w:t>
            </w:r>
          </w:p>
        </w:tc>
      </w:tr>
      <w:tr w:rsidR="001A4B25" w:rsidRPr="001C5C03" w14:paraId="5D0A423D" w14:textId="77777777" w:rsidTr="006158C9">
        <w:trPr>
          <w:trHeight w:val="570"/>
        </w:trPr>
        <w:tc>
          <w:tcPr>
            <w:tcW w:w="3018" w:type="dxa"/>
            <w:hideMark/>
          </w:tcPr>
          <w:p w14:paraId="362C3E35"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 xml:space="preserve">Diarrhea </w:t>
            </w:r>
          </w:p>
        </w:tc>
        <w:tc>
          <w:tcPr>
            <w:tcW w:w="3019" w:type="dxa"/>
            <w:hideMark/>
          </w:tcPr>
          <w:p w14:paraId="5A5B3CDC" w14:textId="77777777" w:rsidR="001A4B25" w:rsidRPr="001C5C03" w:rsidRDefault="001A4B25" w:rsidP="006158C9">
            <w:pPr>
              <w:rPr>
                <w:rFonts w:ascii="Calibri" w:eastAsia="Times New Roman" w:hAnsi="Calibri" w:cs="Calibri"/>
                <w:color w:val="000000"/>
                <w:sz w:val="22"/>
                <w:szCs w:val="22"/>
                <w:lang w:val="en-US" w:eastAsia="de-DE"/>
              </w:rPr>
            </w:pPr>
            <w:r w:rsidRPr="001C5C03">
              <w:rPr>
                <w:rFonts w:ascii="Calibri" w:eastAsia="Times New Roman" w:hAnsi="Calibri" w:cs="Calibri"/>
                <w:color w:val="000000"/>
                <w:sz w:val="22"/>
                <w:szCs w:val="22"/>
                <w:lang w:val="en-US" w:eastAsia="de-DE"/>
              </w:rPr>
              <w:t xml:space="preserve">Passing looser stools (poo) or passing stools more often than is normal for you </w:t>
            </w:r>
          </w:p>
        </w:tc>
        <w:tc>
          <w:tcPr>
            <w:tcW w:w="3019" w:type="dxa"/>
            <w:noWrap/>
            <w:hideMark/>
          </w:tcPr>
          <w:p w14:paraId="793ABA4E"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PRO</w:t>
            </w:r>
          </w:p>
        </w:tc>
      </w:tr>
      <w:tr w:rsidR="001A4B25" w:rsidRPr="001C5C03" w14:paraId="2588D9D5" w14:textId="77777777" w:rsidTr="006158C9">
        <w:trPr>
          <w:trHeight w:val="570"/>
        </w:trPr>
        <w:tc>
          <w:tcPr>
            <w:tcW w:w="3018" w:type="dxa"/>
            <w:hideMark/>
          </w:tcPr>
          <w:p w14:paraId="6D9BFA65"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 xml:space="preserve">Constipation </w:t>
            </w:r>
          </w:p>
        </w:tc>
        <w:tc>
          <w:tcPr>
            <w:tcW w:w="3019" w:type="dxa"/>
            <w:hideMark/>
          </w:tcPr>
          <w:p w14:paraId="13E1E589" w14:textId="77777777" w:rsidR="001A4B25" w:rsidRPr="001C5C03" w:rsidRDefault="001A4B25" w:rsidP="006158C9">
            <w:pPr>
              <w:rPr>
                <w:rFonts w:ascii="Calibri" w:eastAsia="Times New Roman" w:hAnsi="Calibri" w:cs="Calibri"/>
                <w:color w:val="000000"/>
                <w:sz w:val="22"/>
                <w:szCs w:val="22"/>
                <w:lang w:val="en-US" w:eastAsia="de-DE"/>
              </w:rPr>
            </w:pPr>
            <w:r w:rsidRPr="001C5C03">
              <w:rPr>
                <w:rFonts w:ascii="Calibri" w:eastAsia="Times New Roman" w:hAnsi="Calibri" w:cs="Calibri"/>
                <w:color w:val="000000"/>
                <w:sz w:val="22"/>
                <w:szCs w:val="22"/>
                <w:lang w:val="en-US" w:eastAsia="de-DE"/>
              </w:rPr>
              <w:t>Having difficulty passing stools (poo), which may be small and hard</w:t>
            </w:r>
          </w:p>
        </w:tc>
        <w:tc>
          <w:tcPr>
            <w:tcW w:w="3019" w:type="dxa"/>
            <w:noWrap/>
            <w:hideMark/>
          </w:tcPr>
          <w:p w14:paraId="5C2F8186"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PRO</w:t>
            </w:r>
          </w:p>
        </w:tc>
      </w:tr>
      <w:tr w:rsidR="001A4B25" w:rsidRPr="001C5C03" w14:paraId="6C05A8C1" w14:textId="77777777" w:rsidTr="006158C9">
        <w:trPr>
          <w:trHeight w:val="570"/>
        </w:trPr>
        <w:tc>
          <w:tcPr>
            <w:tcW w:w="3018" w:type="dxa"/>
            <w:hideMark/>
          </w:tcPr>
          <w:p w14:paraId="0E19864A"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Nausea</w:t>
            </w:r>
          </w:p>
        </w:tc>
        <w:tc>
          <w:tcPr>
            <w:tcW w:w="3019" w:type="dxa"/>
            <w:hideMark/>
          </w:tcPr>
          <w:p w14:paraId="04418A6C" w14:textId="77777777" w:rsidR="001A4B25" w:rsidRPr="001C5C03" w:rsidRDefault="001A4B25" w:rsidP="006158C9">
            <w:pPr>
              <w:rPr>
                <w:rFonts w:ascii="Calibri" w:eastAsia="Times New Roman" w:hAnsi="Calibri" w:cs="Calibri"/>
                <w:color w:val="000000"/>
                <w:sz w:val="22"/>
                <w:szCs w:val="22"/>
                <w:lang w:val="en-US" w:eastAsia="de-DE"/>
              </w:rPr>
            </w:pPr>
            <w:r w:rsidRPr="001C5C03">
              <w:rPr>
                <w:rFonts w:ascii="Calibri" w:eastAsia="Times New Roman" w:hAnsi="Calibri" w:cs="Calibri"/>
                <w:color w:val="000000"/>
                <w:sz w:val="22"/>
                <w:szCs w:val="22"/>
                <w:lang w:val="en-US" w:eastAsia="de-DE"/>
              </w:rPr>
              <w:t>Feeling or being sick, which may lead to impact on intake of food and/or fluids and/or normal activities</w:t>
            </w:r>
          </w:p>
        </w:tc>
        <w:tc>
          <w:tcPr>
            <w:tcW w:w="3019" w:type="dxa"/>
            <w:noWrap/>
            <w:hideMark/>
          </w:tcPr>
          <w:p w14:paraId="6167F3ED"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PRO</w:t>
            </w:r>
          </w:p>
        </w:tc>
      </w:tr>
      <w:tr w:rsidR="001A4B25" w:rsidRPr="001C5C03" w14:paraId="6C9DD858" w14:textId="77777777" w:rsidTr="006158C9">
        <w:trPr>
          <w:trHeight w:val="570"/>
        </w:trPr>
        <w:tc>
          <w:tcPr>
            <w:tcW w:w="3018" w:type="dxa"/>
            <w:hideMark/>
          </w:tcPr>
          <w:p w14:paraId="3027F644" w14:textId="77777777" w:rsidR="001A4B25" w:rsidRPr="001C5C03" w:rsidRDefault="001A4B25" w:rsidP="006158C9">
            <w:pPr>
              <w:rPr>
                <w:rFonts w:ascii="Calibri" w:eastAsia="Times New Roman" w:hAnsi="Calibri" w:cs="Calibri"/>
                <w:color w:val="000000"/>
                <w:sz w:val="22"/>
                <w:szCs w:val="22"/>
                <w:lang w:val="en-US" w:eastAsia="de-DE"/>
              </w:rPr>
            </w:pPr>
            <w:r w:rsidRPr="001C5C03">
              <w:rPr>
                <w:rFonts w:ascii="Calibri" w:eastAsia="Times New Roman" w:hAnsi="Calibri" w:cs="Calibri"/>
                <w:color w:val="000000"/>
                <w:sz w:val="22"/>
                <w:szCs w:val="22"/>
                <w:lang w:val="en-US" w:eastAsia="de-DE"/>
              </w:rPr>
              <w:t>Changes in taste and smell</w:t>
            </w:r>
          </w:p>
        </w:tc>
        <w:tc>
          <w:tcPr>
            <w:tcW w:w="3019" w:type="dxa"/>
            <w:hideMark/>
          </w:tcPr>
          <w:p w14:paraId="081F55D0" w14:textId="77777777" w:rsidR="001A4B25" w:rsidRPr="001C5C03" w:rsidRDefault="001A4B25" w:rsidP="006158C9">
            <w:pPr>
              <w:rPr>
                <w:rFonts w:ascii="Calibri" w:eastAsia="Times New Roman" w:hAnsi="Calibri" w:cs="Calibri"/>
                <w:color w:val="000000"/>
                <w:sz w:val="22"/>
                <w:szCs w:val="22"/>
                <w:lang w:val="en-US" w:eastAsia="de-DE"/>
              </w:rPr>
            </w:pPr>
            <w:r w:rsidRPr="001C5C03">
              <w:rPr>
                <w:rFonts w:ascii="Calibri" w:eastAsia="Times New Roman" w:hAnsi="Calibri" w:cs="Calibri"/>
                <w:color w:val="000000"/>
                <w:sz w:val="22"/>
                <w:szCs w:val="22"/>
                <w:lang w:val="en-US" w:eastAsia="de-DE"/>
              </w:rPr>
              <w:t>Loss of the senses of smell and taste, including the reduced ability to smell or taste specific substances, for instance, sweet, sour, bitter or salty</w:t>
            </w:r>
          </w:p>
        </w:tc>
        <w:tc>
          <w:tcPr>
            <w:tcW w:w="3019" w:type="dxa"/>
            <w:noWrap/>
            <w:hideMark/>
          </w:tcPr>
          <w:p w14:paraId="352BCE80"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PRO</w:t>
            </w:r>
          </w:p>
        </w:tc>
      </w:tr>
      <w:tr w:rsidR="001A4B25" w:rsidRPr="001C5C03" w14:paraId="3A583ADC" w14:textId="77777777" w:rsidTr="006158C9">
        <w:trPr>
          <w:trHeight w:val="570"/>
        </w:trPr>
        <w:tc>
          <w:tcPr>
            <w:tcW w:w="3018" w:type="dxa"/>
            <w:hideMark/>
          </w:tcPr>
          <w:p w14:paraId="7E818B9F"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Anorexia</w:t>
            </w:r>
          </w:p>
        </w:tc>
        <w:tc>
          <w:tcPr>
            <w:tcW w:w="3019" w:type="dxa"/>
            <w:hideMark/>
          </w:tcPr>
          <w:p w14:paraId="4AD64314" w14:textId="77777777" w:rsidR="001A4B25" w:rsidRPr="001C5C03" w:rsidRDefault="001A4B25" w:rsidP="006158C9">
            <w:pPr>
              <w:rPr>
                <w:rFonts w:ascii="Calibri" w:eastAsia="Times New Roman" w:hAnsi="Calibri" w:cs="Calibri"/>
                <w:color w:val="000000"/>
                <w:sz w:val="22"/>
                <w:szCs w:val="22"/>
                <w:lang w:val="en-US" w:eastAsia="de-DE"/>
              </w:rPr>
            </w:pPr>
            <w:r w:rsidRPr="001C5C03">
              <w:rPr>
                <w:rFonts w:ascii="Calibri" w:eastAsia="Times New Roman" w:hAnsi="Calibri" w:cs="Calibri"/>
                <w:color w:val="000000"/>
                <w:sz w:val="22"/>
                <w:szCs w:val="22"/>
                <w:lang w:val="en-US" w:eastAsia="de-DE"/>
              </w:rPr>
              <w:t>Loss of appetite, which may lead to weight loss and malnutrition</w:t>
            </w:r>
          </w:p>
        </w:tc>
        <w:tc>
          <w:tcPr>
            <w:tcW w:w="3019" w:type="dxa"/>
            <w:noWrap/>
            <w:hideMark/>
          </w:tcPr>
          <w:p w14:paraId="18D83AE6"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PRO</w:t>
            </w:r>
          </w:p>
        </w:tc>
      </w:tr>
      <w:tr w:rsidR="001A4B25" w:rsidRPr="001C5C03" w14:paraId="67B3F49A" w14:textId="77777777" w:rsidTr="006158C9">
        <w:trPr>
          <w:trHeight w:val="570"/>
        </w:trPr>
        <w:tc>
          <w:tcPr>
            <w:tcW w:w="3018" w:type="dxa"/>
            <w:hideMark/>
          </w:tcPr>
          <w:p w14:paraId="65D6D154"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Fatigue</w:t>
            </w:r>
          </w:p>
        </w:tc>
        <w:tc>
          <w:tcPr>
            <w:tcW w:w="3019" w:type="dxa"/>
            <w:hideMark/>
          </w:tcPr>
          <w:p w14:paraId="7D296153" w14:textId="77777777" w:rsidR="001A4B25" w:rsidRPr="001C5C03" w:rsidRDefault="001A4B25" w:rsidP="006158C9">
            <w:pPr>
              <w:rPr>
                <w:rFonts w:ascii="Calibri" w:eastAsia="Times New Roman" w:hAnsi="Calibri" w:cs="Calibri"/>
                <w:color w:val="000000"/>
                <w:sz w:val="22"/>
                <w:szCs w:val="22"/>
                <w:lang w:val="en-US" w:eastAsia="de-DE"/>
              </w:rPr>
            </w:pPr>
            <w:r w:rsidRPr="001C5C03">
              <w:rPr>
                <w:rFonts w:ascii="Calibri" w:eastAsia="Times New Roman" w:hAnsi="Calibri" w:cs="Calibri"/>
                <w:color w:val="000000"/>
                <w:sz w:val="22"/>
                <w:szCs w:val="22"/>
                <w:lang w:val="en-US" w:eastAsia="de-DE"/>
              </w:rPr>
              <w:t>Significant or persistant tiredness that's not proportional to recent activity</w:t>
            </w:r>
          </w:p>
        </w:tc>
        <w:tc>
          <w:tcPr>
            <w:tcW w:w="3019" w:type="dxa"/>
            <w:noWrap/>
            <w:hideMark/>
          </w:tcPr>
          <w:p w14:paraId="378796E1"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PRO</w:t>
            </w:r>
          </w:p>
        </w:tc>
      </w:tr>
      <w:tr w:rsidR="001A4B25" w:rsidRPr="001C5C03" w14:paraId="06ED9590" w14:textId="77777777" w:rsidTr="006158C9">
        <w:trPr>
          <w:trHeight w:val="570"/>
        </w:trPr>
        <w:tc>
          <w:tcPr>
            <w:tcW w:w="3018" w:type="dxa"/>
            <w:hideMark/>
          </w:tcPr>
          <w:p w14:paraId="7DBBA0FE"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Shortness of breath (Dyspnoea)</w:t>
            </w:r>
          </w:p>
        </w:tc>
        <w:tc>
          <w:tcPr>
            <w:tcW w:w="3019" w:type="dxa"/>
            <w:hideMark/>
          </w:tcPr>
          <w:p w14:paraId="221C2371" w14:textId="77777777" w:rsidR="001A4B25" w:rsidRPr="001C5C03" w:rsidRDefault="001A4B25" w:rsidP="006158C9">
            <w:pPr>
              <w:rPr>
                <w:rFonts w:ascii="Calibri" w:eastAsia="Times New Roman" w:hAnsi="Calibri" w:cs="Calibri"/>
                <w:color w:val="000000"/>
                <w:sz w:val="22"/>
                <w:szCs w:val="22"/>
                <w:lang w:val="en-US" w:eastAsia="de-DE"/>
              </w:rPr>
            </w:pPr>
            <w:r w:rsidRPr="001C5C03">
              <w:rPr>
                <w:rFonts w:ascii="Calibri" w:eastAsia="Times New Roman" w:hAnsi="Calibri" w:cs="Calibri"/>
                <w:color w:val="000000"/>
                <w:sz w:val="22"/>
                <w:szCs w:val="22"/>
                <w:lang w:val="en-US" w:eastAsia="de-DE"/>
              </w:rPr>
              <w:t>Shortness of breath or respiratory problems, which may happen at rest and may limit activities of daily living or self care, and may require treatment</w:t>
            </w:r>
          </w:p>
        </w:tc>
        <w:tc>
          <w:tcPr>
            <w:tcW w:w="3019" w:type="dxa"/>
            <w:noWrap/>
            <w:hideMark/>
          </w:tcPr>
          <w:p w14:paraId="2C886092"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PRO</w:t>
            </w:r>
          </w:p>
        </w:tc>
      </w:tr>
      <w:tr w:rsidR="001A4B25" w:rsidRPr="001C5C03" w14:paraId="6FA48C30" w14:textId="77777777" w:rsidTr="006158C9">
        <w:trPr>
          <w:trHeight w:val="570"/>
        </w:trPr>
        <w:tc>
          <w:tcPr>
            <w:tcW w:w="3018" w:type="dxa"/>
            <w:hideMark/>
          </w:tcPr>
          <w:p w14:paraId="638F6497"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Change in sexual function</w:t>
            </w:r>
          </w:p>
        </w:tc>
        <w:tc>
          <w:tcPr>
            <w:tcW w:w="3019" w:type="dxa"/>
            <w:hideMark/>
          </w:tcPr>
          <w:p w14:paraId="0F12E64D" w14:textId="77777777" w:rsidR="001A4B25" w:rsidRPr="001C5C03" w:rsidRDefault="001A4B25" w:rsidP="006158C9">
            <w:pPr>
              <w:rPr>
                <w:rFonts w:ascii="Calibri" w:eastAsia="Times New Roman" w:hAnsi="Calibri" w:cs="Calibri"/>
                <w:color w:val="000000"/>
                <w:sz w:val="22"/>
                <w:szCs w:val="22"/>
                <w:lang w:val="en-US" w:eastAsia="de-DE"/>
              </w:rPr>
            </w:pPr>
            <w:r w:rsidRPr="001C5C03">
              <w:rPr>
                <w:rFonts w:ascii="Calibri" w:eastAsia="Times New Roman" w:hAnsi="Calibri" w:cs="Calibri"/>
                <w:color w:val="000000"/>
                <w:sz w:val="22"/>
                <w:szCs w:val="22"/>
                <w:lang w:val="en-US" w:eastAsia="de-DE"/>
              </w:rPr>
              <w:t xml:space="preserve">Such as changes in sexual desire, sexual dysfunction, erectile dysfunction, </w:t>
            </w:r>
            <w:r w:rsidRPr="001C5C03">
              <w:rPr>
                <w:rFonts w:ascii="Calibri" w:eastAsia="Times New Roman" w:hAnsi="Calibri" w:cs="Calibri"/>
                <w:color w:val="000000"/>
                <w:sz w:val="22"/>
                <w:szCs w:val="22"/>
                <w:lang w:val="en-US" w:eastAsia="de-DE"/>
              </w:rPr>
              <w:lastRenderedPageBreak/>
              <w:t>difficulties reaching orgasm,  vaginal dryness in women, other genital changes that lead to pain during sexual activity, difficulty feeling arousal and pleasure during sex</w:t>
            </w:r>
          </w:p>
        </w:tc>
        <w:tc>
          <w:tcPr>
            <w:tcW w:w="3019" w:type="dxa"/>
            <w:noWrap/>
            <w:hideMark/>
          </w:tcPr>
          <w:p w14:paraId="6319CB99"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lastRenderedPageBreak/>
              <w:t>PRO</w:t>
            </w:r>
          </w:p>
        </w:tc>
      </w:tr>
      <w:tr w:rsidR="001A4B25" w:rsidRPr="001C5C03" w14:paraId="07E2B22D" w14:textId="77777777" w:rsidTr="006158C9">
        <w:trPr>
          <w:trHeight w:val="570"/>
        </w:trPr>
        <w:tc>
          <w:tcPr>
            <w:tcW w:w="3018" w:type="dxa"/>
            <w:hideMark/>
          </w:tcPr>
          <w:p w14:paraId="16A304F3"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Infertility</w:t>
            </w:r>
          </w:p>
        </w:tc>
        <w:tc>
          <w:tcPr>
            <w:tcW w:w="3019" w:type="dxa"/>
            <w:hideMark/>
          </w:tcPr>
          <w:p w14:paraId="0701AD55" w14:textId="77777777" w:rsidR="001A4B25" w:rsidRPr="001C5C03" w:rsidRDefault="001A4B25" w:rsidP="006158C9">
            <w:pPr>
              <w:rPr>
                <w:rFonts w:ascii="Calibri" w:eastAsia="Times New Roman" w:hAnsi="Calibri" w:cs="Calibri"/>
                <w:color w:val="000000"/>
                <w:sz w:val="22"/>
                <w:szCs w:val="22"/>
                <w:lang w:val="en-US" w:eastAsia="de-DE"/>
              </w:rPr>
            </w:pPr>
            <w:r w:rsidRPr="001C5C03">
              <w:rPr>
                <w:rFonts w:ascii="Calibri" w:eastAsia="Times New Roman" w:hAnsi="Calibri" w:cs="Calibri"/>
                <w:color w:val="000000"/>
                <w:sz w:val="22"/>
                <w:szCs w:val="22"/>
                <w:lang w:val="en-US" w:eastAsia="de-DE"/>
              </w:rPr>
              <w:t>Inability to get pregnant or to produce healthy sperms</w:t>
            </w:r>
          </w:p>
        </w:tc>
        <w:tc>
          <w:tcPr>
            <w:tcW w:w="3019" w:type="dxa"/>
            <w:noWrap/>
            <w:hideMark/>
          </w:tcPr>
          <w:p w14:paraId="66633B31"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PRO</w:t>
            </w:r>
          </w:p>
        </w:tc>
      </w:tr>
      <w:tr w:rsidR="001A4B25" w:rsidRPr="001C5C03" w14:paraId="14804CF0" w14:textId="77777777" w:rsidTr="006158C9">
        <w:trPr>
          <w:trHeight w:val="570"/>
        </w:trPr>
        <w:tc>
          <w:tcPr>
            <w:tcW w:w="3018" w:type="dxa"/>
            <w:hideMark/>
          </w:tcPr>
          <w:p w14:paraId="1EDA26FD"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Hair loss</w:t>
            </w:r>
          </w:p>
        </w:tc>
        <w:tc>
          <w:tcPr>
            <w:tcW w:w="3019" w:type="dxa"/>
            <w:hideMark/>
          </w:tcPr>
          <w:p w14:paraId="32168C0E" w14:textId="77777777" w:rsidR="001A4B25" w:rsidRPr="001C5C03" w:rsidRDefault="001A4B25" w:rsidP="006158C9">
            <w:pPr>
              <w:rPr>
                <w:rFonts w:ascii="Calibri" w:eastAsia="Times New Roman" w:hAnsi="Calibri" w:cs="Calibri"/>
                <w:color w:val="000000"/>
                <w:sz w:val="22"/>
                <w:szCs w:val="22"/>
                <w:lang w:val="en-US" w:eastAsia="de-DE"/>
              </w:rPr>
            </w:pPr>
            <w:r w:rsidRPr="001C5C03">
              <w:rPr>
                <w:rFonts w:ascii="Calibri" w:eastAsia="Times New Roman" w:hAnsi="Calibri" w:cs="Calibri"/>
                <w:color w:val="000000"/>
                <w:sz w:val="22"/>
                <w:szCs w:val="22"/>
                <w:lang w:val="en-US" w:eastAsia="de-DE"/>
              </w:rPr>
              <w:t>Alopecia or baldness, loss of hair from part of the head or body</w:t>
            </w:r>
          </w:p>
        </w:tc>
        <w:tc>
          <w:tcPr>
            <w:tcW w:w="3019" w:type="dxa"/>
            <w:noWrap/>
            <w:hideMark/>
          </w:tcPr>
          <w:p w14:paraId="2607CE41"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PRO</w:t>
            </w:r>
          </w:p>
        </w:tc>
      </w:tr>
      <w:tr w:rsidR="001A4B25" w:rsidRPr="001C5C03" w14:paraId="150A3843" w14:textId="77777777" w:rsidTr="006158C9">
        <w:trPr>
          <w:trHeight w:val="570"/>
        </w:trPr>
        <w:tc>
          <w:tcPr>
            <w:tcW w:w="3018" w:type="dxa"/>
            <w:hideMark/>
          </w:tcPr>
          <w:p w14:paraId="191444F1"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 xml:space="preserve">Sleep changes </w:t>
            </w:r>
          </w:p>
        </w:tc>
        <w:tc>
          <w:tcPr>
            <w:tcW w:w="3019" w:type="dxa"/>
            <w:hideMark/>
          </w:tcPr>
          <w:p w14:paraId="39A59C68" w14:textId="77777777" w:rsidR="001A4B25" w:rsidRPr="001C5C03" w:rsidRDefault="001A4B25" w:rsidP="006158C9">
            <w:pPr>
              <w:rPr>
                <w:rFonts w:ascii="Calibri" w:eastAsia="Times New Roman" w:hAnsi="Calibri" w:cs="Calibri"/>
                <w:color w:val="000000"/>
                <w:sz w:val="22"/>
                <w:szCs w:val="22"/>
                <w:lang w:val="en-US" w:eastAsia="de-DE"/>
              </w:rPr>
            </w:pPr>
            <w:r w:rsidRPr="001C5C03">
              <w:rPr>
                <w:rFonts w:ascii="Calibri" w:eastAsia="Times New Roman" w:hAnsi="Calibri" w:cs="Calibri"/>
                <w:color w:val="000000"/>
                <w:sz w:val="22"/>
                <w:szCs w:val="22"/>
                <w:lang w:val="en-US" w:eastAsia="de-DE"/>
              </w:rPr>
              <w:t>Finding it difficult to get to sleep or to stay asleep</w:t>
            </w:r>
          </w:p>
        </w:tc>
        <w:tc>
          <w:tcPr>
            <w:tcW w:w="3019" w:type="dxa"/>
            <w:noWrap/>
            <w:hideMark/>
          </w:tcPr>
          <w:p w14:paraId="216E06DE"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PRO</w:t>
            </w:r>
          </w:p>
        </w:tc>
      </w:tr>
      <w:tr w:rsidR="001A4B25" w:rsidRPr="001C5C03" w14:paraId="7AFFE61E" w14:textId="77777777" w:rsidTr="006158C9">
        <w:trPr>
          <w:trHeight w:val="570"/>
        </w:trPr>
        <w:tc>
          <w:tcPr>
            <w:tcW w:w="3018" w:type="dxa"/>
            <w:hideMark/>
          </w:tcPr>
          <w:p w14:paraId="441D0C00"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Anxiety</w:t>
            </w:r>
          </w:p>
        </w:tc>
        <w:tc>
          <w:tcPr>
            <w:tcW w:w="3019" w:type="dxa"/>
            <w:hideMark/>
          </w:tcPr>
          <w:p w14:paraId="2962358A" w14:textId="77777777" w:rsidR="001A4B25" w:rsidRPr="001C5C03" w:rsidRDefault="001A4B25" w:rsidP="006158C9">
            <w:pPr>
              <w:rPr>
                <w:rFonts w:ascii="Calibri" w:eastAsia="Times New Roman" w:hAnsi="Calibri" w:cs="Calibri"/>
                <w:color w:val="000000"/>
                <w:sz w:val="22"/>
                <w:szCs w:val="22"/>
                <w:lang w:val="en-US" w:eastAsia="de-DE"/>
              </w:rPr>
            </w:pPr>
            <w:r w:rsidRPr="001C5C03">
              <w:rPr>
                <w:rFonts w:ascii="Calibri" w:eastAsia="Times New Roman" w:hAnsi="Calibri" w:cs="Calibri"/>
                <w:color w:val="000000"/>
                <w:sz w:val="22"/>
                <w:szCs w:val="22"/>
                <w:lang w:val="en-US" w:eastAsia="de-DE"/>
              </w:rPr>
              <w:t>Feelings of constant worry, or deep concern or uneasy about uncertainties</w:t>
            </w:r>
          </w:p>
        </w:tc>
        <w:tc>
          <w:tcPr>
            <w:tcW w:w="3019" w:type="dxa"/>
            <w:noWrap/>
            <w:hideMark/>
          </w:tcPr>
          <w:p w14:paraId="37ACCB4C"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PRO</w:t>
            </w:r>
          </w:p>
        </w:tc>
      </w:tr>
      <w:tr w:rsidR="001A4B25" w:rsidRPr="001C5C03" w14:paraId="6288F99F" w14:textId="77777777" w:rsidTr="006158C9">
        <w:trPr>
          <w:trHeight w:val="570"/>
        </w:trPr>
        <w:tc>
          <w:tcPr>
            <w:tcW w:w="3018" w:type="dxa"/>
            <w:hideMark/>
          </w:tcPr>
          <w:p w14:paraId="462BFFFD"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Depression</w:t>
            </w:r>
          </w:p>
        </w:tc>
        <w:tc>
          <w:tcPr>
            <w:tcW w:w="3019" w:type="dxa"/>
            <w:hideMark/>
          </w:tcPr>
          <w:p w14:paraId="210866C0" w14:textId="77777777" w:rsidR="001A4B25" w:rsidRPr="001C5C03" w:rsidRDefault="001A4B25" w:rsidP="006158C9">
            <w:pPr>
              <w:rPr>
                <w:rFonts w:ascii="Calibri" w:eastAsia="Times New Roman" w:hAnsi="Calibri" w:cs="Calibri"/>
                <w:color w:val="000000"/>
                <w:sz w:val="22"/>
                <w:szCs w:val="22"/>
                <w:lang w:val="en-US" w:eastAsia="de-DE"/>
              </w:rPr>
            </w:pPr>
            <w:r w:rsidRPr="001C5C03">
              <w:rPr>
                <w:rFonts w:ascii="Calibri" w:eastAsia="Times New Roman" w:hAnsi="Calibri" w:cs="Calibri"/>
                <w:color w:val="000000"/>
                <w:sz w:val="22"/>
                <w:szCs w:val="22"/>
                <w:lang w:val="en-US" w:eastAsia="de-DE"/>
              </w:rPr>
              <w:t>Feelings of severe sadness and unhappiness, often with decreased energy, constant feelings of guilt, doubt or self-blame, worthlessness and hopelessness</w:t>
            </w:r>
          </w:p>
        </w:tc>
        <w:tc>
          <w:tcPr>
            <w:tcW w:w="3019" w:type="dxa"/>
            <w:noWrap/>
            <w:hideMark/>
          </w:tcPr>
          <w:p w14:paraId="5A5AA56C"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PRO</w:t>
            </w:r>
          </w:p>
        </w:tc>
      </w:tr>
      <w:tr w:rsidR="001A4B25" w:rsidRPr="001C5C03" w14:paraId="1AE11100" w14:textId="77777777" w:rsidTr="006158C9">
        <w:trPr>
          <w:trHeight w:val="570"/>
        </w:trPr>
        <w:tc>
          <w:tcPr>
            <w:tcW w:w="3018" w:type="dxa"/>
            <w:noWrap/>
            <w:hideMark/>
          </w:tcPr>
          <w:p w14:paraId="3BDD3D5A"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thrombosis / thromboembolism</w:t>
            </w:r>
          </w:p>
        </w:tc>
        <w:tc>
          <w:tcPr>
            <w:tcW w:w="3019" w:type="dxa"/>
            <w:hideMark/>
          </w:tcPr>
          <w:p w14:paraId="31877173" w14:textId="77777777" w:rsidR="001A4B25" w:rsidRPr="001C5C03" w:rsidRDefault="001A4B25" w:rsidP="006158C9">
            <w:pPr>
              <w:rPr>
                <w:rFonts w:ascii="Calibri" w:eastAsia="Times New Roman" w:hAnsi="Calibri" w:cs="Calibri"/>
                <w:color w:val="000000"/>
                <w:sz w:val="22"/>
                <w:szCs w:val="22"/>
                <w:lang w:val="en-US" w:eastAsia="de-DE"/>
              </w:rPr>
            </w:pPr>
            <w:r w:rsidRPr="001C5C03">
              <w:rPr>
                <w:rFonts w:ascii="Calibri" w:eastAsia="Times New Roman" w:hAnsi="Calibri" w:cs="Calibri"/>
                <w:color w:val="000000"/>
                <w:sz w:val="22"/>
                <w:szCs w:val="22"/>
                <w:lang w:val="en-US" w:eastAsia="de-DE"/>
              </w:rPr>
              <w:t>a blood clot that forms a vein, results in pain or embolisms, thrombosis broke up and travelled e.g. to the lung, that results in dyspnea or ultimatively death</w:t>
            </w:r>
          </w:p>
        </w:tc>
        <w:tc>
          <w:tcPr>
            <w:tcW w:w="3019" w:type="dxa"/>
            <w:noWrap/>
            <w:hideMark/>
          </w:tcPr>
          <w:p w14:paraId="341814C1"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PRO</w:t>
            </w:r>
          </w:p>
        </w:tc>
      </w:tr>
      <w:tr w:rsidR="001A4B25" w:rsidRPr="001C5C03" w14:paraId="249DAF97" w14:textId="77777777" w:rsidTr="006158C9">
        <w:trPr>
          <w:trHeight w:val="570"/>
        </w:trPr>
        <w:tc>
          <w:tcPr>
            <w:tcW w:w="3018" w:type="dxa"/>
            <w:noWrap/>
            <w:hideMark/>
          </w:tcPr>
          <w:p w14:paraId="4755DB28"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bleeding</w:t>
            </w:r>
          </w:p>
        </w:tc>
        <w:tc>
          <w:tcPr>
            <w:tcW w:w="3019" w:type="dxa"/>
            <w:hideMark/>
          </w:tcPr>
          <w:p w14:paraId="43C5632D"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blood loss</w:t>
            </w:r>
          </w:p>
        </w:tc>
        <w:tc>
          <w:tcPr>
            <w:tcW w:w="3019" w:type="dxa"/>
            <w:noWrap/>
            <w:hideMark/>
          </w:tcPr>
          <w:p w14:paraId="067A806E"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PRO</w:t>
            </w:r>
          </w:p>
        </w:tc>
      </w:tr>
      <w:tr w:rsidR="001A4B25" w:rsidRPr="001C5C03" w14:paraId="29E84806" w14:textId="77777777" w:rsidTr="006158C9">
        <w:trPr>
          <w:trHeight w:val="570"/>
        </w:trPr>
        <w:tc>
          <w:tcPr>
            <w:tcW w:w="3018" w:type="dxa"/>
            <w:hideMark/>
          </w:tcPr>
          <w:p w14:paraId="5065ED1A"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hyperviscosity</w:t>
            </w:r>
          </w:p>
        </w:tc>
        <w:tc>
          <w:tcPr>
            <w:tcW w:w="3019" w:type="dxa"/>
            <w:hideMark/>
          </w:tcPr>
          <w:p w14:paraId="7145CF97" w14:textId="77777777" w:rsidR="001A4B25" w:rsidRPr="001C5C03" w:rsidRDefault="001A4B25" w:rsidP="006158C9">
            <w:pPr>
              <w:rPr>
                <w:rFonts w:ascii="Calibri" w:eastAsia="Times New Roman" w:hAnsi="Calibri" w:cs="Calibri"/>
                <w:color w:val="000000"/>
                <w:sz w:val="22"/>
                <w:szCs w:val="22"/>
                <w:lang w:val="en-US" w:eastAsia="de-DE"/>
              </w:rPr>
            </w:pPr>
            <w:r w:rsidRPr="001C5C03">
              <w:rPr>
                <w:rFonts w:ascii="Calibri" w:eastAsia="Times New Roman" w:hAnsi="Calibri" w:cs="Calibri"/>
                <w:color w:val="000000"/>
                <w:sz w:val="22"/>
                <w:szCs w:val="22"/>
                <w:lang w:val="en-US" w:eastAsia="de-DE"/>
              </w:rPr>
              <w:t>because of too many components in the blood, the flow properties change and organ damage can occur</w:t>
            </w:r>
          </w:p>
        </w:tc>
        <w:tc>
          <w:tcPr>
            <w:tcW w:w="3019" w:type="dxa"/>
            <w:noWrap/>
            <w:hideMark/>
          </w:tcPr>
          <w:p w14:paraId="1E39C932"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PRO</w:t>
            </w:r>
          </w:p>
        </w:tc>
      </w:tr>
      <w:tr w:rsidR="001A4B25" w:rsidRPr="001C5C03" w14:paraId="4D281432" w14:textId="77777777" w:rsidTr="006158C9">
        <w:trPr>
          <w:trHeight w:val="570"/>
        </w:trPr>
        <w:tc>
          <w:tcPr>
            <w:tcW w:w="3018" w:type="dxa"/>
            <w:hideMark/>
          </w:tcPr>
          <w:p w14:paraId="4F1FE53F"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Psychosocial function</w:t>
            </w:r>
          </w:p>
        </w:tc>
        <w:tc>
          <w:tcPr>
            <w:tcW w:w="3019" w:type="dxa"/>
            <w:hideMark/>
          </w:tcPr>
          <w:p w14:paraId="15AA7E47" w14:textId="77777777" w:rsidR="001A4B25" w:rsidRPr="001C5C03" w:rsidRDefault="001A4B25" w:rsidP="006158C9">
            <w:pPr>
              <w:rPr>
                <w:rFonts w:ascii="Calibri" w:eastAsia="Times New Roman" w:hAnsi="Calibri" w:cs="Calibri"/>
                <w:color w:val="000000"/>
                <w:sz w:val="22"/>
                <w:szCs w:val="22"/>
                <w:lang w:val="en-US" w:eastAsia="de-DE"/>
              </w:rPr>
            </w:pPr>
            <w:r w:rsidRPr="001C5C03">
              <w:rPr>
                <w:rFonts w:ascii="Calibri" w:eastAsia="Times New Roman" w:hAnsi="Calibri" w:cs="Calibri"/>
                <w:color w:val="000000"/>
                <w:sz w:val="22"/>
                <w:szCs w:val="22"/>
                <w:lang w:val="en-US" w:eastAsia="de-DE"/>
              </w:rPr>
              <w:t>Problems with mental processes of perception, memory, judgment,  reasoning or thinking with an effect on relationships with partner, family and friends including ability to join in with social activities</w:t>
            </w:r>
          </w:p>
        </w:tc>
        <w:tc>
          <w:tcPr>
            <w:tcW w:w="3019" w:type="dxa"/>
            <w:noWrap/>
            <w:hideMark/>
          </w:tcPr>
          <w:p w14:paraId="48BB1BD8"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PRO</w:t>
            </w:r>
          </w:p>
        </w:tc>
      </w:tr>
      <w:tr w:rsidR="001A4B25" w:rsidRPr="001C5C03" w14:paraId="2663C2AA" w14:textId="77777777" w:rsidTr="006158C9">
        <w:trPr>
          <w:trHeight w:val="570"/>
        </w:trPr>
        <w:tc>
          <w:tcPr>
            <w:tcW w:w="3018" w:type="dxa"/>
            <w:hideMark/>
          </w:tcPr>
          <w:p w14:paraId="159B9D21"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 xml:space="preserve">Physical function </w:t>
            </w:r>
          </w:p>
        </w:tc>
        <w:tc>
          <w:tcPr>
            <w:tcW w:w="3019" w:type="dxa"/>
            <w:hideMark/>
          </w:tcPr>
          <w:p w14:paraId="0DE7C219" w14:textId="77777777" w:rsidR="001A4B25" w:rsidRPr="001C5C03" w:rsidRDefault="001A4B25" w:rsidP="006158C9">
            <w:pPr>
              <w:rPr>
                <w:rFonts w:ascii="Calibri" w:eastAsia="Times New Roman" w:hAnsi="Calibri" w:cs="Calibri"/>
                <w:color w:val="000000"/>
                <w:sz w:val="22"/>
                <w:szCs w:val="22"/>
                <w:lang w:val="en-US" w:eastAsia="de-DE"/>
              </w:rPr>
            </w:pPr>
            <w:r w:rsidRPr="001C5C03">
              <w:rPr>
                <w:rFonts w:ascii="Calibri" w:eastAsia="Times New Roman" w:hAnsi="Calibri" w:cs="Calibri"/>
                <w:color w:val="000000"/>
                <w:sz w:val="22"/>
                <w:szCs w:val="22"/>
                <w:lang w:val="en-US" w:eastAsia="de-DE"/>
              </w:rPr>
              <w:t>The effect of M. Waldenstroem or its treatment on day to day physical activities; for example, walking, climbing stairs, driving</w:t>
            </w:r>
          </w:p>
        </w:tc>
        <w:tc>
          <w:tcPr>
            <w:tcW w:w="3019" w:type="dxa"/>
            <w:noWrap/>
            <w:hideMark/>
          </w:tcPr>
          <w:p w14:paraId="0F0DFB06"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PRO</w:t>
            </w:r>
          </w:p>
        </w:tc>
      </w:tr>
      <w:tr w:rsidR="001A4B25" w:rsidRPr="001C5C03" w14:paraId="34436A56" w14:textId="77777777" w:rsidTr="006158C9">
        <w:trPr>
          <w:trHeight w:val="570"/>
        </w:trPr>
        <w:tc>
          <w:tcPr>
            <w:tcW w:w="3018" w:type="dxa"/>
            <w:hideMark/>
          </w:tcPr>
          <w:p w14:paraId="5C2FB10C"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Role function</w:t>
            </w:r>
          </w:p>
        </w:tc>
        <w:tc>
          <w:tcPr>
            <w:tcW w:w="3019" w:type="dxa"/>
            <w:hideMark/>
          </w:tcPr>
          <w:p w14:paraId="2CA80987" w14:textId="77777777" w:rsidR="001A4B25" w:rsidRPr="001C5C03" w:rsidRDefault="001A4B25" w:rsidP="006158C9">
            <w:pPr>
              <w:rPr>
                <w:rFonts w:ascii="Calibri" w:eastAsia="Times New Roman" w:hAnsi="Calibri" w:cs="Calibri"/>
                <w:color w:val="000000"/>
                <w:sz w:val="22"/>
                <w:szCs w:val="22"/>
                <w:lang w:val="en-US" w:eastAsia="de-DE"/>
              </w:rPr>
            </w:pPr>
            <w:r w:rsidRPr="001C5C03">
              <w:rPr>
                <w:rFonts w:ascii="Calibri" w:eastAsia="Times New Roman" w:hAnsi="Calibri" w:cs="Calibri"/>
                <w:color w:val="000000"/>
                <w:sz w:val="22"/>
                <w:szCs w:val="22"/>
                <w:lang w:val="en-US" w:eastAsia="de-DE"/>
              </w:rPr>
              <w:t>The effect of M. Waldenstroem or its treatment on your role; for example, ability to look after children or to work or earn money</w:t>
            </w:r>
          </w:p>
        </w:tc>
        <w:tc>
          <w:tcPr>
            <w:tcW w:w="3019" w:type="dxa"/>
            <w:noWrap/>
            <w:hideMark/>
          </w:tcPr>
          <w:p w14:paraId="458256A9"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PRO</w:t>
            </w:r>
          </w:p>
        </w:tc>
      </w:tr>
      <w:tr w:rsidR="001A4B25" w:rsidRPr="001C5C03" w14:paraId="4179E641" w14:textId="77777777" w:rsidTr="006158C9">
        <w:trPr>
          <w:trHeight w:val="570"/>
        </w:trPr>
        <w:tc>
          <w:tcPr>
            <w:tcW w:w="3018" w:type="dxa"/>
            <w:hideMark/>
          </w:tcPr>
          <w:p w14:paraId="19533006"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lastRenderedPageBreak/>
              <w:t xml:space="preserve">Financial toxicity </w:t>
            </w:r>
          </w:p>
        </w:tc>
        <w:tc>
          <w:tcPr>
            <w:tcW w:w="3019" w:type="dxa"/>
            <w:hideMark/>
          </w:tcPr>
          <w:p w14:paraId="2766144C" w14:textId="77777777" w:rsidR="001A4B25" w:rsidRPr="001C5C03" w:rsidRDefault="001A4B25" w:rsidP="006158C9">
            <w:pPr>
              <w:rPr>
                <w:rFonts w:ascii="Calibri" w:eastAsia="Times New Roman" w:hAnsi="Calibri" w:cs="Calibri"/>
                <w:color w:val="000000"/>
                <w:sz w:val="22"/>
                <w:szCs w:val="22"/>
                <w:lang w:val="en-US" w:eastAsia="de-DE"/>
              </w:rPr>
            </w:pPr>
            <w:r w:rsidRPr="001C5C03">
              <w:rPr>
                <w:rFonts w:ascii="Calibri" w:eastAsia="Times New Roman" w:hAnsi="Calibri" w:cs="Calibri"/>
                <w:color w:val="000000"/>
                <w:sz w:val="22"/>
                <w:szCs w:val="22"/>
                <w:lang w:val="en-US" w:eastAsia="de-DE"/>
              </w:rPr>
              <w:t>Financial losses because of co-payment for medical treatment, and if a patient was working before disease diagnosis or progression, loss of salary during sick leave, which may include leave taken by a carer</w:t>
            </w:r>
          </w:p>
        </w:tc>
        <w:tc>
          <w:tcPr>
            <w:tcW w:w="3019" w:type="dxa"/>
            <w:noWrap/>
            <w:hideMark/>
          </w:tcPr>
          <w:p w14:paraId="12257158"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PRO</w:t>
            </w:r>
          </w:p>
        </w:tc>
      </w:tr>
      <w:tr w:rsidR="001A4B25" w:rsidRPr="001C5C03" w14:paraId="166FEF75" w14:textId="77777777" w:rsidTr="006158C9">
        <w:trPr>
          <w:trHeight w:val="570"/>
        </w:trPr>
        <w:tc>
          <w:tcPr>
            <w:tcW w:w="3018" w:type="dxa"/>
            <w:hideMark/>
          </w:tcPr>
          <w:p w14:paraId="7C8328AC"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Eating and drinking</w:t>
            </w:r>
          </w:p>
        </w:tc>
        <w:tc>
          <w:tcPr>
            <w:tcW w:w="3019" w:type="dxa"/>
            <w:hideMark/>
          </w:tcPr>
          <w:p w14:paraId="4EBC3F40" w14:textId="77777777" w:rsidR="001A4B25" w:rsidRPr="001C5C03" w:rsidRDefault="001A4B25" w:rsidP="006158C9">
            <w:pPr>
              <w:rPr>
                <w:rFonts w:ascii="Calibri" w:eastAsia="Times New Roman" w:hAnsi="Calibri" w:cs="Calibri"/>
                <w:color w:val="000000"/>
                <w:sz w:val="22"/>
                <w:szCs w:val="22"/>
                <w:lang w:val="en-US" w:eastAsia="de-DE"/>
              </w:rPr>
            </w:pPr>
            <w:r w:rsidRPr="001C5C03">
              <w:rPr>
                <w:rFonts w:ascii="Calibri" w:eastAsia="Times New Roman" w:hAnsi="Calibri" w:cs="Calibri"/>
                <w:color w:val="000000"/>
                <w:sz w:val="22"/>
                <w:szCs w:val="22"/>
                <w:lang w:val="en-US" w:eastAsia="de-DE"/>
              </w:rPr>
              <w:t>The effect of M. Waldenstroem or its treatment on eating and drinking</w:t>
            </w:r>
          </w:p>
        </w:tc>
        <w:tc>
          <w:tcPr>
            <w:tcW w:w="3019" w:type="dxa"/>
            <w:noWrap/>
            <w:hideMark/>
          </w:tcPr>
          <w:p w14:paraId="26D36254"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PRO</w:t>
            </w:r>
          </w:p>
        </w:tc>
      </w:tr>
      <w:tr w:rsidR="001A4B25" w:rsidRPr="001C5C03" w14:paraId="3B495A86" w14:textId="77777777" w:rsidTr="006158C9">
        <w:trPr>
          <w:trHeight w:val="570"/>
        </w:trPr>
        <w:tc>
          <w:tcPr>
            <w:tcW w:w="3018" w:type="dxa"/>
            <w:hideMark/>
          </w:tcPr>
          <w:p w14:paraId="5F422528"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Cost of treatment</w:t>
            </w:r>
          </w:p>
        </w:tc>
        <w:tc>
          <w:tcPr>
            <w:tcW w:w="3019" w:type="dxa"/>
            <w:hideMark/>
          </w:tcPr>
          <w:p w14:paraId="07985E94" w14:textId="77777777" w:rsidR="001A4B25" w:rsidRPr="001C5C03" w:rsidRDefault="001A4B25" w:rsidP="006158C9">
            <w:pPr>
              <w:rPr>
                <w:rFonts w:ascii="Calibri" w:eastAsia="Times New Roman" w:hAnsi="Calibri" w:cs="Calibri"/>
                <w:color w:val="000000"/>
                <w:sz w:val="22"/>
                <w:szCs w:val="22"/>
                <w:lang w:val="en-US" w:eastAsia="de-DE"/>
              </w:rPr>
            </w:pPr>
            <w:r w:rsidRPr="001C5C03">
              <w:rPr>
                <w:rFonts w:ascii="Calibri" w:eastAsia="Times New Roman" w:hAnsi="Calibri" w:cs="Calibri"/>
                <w:color w:val="000000"/>
                <w:sz w:val="22"/>
                <w:szCs w:val="22"/>
                <w:lang w:val="en-US" w:eastAsia="de-DE"/>
              </w:rPr>
              <w:t>Money which must be spend on M. Waldenstroem treatment</w:t>
            </w:r>
          </w:p>
        </w:tc>
        <w:tc>
          <w:tcPr>
            <w:tcW w:w="3019" w:type="dxa"/>
            <w:hideMark/>
          </w:tcPr>
          <w:p w14:paraId="7B710E95"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resource use</w:t>
            </w:r>
          </w:p>
        </w:tc>
      </w:tr>
      <w:tr w:rsidR="001A4B25" w:rsidRPr="001C5C03" w14:paraId="079ACE3D" w14:textId="77777777" w:rsidTr="006158C9">
        <w:trPr>
          <w:trHeight w:val="570"/>
        </w:trPr>
        <w:tc>
          <w:tcPr>
            <w:tcW w:w="3018" w:type="dxa"/>
            <w:hideMark/>
          </w:tcPr>
          <w:p w14:paraId="08228BD8"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Emergency Unit admissions</w:t>
            </w:r>
          </w:p>
        </w:tc>
        <w:tc>
          <w:tcPr>
            <w:tcW w:w="3019" w:type="dxa"/>
            <w:hideMark/>
          </w:tcPr>
          <w:p w14:paraId="305B83AF" w14:textId="77777777" w:rsidR="001A4B25" w:rsidRPr="001C5C03" w:rsidRDefault="001A4B25" w:rsidP="006158C9">
            <w:pPr>
              <w:rPr>
                <w:rFonts w:ascii="Calibri" w:eastAsia="Times New Roman" w:hAnsi="Calibri" w:cs="Calibri"/>
                <w:color w:val="000000"/>
                <w:sz w:val="22"/>
                <w:szCs w:val="22"/>
                <w:lang w:val="en-US" w:eastAsia="de-DE"/>
              </w:rPr>
            </w:pPr>
            <w:r w:rsidRPr="001C5C03">
              <w:rPr>
                <w:rFonts w:ascii="Calibri" w:eastAsia="Times New Roman" w:hAnsi="Calibri" w:cs="Calibri"/>
                <w:color w:val="000000"/>
                <w:sz w:val="22"/>
                <w:szCs w:val="22"/>
                <w:lang w:val="en-US" w:eastAsia="de-DE"/>
              </w:rPr>
              <w:t>Emergency or unplanned hospital treatment is necessary</w:t>
            </w:r>
          </w:p>
        </w:tc>
        <w:tc>
          <w:tcPr>
            <w:tcW w:w="3019" w:type="dxa"/>
            <w:hideMark/>
          </w:tcPr>
          <w:p w14:paraId="41D79C7A"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resource use</w:t>
            </w:r>
          </w:p>
        </w:tc>
      </w:tr>
      <w:tr w:rsidR="001A4B25" w:rsidRPr="001C5C03" w14:paraId="56E9F48A" w14:textId="77777777" w:rsidTr="006158C9">
        <w:trPr>
          <w:trHeight w:val="570"/>
        </w:trPr>
        <w:tc>
          <w:tcPr>
            <w:tcW w:w="3018" w:type="dxa"/>
            <w:hideMark/>
          </w:tcPr>
          <w:p w14:paraId="58E6AC70"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Intensive care admissions</w:t>
            </w:r>
          </w:p>
        </w:tc>
        <w:tc>
          <w:tcPr>
            <w:tcW w:w="3019" w:type="dxa"/>
            <w:hideMark/>
          </w:tcPr>
          <w:p w14:paraId="247219F5"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Requirement for treatment on an intensive care ward due to serious or life threatening disease progression or side-effects</w:t>
            </w:r>
          </w:p>
        </w:tc>
        <w:tc>
          <w:tcPr>
            <w:tcW w:w="3019" w:type="dxa"/>
            <w:hideMark/>
          </w:tcPr>
          <w:p w14:paraId="485A9A9A"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resource use</w:t>
            </w:r>
          </w:p>
        </w:tc>
      </w:tr>
      <w:tr w:rsidR="001A4B25" w:rsidRPr="001C5C03" w14:paraId="0FF6EA16" w14:textId="77777777" w:rsidTr="006158C9">
        <w:trPr>
          <w:trHeight w:val="570"/>
        </w:trPr>
        <w:tc>
          <w:tcPr>
            <w:tcW w:w="3018" w:type="dxa"/>
            <w:hideMark/>
          </w:tcPr>
          <w:p w14:paraId="68572FDE"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Outpatient visits</w:t>
            </w:r>
          </w:p>
        </w:tc>
        <w:tc>
          <w:tcPr>
            <w:tcW w:w="3019" w:type="dxa"/>
            <w:hideMark/>
          </w:tcPr>
          <w:p w14:paraId="73D43A67"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Treatment or diagnostic visits in hospital without spending a night there</w:t>
            </w:r>
          </w:p>
        </w:tc>
        <w:tc>
          <w:tcPr>
            <w:tcW w:w="3019" w:type="dxa"/>
            <w:hideMark/>
          </w:tcPr>
          <w:p w14:paraId="2FD16AB2"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resource use</w:t>
            </w:r>
          </w:p>
        </w:tc>
      </w:tr>
      <w:tr w:rsidR="001A4B25" w:rsidRPr="001C5C03" w14:paraId="72F89733" w14:textId="77777777" w:rsidTr="006158C9">
        <w:trPr>
          <w:trHeight w:val="570"/>
        </w:trPr>
        <w:tc>
          <w:tcPr>
            <w:tcW w:w="3018" w:type="dxa"/>
            <w:hideMark/>
          </w:tcPr>
          <w:p w14:paraId="0E7F030B"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Need of caregiver assistance</w:t>
            </w:r>
          </w:p>
        </w:tc>
        <w:tc>
          <w:tcPr>
            <w:tcW w:w="3019" w:type="dxa"/>
            <w:hideMark/>
          </w:tcPr>
          <w:p w14:paraId="39A4878D"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Requirement for assistance given by caregiver (who could be a family member, friend or a professional care giver) in or outside the hospital</w:t>
            </w:r>
          </w:p>
        </w:tc>
        <w:tc>
          <w:tcPr>
            <w:tcW w:w="3019" w:type="dxa"/>
            <w:hideMark/>
          </w:tcPr>
          <w:p w14:paraId="77F0FBCB"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resource use</w:t>
            </w:r>
          </w:p>
        </w:tc>
      </w:tr>
      <w:tr w:rsidR="001A4B25" w:rsidRPr="001C5C03" w14:paraId="49AB3DBA" w14:textId="77777777" w:rsidTr="006158C9">
        <w:trPr>
          <w:trHeight w:val="570"/>
        </w:trPr>
        <w:tc>
          <w:tcPr>
            <w:tcW w:w="3018" w:type="dxa"/>
            <w:hideMark/>
          </w:tcPr>
          <w:p w14:paraId="45CD747E" w14:textId="77777777" w:rsidR="001A4B25" w:rsidRPr="00CC6447" w:rsidRDefault="001A4B25" w:rsidP="006158C9">
            <w:pPr>
              <w:rPr>
                <w:rFonts w:ascii="Calibri" w:eastAsia="Times New Roman" w:hAnsi="Calibri" w:cs="Calibri"/>
                <w:color w:val="000000"/>
                <w:sz w:val="22"/>
                <w:szCs w:val="22"/>
                <w:lang w:val="en-US" w:eastAsia="de-DE"/>
              </w:rPr>
            </w:pPr>
            <w:r w:rsidRPr="00CC6447">
              <w:rPr>
                <w:rFonts w:ascii="Calibri" w:eastAsia="Times New Roman" w:hAnsi="Calibri" w:cs="Calibri"/>
                <w:color w:val="000000"/>
                <w:sz w:val="22"/>
                <w:szCs w:val="22"/>
                <w:lang w:val="en-US" w:eastAsia="de-DE"/>
              </w:rPr>
              <w:t>Complete Response - CR (complete remission)</w:t>
            </w:r>
          </w:p>
        </w:tc>
        <w:tc>
          <w:tcPr>
            <w:tcW w:w="3019" w:type="dxa"/>
            <w:hideMark/>
          </w:tcPr>
          <w:p w14:paraId="75FACE14"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M. Waldenstroem gets better, resulting in no evidence of plasma cells in tissues or bone marrow and negative immunfixation of serum and urine</w:t>
            </w:r>
          </w:p>
        </w:tc>
        <w:tc>
          <w:tcPr>
            <w:tcW w:w="3019" w:type="dxa"/>
            <w:hideMark/>
          </w:tcPr>
          <w:p w14:paraId="31C0B9F8"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type of event</w:t>
            </w:r>
          </w:p>
        </w:tc>
      </w:tr>
      <w:tr w:rsidR="001A4B25" w:rsidRPr="001C5C03" w14:paraId="4E9BCA6F" w14:textId="77777777" w:rsidTr="006158C9">
        <w:trPr>
          <w:trHeight w:val="570"/>
        </w:trPr>
        <w:tc>
          <w:tcPr>
            <w:tcW w:w="3018" w:type="dxa"/>
            <w:hideMark/>
          </w:tcPr>
          <w:p w14:paraId="496BF238" w14:textId="77777777" w:rsidR="001A4B25" w:rsidRPr="001772C4" w:rsidRDefault="001A4B25" w:rsidP="006158C9">
            <w:pPr>
              <w:rPr>
                <w:rFonts w:ascii="Calibri" w:eastAsia="Times New Roman" w:hAnsi="Calibri" w:cs="Calibri"/>
                <w:color w:val="000000"/>
                <w:sz w:val="22"/>
                <w:szCs w:val="22"/>
                <w:lang w:val="fr-FR" w:eastAsia="de-DE"/>
              </w:rPr>
            </w:pPr>
            <w:r w:rsidRPr="001772C4">
              <w:rPr>
                <w:rFonts w:ascii="Calibri" w:eastAsia="Times New Roman" w:hAnsi="Calibri" w:cs="Calibri"/>
                <w:color w:val="000000"/>
                <w:sz w:val="22"/>
                <w:szCs w:val="22"/>
                <w:lang w:val="fr-FR" w:eastAsia="de-DE"/>
              </w:rPr>
              <w:t>Partial Response - PR (partial remission)</w:t>
            </w:r>
          </w:p>
        </w:tc>
        <w:tc>
          <w:tcPr>
            <w:tcW w:w="3019" w:type="dxa"/>
            <w:hideMark/>
          </w:tcPr>
          <w:p w14:paraId="4D382C87"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 xml:space="preserve">M. Waldenstroem gets better, with a substantial reduction of measuable sites or paraprotein burden compared to levels before treatment, but not enough to qualify as CR </w:t>
            </w:r>
          </w:p>
        </w:tc>
        <w:tc>
          <w:tcPr>
            <w:tcW w:w="3019" w:type="dxa"/>
            <w:hideMark/>
          </w:tcPr>
          <w:p w14:paraId="7F111D3E"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type of event</w:t>
            </w:r>
          </w:p>
        </w:tc>
      </w:tr>
      <w:tr w:rsidR="001A4B25" w:rsidRPr="001C5C03" w14:paraId="115FFE00" w14:textId="77777777" w:rsidTr="006158C9">
        <w:trPr>
          <w:trHeight w:val="570"/>
        </w:trPr>
        <w:tc>
          <w:tcPr>
            <w:tcW w:w="3018" w:type="dxa"/>
            <w:hideMark/>
          </w:tcPr>
          <w:p w14:paraId="49B1E85A"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Response -  Stable disease (SD)</w:t>
            </w:r>
          </w:p>
        </w:tc>
        <w:tc>
          <w:tcPr>
            <w:tcW w:w="3019" w:type="dxa"/>
            <w:hideMark/>
          </w:tcPr>
          <w:p w14:paraId="492BB157"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 xml:space="preserve">M. Waldenstroem stays the same after treatment. The cancer is not getting better or worse </w:t>
            </w:r>
          </w:p>
        </w:tc>
        <w:tc>
          <w:tcPr>
            <w:tcW w:w="3019" w:type="dxa"/>
            <w:hideMark/>
          </w:tcPr>
          <w:p w14:paraId="2C3F3EFB"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type of event</w:t>
            </w:r>
          </w:p>
        </w:tc>
      </w:tr>
      <w:tr w:rsidR="001A4B25" w:rsidRPr="001C5C03" w14:paraId="786A3A64" w14:textId="77777777" w:rsidTr="006158C9">
        <w:trPr>
          <w:trHeight w:val="570"/>
        </w:trPr>
        <w:tc>
          <w:tcPr>
            <w:tcW w:w="3018" w:type="dxa"/>
            <w:hideMark/>
          </w:tcPr>
          <w:p w14:paraId="2A9FFF2C"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Very good partial Response (VGPR)</w:t>
            </w:r>
          </w:p>
        </w:tc>
        <w:tc>
          <w:tcPr>
            <w:tcW w:w="3019" w:type="dxa"/>
            <w:hideMark/>
          </w:tcPr>
          <w:p w14:paraId="570D052A"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 xml:space="preserve">Good response that fits special criteria. </w:t>
            </w:r>
          </w:p>
        </w:tc>
        <w:tc>
          <w:tcPr>
            <w:tcW w:w="3019" w:type="dxa"/>
            <w:hideMark/>
          </w:tcPr>
          <w:p w14:paraId="298BEF5B"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type of event</w:t>
            </w:r>
          </w:p>
        </w:tc>
      </w:tr>
      <w:tr w:rsidR="001A4B25" w:rsidRPr="001C5C03" w14:paraId="34FA0A76" w14:textId="77777777" w:rsidTr="006158C9">
        <w:trPr>
          <w:trHeight w:val="570"/>
        </w:trPr>
        <w:tc>
          <w:tcPr>
            <w:tcW w:w="3018" w:type="dxa"/>
            <w:hideMark/>
          </w:tcPr>
          <w:p w14:paraId="1E4F0158"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Minimal response (MR)</w:t>
            </w:r>
          </w:p>
        </w:tc>
        <w:tc>
          <w:tcPr>
            <w:tcW w:w="3019" w:type="dxa"/>
            <w:hideMark/>
          </w:tcPr>
          <w:p w14:paraId="57F35FEA"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 xml:space="preserve">Treatment was not that effective, but the M. Waldenstroem showed a response. </w:t>
            </w:r>
          </w:p>
        </w:tc>
        <w:tc>
          <w:tcPr>
            <w:tcW w:w="3019" w:type="dxa"/>
            <w:hideMark/>
          </w:tcPr>
          <w:p w14:paraId="2EB370C5"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type of event</w:t>
            </w:r>
          </w:p>
        </w:tc>
      </w:tr>
      <w:tr w:rsidR="001A4B25" w:rsidRPr="001C5C03" w14:paraId="2839141F" w14:textId="77777777" w:rsidTr="006158C9">
        <w:trPr>
          <w:trHeight w:val="570"/>
        </w:trPr>
        <w:tc>
          <w:tcPr>
            <w:tcW w:w="3018" w:type="dxa"/>
            <w:hideMark/>
          </w:tcPr>
          <w:p w14:paraId="777022FC"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lastRenderedPageBreak/>
              <w:t>Relapse - Clinical relapse</w:t>
            </w:r>
          </w:p>
        </w:tc>
        <w:tc>
          <w:tcPr>
            <w:tcW w:w="3019" w:type="dxa"/>
            <w:hideMark/>
          </w:tcPr>
          <w:p w14:paraId="23FB20C0"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Symptomatic return of M. Waldenstroem after a patient initially responds well to treatment</w:t>
            </w:r>
          </w:p>
        </w:tc>
        <w:tc>
          <w:tcPr>
            <w:tcW w:w="3019" w:type="dxa"/>
            <w:hideMark/>
          </w:tcPr>
          <w:p w14:paraId="74241B52"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type of event</w:t>
            </w:r>
          </w:p>
        </w:tc>
      </w:tr>
      <w:tr w:rsidR="001A4B25" w:rsidRPr="001C5C03" w14:paraId="3681D97D" w14:textId="77777777" w:rsidTr="006158C9">
        <w:trPr>
          <w:trHeight w:val="570"/>
        </w:trPr>
        <w:tc>
          <w:tcPr>
            <w:tcW w:w="3018" w:type="dxa"/>
            <w:hideMark/>
          </w:tcPr>
          <w:p w14:paraId="30C5C281"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Cause of death</w:t>
            </w:r>
          </w:p>
        </w:tc>
        <w:tc>
          <w:tcPr>
            <w:tcW w:w="3019" w:type="dxa"/>
            <w:hideMark/>
          </w:tcPr>
          <w:p w14:paraId="2DC38F27"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Death for any reason, whether related to M. Waldenstroem or not. This records the specific reason for death, not the time until death</w:t>
            </w:r>
          </w:p>
        </w:tc>
        <w:tc>
          <w:tcPr>
            <w:tcW w:w="3019" w:type="dxa"/>
            <w:hideMark/>
          </w:tcPr>
          <w:p w14:paraId="42579F2A"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type of event</w:t>
            </w:r>
          </w:p>
        </w:tc>
      </w:tr>
      <w:tr w:rsidR="001A4B25" w:rsidRPr="001C5C03" w14:paraId="3FE0CD27" w14:textId="77777777" w:rsidTr="006158C9">
        <w:trPr>
          <w:trHeight w:val="570"/>
        </w:trPr>
        <w:tc>
          <w:tcPr>
            <w:tcW w:w="3018" w:type="dxa"/>
            <w:hideMark/>
          </w:tcPr>
          <w:p w14:paraId="2E8151F9"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Progressive disease (PD)</w:t>
            </w:r>
          </w:p>
        </w:tc>
        <w:tc>
          <w:tcPr>
            <w:tcW w:w="3019" w:type="dxa"/>
            <w:hideMark/>
          </w:tcPr>
          <w:p w14:paraId="323294D3"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Worsening of a patient's M. Waldenstroem defined by a set of specific criteria</w:t>
            </w:r>
          </w:p>
        </w:tc>
        <w:tc>
          <w:tcPr>
            <w:tcW w:w="3019" w:type="dxa"/>
            <w:hideMark/>
          </w:tcPr>
          <w:p w14:paraId="5984348C"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type of event</w:t>
            </w:r>
          </w:p>
        </w:tc>
      </w:tr>
      <w:tr w:rsidR="001A4B25" w:rsidRPr="001C5C03" w14:paraId="7A80C991" w14:textId="77777777" w:rsidTr="006158C9">
        <w:trPr>
          <w:trHeight w:val="570"/>
        </w:trPr>
        <w:tc>
          <w:tcPr>
            <w:tcW w:w="3018" w:type="dxa"/>
            <w:hideMark/>
          </w:tcPr>
          <w:p w14:paraId="2E2B3965"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Overall survival (OS)</w:t>
            </w:r>
          </w:p>
        </w:tc>
        <w:tc>
          <w:tcPr>
            <w:tcW w:w="3019" w:type="dxa"/>
            <w:hideMark/>
          </w:tcPr>
          <w:p w14:paraId="4B45A491"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Length of time that a patient remains alive from either the date of diagnosis or the start of treatment for the M. Waldenstroem</w:t>
            </w:r>
          </w:p>
        </w:tc>
        <w:tc>
          <w:tcPr>
            <w:tcW w:w="3019" w:type="dxa"/>
            <w:hideMark/>
          </w:tcPr>
          <w:p w14:paraId="49C73674"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time to event</w:t>
            </w:r>
          </w:p>
        </w:tc>
      </w:tr>
      <w:tr w:rsidR="001A4B25" w:rsidRPr="001C5C03" w14:paraId="02C86DB3" w14:textId="77777777" w:rsidTr="006158C9">
        <w:trPr>
          <w:trHeight w:val="570"/>
        </w:trPr>
        <w:tc>
          <w:tcPr>
            <w:tcW w:w="3018" w:type="dxa"/>
            <w:hideMark/>
          </w:tcPr>
          <w:p w14:paraId="39C1C02E"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Progression free survival (PFS)</w:t>
            </w:r>
          </w:p>
        </w:tc>
        <w:tc>
          <w:tcPr>
            <w:tcW w:w="3019" w:type="dxa"/>
            <w:hideMark/>
          </w:tcPr>
          <w:p w14:paraId="58F66BF7"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Time until someone’s M. Waldenstroem either gets worse or they die from any cause</w:t>
            </w:r>
          </w:p>
        </w:tc>
        <w:tc>
          <w:tcPr>
            <w:tcW w:w="3019" w:type="dxa"/>
            <w:hideMark/>
          </w:tcPr>
          <w:p w14:paraId="0098D8F9"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time to event</w:t>
            </w:r>
          </w:p>
        </w:tc>
      </w:tr>
      <w:tr w:rsidR="001A4B25" w:rsidRPr="001C5C03" w14:paraId="1DA64391" w14:textId="77777777" w:rsidTr="006158C9">
        <w:trPr>
          <w:trHeight w:val="570"/>
        </w:trPr>
        <w:tc>
          <w:tcPr>
            <w:tcW w:w="3018" w:type="dxa"/>
            <w:hideMark/>
          </w:tcPr>
          <w:p w14:paraId="5E252A11"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Event free survival (EFS)</w:t>
            </w:r>
          </w:p>
        </w:tc>
        <w:tc>
          <w:tcPr>
            <w:tcW w:w="3019" w:type="dxa"/>
            <w:hideMark/>
          </w:tcPr>
          <w:p w14:paraId="52CBC2CC"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Time until someone’s M. Waldenstroem either gets worse, they die from any cause or they stop their treatment because of side-effects</w:t>
            </w:r>
          </w:p>
        </w:tc>
        <w:tc>
          <w:tcPr>
            <w:tcW w:w="3019" w:type="dxa"/>
            <w:hideMark/>
          </w:tcPr>
          <w:p w14:paraId="6DFCFDEC"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time to event</w:t>
            </w:r>
          </w:p>
        </w:tc>
      </w:tr>
      <w:tr w:rsidR="001A4B25" w:rsidRPr="001C5C03" w14:paraId="6DF18D6F" w14:textId="77777777" w:rsidTr="006158C9">
        <w:trPr>
          <w:trHeight w:val="570"/>
        </w:trPr>
        <w:tc>
          <w:tcPr>
            <w:tcW w:w="3018" w:type="dxa"/>
            <w:hideMark/>
          </w:tcPr>
          <w:p w14:paraId="0E7ADCD5"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Duration of response (DOR)</w:t>
            </w:r>
          </w:p>
        </w:tc>
        <w:tc>
          <w:tcPr>
            <w:tcW w:w="3019" w:type="dxa"/>
            <w:hideMark/>
          </w:tcPr>
          <w:p w14:paraId="1A7691FA"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Length of time from responding positively to a treatment to the M. Waldenstroem starting to recur / to get worse</w:t>
            </w:r>
          </w:p>
        </w:tc>
        <w:tc>
          <w:tcPr>
            <w:tcW w:w="3019" w:type="dxa"/>
            <w:hideMark/>
          </w:tcPr>
          <w:p w14:paraId="51CAD8F2"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time to event</w:t>
            </w:r>
          </w:p>
        </w:tc>
      </w:tr>
      <w:tr w:rsidR="001A4B25" w:rsidRPr="001C5C03" w14:paraId="54F94032" w14:textId="77777777" w:rsidTr="006158C9">
        <w:trPr>
          <w:trHeight w:val="570"/>
        </w:trPr>
        <w:tc>
          <w:tcPr>
            <w:tcW w:w="3018" w:type="dxa"/>
            <w:hideMark/>
          </w:tcPr>
          <w:p w14:paraId="66CBCD23"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Time to progression (TTP)</w:t>
            </w:r>
          </w:p>
        </w:tc>
        <w:tc>
          <w:tcPr>
            <w:tcW w:w="3019" w:type="dxa"/>
            <w:hideMark/>
          </w:tcPr>
          <w:p w14:paraId="3389B49F"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Time until someone’s M. Waldenstroem  recurs / gets worse (excluding death)</w:t>
            </w:r>
          </w:p>
        </w:tc>
        <w:tc>
          <w:tcPr>
            <w:tcW w:w="3019" w:type="dxa"/>
            <w:hideMark/>
          </w:tcPr>
          <w:p w14:paraId="44E309BC"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time to event</w:t>
            </w:r>
          </w:p>
        </w:tc>
      </w:tr>
      <w:tr w:rsidR="001A4B25" w:rsidRPr="001C5C03" w14:paraId="433DC758" w14:textId="77777777" w:rsidTr="006158C9">
        <w:trPr>
          <w:trHeight w:val="570"/>
        </w:trPr>
        <w:tc>
          <w:tcPr>
            <w:tcW w:w="3018" w:type="dxa"/>
            <w:hideMark/>
          </w:tcPr>
          <w:p w14:paraId="7920A244"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Treatment free intervall (TFI)</w:t>
            </w:r>
          </w:p>
        </w:tc>
        <w:tc>
          <w:tcPr>
            <w:tcW w:w="3019" w:type="dxa"/>
            <w:hideMark/>
          </w:tcPr>
          <w:p w14:paraId="73FDFE51"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Time from the end of the treatment until the next therapy is needed</w:t>
            </w:r>
          </w:p>
        </w:tc>
        <w:tc>
          <w:tcPr>
            <w:tcW w:w="3019" w:type="dxa"/>
            <w:hideMark/>
          </w:tcPr>
          <w:p w14:paraId="72124DC1"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time to event</w:t>
            </w:r>
          </w:p>
        </w:tc>
      </w:tr>
      <w:tr w:rsidR="001A4B25" w:rsidRPr="001C5C03" w14:paraId="7FBBE96D" w14:textId="77777777" w:rsidTr="006158C9">
        <w:trPr>
          <w:trHeight w:val="570"/>
        </w:trPr>
        <w:tc>
          <w:tcPr>
            <w:tcW w:w="3018" w:type="dxa"/>
            <w:hideMark/>
          </w:tcPr>
          <w:p w14:paraId="341559E7"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Time to next treatment TTNT</w:t>
            </w:r>
          </w:p>
        </w:tc>
        <w:tc>
          <w:tcPr>
            <w:tcW w:w="3019" w:type="dxa"/>
            <w:hideMark/>
          </w:tcPr>
          <w:p w14:paraId="3226D214"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 xml:space="preserve">Time from the end of primary treatment until the institution of the next therapy </w:t>
            </w:r>
          </w:p>
        </w:tc>
        <w:tc>
          <w:tcPr>
            <w:tcW w:w="3019" w:type="dxa"/>
            <w:hideMark/>
          </w:tcPr>
          <w:p w14:paraId="165616F8"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time to event</w:t>
            </w:r>
          </w:p>
        </w:tc>
      </w:tr>
      <w:tr w:rsidR="001A4B25" w:rsidRPr="001C5C03" w14:paraId="21CC5C0D" w14:textId="77777777" w:rsidTr="006158C9">
        <w:trPr>
          <w:trHeight w:val="570"/>
        </w:trPr>
        <w:tc>
          <w:tcPr>
            <w:tcW w:w="3018" w:type="dxa"/>
            <w:hideMark/>
          </w:tcPr>
          <w:p w14:paraId="66F709C9"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Infections</w:t>
            </w:r>
          </w:p>
        </w:tc>
        <w:tc>
          <w:tcPr>
            <w:tcW w:w="3019" w:type="dxa"/>
            <w:hideMark/>
          </w:tcPr>
          <w:p w14:paraId="2E3F425B"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How often and how bad a patient gets sick or picks up a bacterial, viral or fungal infection, that needs antibacterial or antifungal treatment. Number of bacterial, viral or fungal infections, that needs antibacterial or antifungal treatment</w:t>
            </w:r>
          </w:p>
        </w:tc>
        <w:tc>
          <w:tcPr>
            <w:tcW w:w="3019" w:type="dxa"/>
            <w:hideMark/>
          </w:tcPr>
          <w:p w14:paraId="4BE16AD5"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clinical parameter</w:t>
            </w:r>
          </w:p>
        </w:tc>
      </w:tr>
      <w:tr w:rsidR="001A4B25" w:rsidRPr="001C5C03" w14:paraId="5E6BDBFF" w14:textId="77777777" w:rsidTr="006158C9">
        <w:trPr>
          <w:trHeight w:val="570"/>
        </w:trPr>
        <w:tc>
          <w:tcPr>
            <w:tcW w:w="3018" w:type="dxa"/>
            <w:hideMark/>
          </w:tcPr>
          <w:p w14:paraId="37F41D10"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Transfusions indepence</w:t>
            </w:r>
          </w:p>
        </w:tc>
        <w:tc>
          <w:tcPr>
            <w:tcW w:w="3019" w:type="dxa"/>
            <w:hideMark/>
          </w:tcPr>
          <w:p w14:paraId="2B0BCD73"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Need of red cell or platelet transfusions</w:t>
            </w:r>
          </w:p>
        </w:tc>
        <w:tc>
          <w:tcPr>
            <w:tcW w:w="3019" w:type="dxa"/>
            <w:hideMark/>
          </w:tcPr>
          <w:p w14:paraId="7ED5780F"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clinical parameter</w:t>
            </w:r>
          </w:p>
        </w:tc>
      </w:tr>
      <w:tr w:rsidR="001A4B25" w:rsidRPr="001C5C03" w14:paraId="0E40AAA5" w14:textId="77777777" w:rsidTr="006158C9">
        <w:trPr>
          <w:trHeight w:val="570"/>
        </w:trPr>
        <w:tc>
          <w:tcPr>
            <w:tcW w:w="3018" w:type="dxa"/>
            <w:hideMark/>
          </w:tcPr>
          <w:p w14:paraId="6AE3ABE9" w14:textId="77777777" w:rsidR="001A4B25" w:rsidRPr="00CC6447" w:rsidRDefault="001A4B25" w:rsidP="006158C9">
            <w:pPr>
              <w:rPr>
                <w:rFonts w:ascii="Calibri" w:eastAsia="Times New Roman" w:hAnsi="Calibri" w:cs="Calibri"/>
                <w:color w:val="000000"/>
                <w:sz w:val="22"/>
                <w:szCs w:val="22"/>
                <w:lang w:val="en-US" w:eastAsia="de-DE"/>
              </w:rPr>
            </w:pPr>
            <w:r w:rsidRPr="00CC6447">
              <w:rPr>
                <w:rFonts w:ascii="Calibri" w:eastAsia="Times New Roman" w:hAnsi="Calibri" w:cs="Calibri"/>
                <w:color w:val="000000"/>
                <w:sz w:val="22"/>
                <w:szCs w:val="22"/>
                <w:lang w:val="en-US" w:eastAsia="de-DE"/>
              </w:rPr>
              <w:lastRenderedPageBreak/>
              <w:t>Minimal residual disease (MRD) molecular</w:t>
            </w:r>
          </w:p>
        </w:tc>
        <w:tc>
          <w:tcPr>
            <w:tcW w:w="3019" w:type="dxa"/>
            <w:hideMark/>
          </w:tcPr>
          <w:p w14:paraId="3B470786"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The level of M. Waldenstroem that can be detected as measured by using a DNA sequencing technique</w:t>
            </w:r>
          </w:p>
        </w:tc>
        <w:tc>
          <w:tcPr>
            <w:tcW w:w="3019" w:type="dxa"/>
            <w:hideMark/>
          </w:tcPr>
          <w:p w14:paraId="2EF87F84"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clinical parameter</w:t>
            </w:r>
          </w:p>
        </w:tc>
      </w:tr>
      <w:tr w:rsidR="001A4B25" w:rsidRPr="001C5C03" w14:paraId="4FFD09A6" w14:textId="77777777" w:rsidTr="006158C9">
        <w:trPr>
          <w:trHeight w:val="570"/>
        </w:trPr>
        <w:tc>
          <w:tcPr>
            <w:tcW w:w="3018" w:type="dxa"/>
            <w:hideMark/>
          </w:tcPr>
          <w:p w14:paraId="61DF3E8D"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Minimal residual disease (MRD) imaging</w:t>
            </w:r>
          </w:p>
        </w:tc>
        <w:tc>
          <w:tcPr>
            <w:tcW w:w="3019" w:type="dxa"/>
            <w:hideMark/>
          </w:tcPr>
          <w:p w14:paraId="4C6F936B"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The level of M. Waldenstroem that can be detected as measured by using a CT or PET-CT scan</w:t>
            </w:r>
          </w:p>
        </w:tc>
        <w:tc>
          <w:tcPr>
            <w:tcW w:w="3019" w:type="dxa"/>
            <w:hideMark/>
          </w:tcPr>
          <w:p w14:paraId="6F7754CC"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clinical parameter</w:t>
            </w:r>
          </w:p>
        </w:tc>
      </w:tr>
      <w:tr w:rsidR="001A4B25" w:rsidRPr="001C5C03" w14:paraId="5A58290E" w14:textId="77777777" w:rsidTr="006158C9">
        <w:trPr>
          <w:trHeight w:val="570"/>
        </w:trPr>
        <w:tc>
          <w:tcPr>
            <w:tcW w:w="3018" w:type="dxa"/>
            <w:hideMark/>
          </w:tcPr>
          <w:p w14:paraId="396802BE"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Minimal residual disease (MRD) flowcytometric</w:t>
            </w:r>
          </w:p>
        </w:tc>
        <w:tc>
          <w:tcPr>
            <w:tcW w:w="3019" w:type="dxa"/>
            <w:hideMark/>
          </w:tcPr>
          <w:p w14:paraId="663DF9E7"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The level of M. Waldenstroem that can be detected as measured by using flowcytometry</w:t>
            </w:r>
          </w:p>
        </w:tc>
        <w:tc>
          <w:tcPr>
            <w:tcW w:w="3019" w:type="dxa"/>
            <w:hideMark/>
          </w:tcPr>
          <w:p w14:paraId="72A90CAC"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clinical parameter</w:t>
            </w:r>
          </w:p>
        </w:tc>
      </w:tr>
      <w:tr w:rsidR="001A4B25" w:rsidRPr="001C5C03" w14:paraId="39A509C1" w14:textId="77777777" w:rsidTr="006158C9">
        <w:trPr>
          <w:trHeight w:val="570"/>
        </w:trPr>
        <w:tc>
          <w:tcPr>
            <w:tcW w:w="3018" w:type="dxa"/>
            <w:hideMark/>
          </w:tcPr>
          <w:p w14:paraId="032BE09F"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AEs (adverse events) and SAEs (serious adverse event)</w:t>
            </w:r>
          </w:p>
        </w:tc>
        <w:tc>
          <w:tcPr>
            <w:tcW w:w="3019" w:type="dxa"/>
            <w:hideMark/>
          </w:tcPr>
          <w:p w14:paraId="4554E1C5"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A negative event or side-effect that happens during or after treatment, a clinical decision classified according to the latest "Common Terminology Criteria for Adverse Events", a descriptive terminology of adverse events. For each adverse event there is a grading for severity</w:t>
            </w:r>
          </w:p>
        </w:tc>
        <w:tc>
          <w:tcPr>
            <w:tcW w:w="3019" w:type="dxa"/>
            <w:hideMark/>
          </w:tcPr>
          <w:p w14:paraId="64660A46"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safety outcome</w:t>
            </w:r>
          </w:p>
        </w:tc>
      </w:tr>
      <w:tr w:rsidR="001A4B25" w:rsidRPr="001C5C03" w14:paraId="05A7A836" w14:textId="77777777" w:rsidTr="006158C9">
        <w:trPr>
          <w:trHeight w:val="570"/>
        </w:trPr>
        <w:tc>
          <w:tcPr>
            <w:tcW w:w="3018" w:type="dxa"/>
            <w:hideMark/>
          </w:tcPr>
          <w:p w14:paraId="0B74014A"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Medication adherence</w:t>
            </w:r>
          </w:p>
        </w:tc>
        <w:tc>
          <w:tcPr>
            <w:tcW w:w="3019" w:type="dxa"/>
            <w:hideMark/>
          </w:tcPr>
          <w:p w14:paraId="7C6234FE"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 xml:space="preserve">Patients take their medication as prescribed by the doctor </w:t>
            </w:r>
          </w:p>
        </w:tc>
        <w:tc>
          <w:tcPr>
            <w:tcW w:w="3019" w:type="dxa"/>
            <w:hideMark/>
          </w:tcPr>
          <w:p w14:paraId="5E97EE8E"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safety outcome</w:t>
            </w:r>
          </w:p>
        </w:tc>
      </w:tr>
      <w:tr w:rsidR="001A4B25" w:rsidRPr="001C5C03" w14:paraId="54F03C57" w14:textId="77777777" w:rsidTr="006158C9">
        <w:trPr>
          <w:trHeight w:val="570"/>
        </w:trPr>
        <w:tc>
          <w:tcPr>
            <w:tcW w:w="3018" w:type="dxa"/>
            <w:hideMark/>
          </w:tcPr>
          <w:p w14:paraId="0BECE54E"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Discontinuation of treatment</w:t>
            </w:r>
          </w:p>
        </w:tc>
        <w:tc>
          <w:tcPr>
            <w:tcW w:w="3019" w:type="dxa"/>
            <w:hideMark/>
          </w:tcPr>
          <w:p w14:paraId="1A2591F8"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Patient decides to stop  treatment themselves or under the direction of his/her doctor for any reason other than finishing a course of treatment</w:t>
            </w:r>
          </w:p>
        </w:tc>
        <w:tc>
          <w:tcPr>
            <w:tcW w:w="3019" w:type="dxa"/>
            <w:hideMark/>
          </w:tcPr>
          <w:p w14:paraId="2E5D8626"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safety outcome</w:t>
            </w:r>
          </w:p>
        </w:tc>
      </w:tr>
      <w:tr w:rsidR="001A4B25" w:rsidRPr="001C5C03" w14:paraId="0D630AB1" w14:textId="77777777" w:rsidTr="006158C9">
        <w:trPr>
          <w:trHeight w:val="570"/>
        </w:trPr>
        <w:tc>
          <w:tcPr>
            <w:tcW w:w="3018" w:type="dxa"/>
            <w:hideMark/>
          </w:tcPr>
          <w:p w14:paraId="1F47BBF6"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Hematological toxicity</w:t>
            </w:r>
          </w:p>
        </w:tc>
        <w:tc>
          <w:tcPr>
            <w:tcW w:w="3019" w:type="dxa"/>
            <w:hideMark/>
          </w:tcPr>
          <w:p w14:paraId="1E02847E"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Side-effects that cause changes in the blood or number of blood cells (e.g. anemia, leukopenia, thrombocytopenia, among others)</w:t>
            </w:r>
          </w:p>
        </w:tc>
        <w:tc>
          <w:tcPr>
            <w:tcW w:w="3019" w:type="dxa"/>
            <w:hideMark/>
          </w:tcPr>
          <w:p w14:paraId="61A18B1F"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safety outcome</w:t>
            </w:r>
          </w:p>
        </w:tc>
      </w:tr>
      <w:tr w:rsidR="001A4B25" w:rsidRPr="001C5C03" w14:paraId="7C2F8DEA" w14:textId="77777777" w:rsidTr="006158C9">
        <w:trPr>
          <w:trHeight w:val="570"/>
        </w:trPr>
        <w:tc>
          <w:tcPr>
            <w:tcW w:w="3018" w:type="dxa"/>
            <w:hideMark/>
          </w:tcPr>
          <w:p w14:paraId="2B9DE764"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Non-Hematological toxicity</w:t>
            </w:r>
          </w:p>
        </w:tc>
        <w:tc>
          <w:tcPr>
            <w:tcW w:w="3019" w:type="dxa"/>
            <w:hideMark/>
          </w:tcPr>
          <w:p w14:paraId="63C2BEEB"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Side-effects that cause changes anywhere other than in the blood, e.g. nausea, neuropathy, mucositis, renal or liver failure, infections</w:t>
            </w:r>
          </w:p>
        </w:tc>
        <w:tc>
          <w:tcPr>
            <w:tcW w:w="3019" w:type="dxa"/>
            <w:hideMark/>
          </w:tcPr>
          <w:p w14:paraId="4123242C"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safety outcome</w:t>
            </w:r>
          </w:p>
        </w:tc>
      </w:tr>
      <w:tr w:rsidR="001A4B25" w:rsidRPr="001C5C03" w14:paraId="36402498" w14:textId="77777777" w:rsidTr="006158C9">
        <w:trPr>
          <w:trHeight w:val="570"/>
        </w:trPr>
        <w:tc>
          <w:tcPr>
            <w:tcW w:w="3018" w:type="dxa"/>
            <w:hideMark/>
          </w:tcPr>
          <w:p w14:paraId="4764335B"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neurological adverse events</w:t>
            </w:r>
          </w:p>
        </w:tc>
        <w:tc>
          <w:tcPr>
            <w:tcW w:w="3019" w:type="dxa"/>
            <w:hideMark/>
          </w:tcPr>
          <w:p w14:paraId="6A1312E2"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 xml:space="preserve">Side-effects that causes neurological symptoms </w:t>
            </w:r>
          </w:p>
        </w:tc>
        <w:tc>
          <w:tcPr>
            <w:tcW w:w="3019" w:type="dxa"/>
            <w:hideMark/>
          </w:tcPr>
          <w:p w14:paraId="78C8465C"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safety outcome</w:t>
            </w:r>
          </w:p>
        </w:tc>
      </w:tr>
      <w:tr w:rsidR="001A4B25" w:rsidRPr="001C5C03" w14:paraId="74D9B8CC" w14:textId="77777777" w:rsidTr="006158C9">
        <w:trPr>
          <w:trHeight w:val="570"/>
        </w:trPr>
        <w:tc>
          <w:tcPr>
            <w:tcW w:w="3018" w:type="dxa"/>
            <w:hideMark/>
          </w:tcPr>
          <w:p w14:paraId="55C8A7B8"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Tolerability related outcomes</w:t>
            </w:r>
          </w:p>
        </w:tc>
        <w:tc>
          <w:tcPr>
            <w:tcW w:w="3019" w:type="dxa"/>
            <w:hideMark/>
          </w:tcPr>
          <w:p w14:paraId="0DD72925"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Measurement of how well patients are able to manage side-effects and whether they need to reduce dose or stop treatment as a result</w:t>
            </w:r>
          </w:p>
        </w:tc>
        <w:tc>
          <w:tcPr>
            <w:tcW w:w="3019" w:type="dxa"/>
            <w:hideMark/>
          </w:tcPr>
          <w:p w14:paraId="1252281E"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safety outcome</w:t>
            </w:r>
          </w:p>
        </w:tc>
      </w:tr>
      <w:tr w:rsidR="001A4B25" w:rsidRPr="001C5C03" w14:paraId="7F26D636" w14:textId="77777777" w:rsidTr="006158C9">
        <w:trPr>
          <w:trHeight w:val="570"/>
        </w:trPr>
        <w:tc>
          <w:tcPr>
            <w:tcW w:w="3018" w:type="dxa"/>
            <w:hideMark/>
          </w:tcPr>
          <w:p w14:paraId="5F936943"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t>Second primary malignancies (SPM)</w:t>
            </w:r>
          </w:p>
        </w:tc>
        <w:tc>
          <w:tcPr>
            <w:tcW w:w="3019" w:type="dxa"/>
            <w:hideMark/>
          </w:tcPr>
          <w:p w14:paraId="353A129F" w14:textId="77777777" w:rsidR="001A4B25" w:rsidRPr="001772C4" w:rsidRDefault="001A4B25" w:rsidP="006158C9">
            <w:pPr>
              <w:rPr>
                <w:rFonts w:ascii="Calibri" w:eastAsia="Times New Roman" w:hAnsi="Calibri" w:cs="Calibri"/>
                <w:color w:val="000000"/>
                <w:sz w:val="22"/>
                <w:szCs w:val="22"/>
                <w:lang w:val="en-US" w:eastAsia="de-DE"/>
              </w:rPr>
            </w:pPr>
            <w:r w:rsidRPr="001772C4">
              <w:rPr>
                <w:rFonts w:ascii="Calibri" w:eastAsia="Times New Roman" w:hAnsi="Calibri" w:cs="Calibri"/>
                <w:color w:val="000000"/>
                <w:sz w:val="22"/>
                <w:szCs w:val="22"/>
                <w:lang w:val="en-US" w:eastAsia="de-DE"/>
              </w:rPr>
              <w:t xml:space="preserve">A new cancer occurring in someone who has had a cancer in the past. It is different to recurrence, which </w:t>
            </w:r>
            <w:r w:rsidRPr="001772C4">
              <w:rPr>
                <w:rFonts w:ascii="Calibri" w:eastAsia="Times New Roman" w:hAnsi="Calibri" w:cs="Calibri"/>
                <w:color w:val="000000"/>
                <w:sz w:val="22"/>
                <w:szCs w:val="22"/>
                <w:lang w:val="en-US" w:eastAsia="de-DE"/>
              </w:rPr>
              <w:lastRenderedPageBreak/>
              <w:t xml:space="preserve">is where the original cancer has returned </w:t>
            </w:r>
          </w:p>
        </w:tc>
        <w:tc>
          <w:tcPr>
            <w:tcW w:w="3019" w:type="dxa"/>
            <w:hideMark/>
          </w:tcPr>
          <w:p w14:paraId="0FE92B17" w14:textId="77777777" w:rsidR="001A4B25" w:rsidRPr="001C5C03" w:rsidRDefault="001A4B25" w:rsidP="006158C9">
            <w:pPr>
              <w:rPr>
                <w:rFonts w:ascii="Calibri" w:eastAsia="Times New Roman" w:hAnsi="Calibri" w:cs="Calibri"/>
                <w:color w:val="000000"/>
                <w:sz w:val="22"/>
                <w:szCs w:val="22"/>
                <w:lang w:eastAsia="de-DE"/>
              </w:rPr>
            </w:pPr>
            <w:r w:rsidRPr="001C5C03">
              <w:rPr>
                <w:rFonts w:ascii="Calibri" w:eastAsia="Times New Roman" w:hAnsi="Calibri" w:cs="Calibri"/>
                <w:color w:val="000000"/>
                <w:sz w:val="22"/>
                <w:szCs w:val="22"/>
                <w:lang w:eastAsia="de-DE"/>
              </w:rPr>
              <w:lastRenderedPageBreak/>
              <w:t>safety outcome</w:t>
            </w:r>
          </w:p>
        </w:tc>
      </w:tr>
    </w:tbl>
    <w:p w14:paraId="030DB552" w14:textId="77777777" w:rsidR="005F1D97" w:rsidRDefault="001A4B25"/>
    <w:sectPr w:rsidR="005F1D97" w:rsidSect="004657B4">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B25"/>
    <w:rsid w:val="001A4B25"/>
    <w:rsid w:val="002F389F"/>
    <w:rsid w:val="004657B4"/>
    <w:rsid w:val="00514A30"/>
    <w:rsid w:val="005320D5"/>
    <w:rsid w:val="006E0786"/>
    <w:rsid w:val="00752C32"/>
    <w:rsid w:val="00AD6B4B"/>
    <w:rsid w:val="00BD7469"/>
    <w:rsid w:val="00CF587E"/>
    <w:rsid w:val="00F77171"/>
    <w:rsid w:val="00FB7B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39AC9667"/>
  <w15:chartTrackingRefBased/>
  <w15:docId w15:val="{6DDBE73C-1E1C-484D-BD00-A21FB2B63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A4B2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A4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1170</Words>
  <Characters>7377</Characters>
  <Application>Microsoft Office Word</Application>
  <DocSecurity>0</DocSecurity>
  <Lines>61</Lines>
  <Paragraphs>17</Paragraphs>
  <ScaleCrop>false</ScaleCrop>
  <Company/>
  <LinksUpToDate>false</LinksUpToDate>
  <CharactersWithSpaces>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Katharina Lang</dc:creator>
  <cp:keywords/>
  <dc:description/>
  <cp:lastModifiedBy>Katharina Lang</cp:lastModifiedBy>
  <cp:revision>1</cp:revision>
  <dcterms:created xsi:type="dcterms:W3CDTF">2024-03-20T12:01:00Z</dcterms:created>
  <dcterms:modified xsi:type="dcterms:W3CDTF">2024-03-20T12:02:00Z</dcterms:modified>
</cp:coreProperties>
</file>