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4C36" w:rsidRPr="00BE6C28" w:rsidRDefault="004B4C36" w:rsidP="004B4C36">
      <w:pPr>
        <w:spacing w:before="240" w:after="240" w:line="240" w:lineRule="auto"/>
        <w:jc w:val="both"/>
        <w:rPr>
          <w:rFonts w:eastAsia="Times New Roman" w:cstheme="minorHAnsi"/>
          <w:b/>
          <w:sz w:val="24"/>
          <w:szCs w:val="24"/>
          <w:lang w:val="en-US" w:eastAsia="fr-FR"/>
        </w:rPr>
      </w:pPr>
      <w:r w:rsidRPr="00BE6C28">
        <w:rPr>
          <w:rFonts w:eastAsia="Times New Roman" w:cstheme="minorHAnsi"/>
          <w:b/>
          <w:sz w:val="24"/>
          <w:szCs w:val="24"/>
          <w:lang w:val="en-US" w:eastAsia="fr-FR"/>
        </w:rPr>
        <w:t>Supplementary materials</w:t>
      </w:r>
    </w:p>
    <w:p w:rsidR="004B4C36" w:rsidRDefault="004B4C36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  <w:r>
        <w:rPr>
          <w:noProof/>
          <w:lang w:eastAsia="fr-FR"/>
        </w:rPr>
        <w:drawing>
          <wp:inline distT="0" distB="0" distL="0" distR="0" wp14:anchorId="65F4EA61" wp14:editId="7FD08571">
            <wp:extent cx="5760720" cy="3632835"/>
            <wp:effectExtent l="0" t="0" r="0" b="5715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32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4C36" w:rsidRPr="000A0914" w:rsidRDefault="004B4C36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  <w:r w:rsidRPr="0028792C">
        <w:rPr>
          <w:rFonts w:eastAsia="Times New Roman" w:cstheme="minorHAnsi"/>
          <w:b/>
          <w:sz w:val="24"/>
          <w:szCs w:val="24"/>
          <w:lang w:val="en-US" w:eastAsia="fr-FR"/>
        </w:rPr>
        <w:t xml:space="preserve">Figure S1. Correlation of RNA </w:t>
      </w:r>
      <w:proofErr w:type="gramStart"/>
      <w:r w:rsidRPr="0028792C">
        <w:rPr>
          <w:rFonts w:eastAsia="Times New Roman" w:cstheme="minorHAnsi"/>
          <w:b/>
          <w:sz w:val="24"/>
          <w:szCs w:val="24"/>
          <w:lang w:val="en-US" w:eastAsia="fr-FR"/>
        </w:rPr>
        <w:t>viruses</w:t>
      </w:r>
      <w:proofErr w:type="gramEnd"/>
      <w:r w:rsidRPr="0028792C">
        <w:rPr>
          <w:rFonts w:eastAsia="Times New Roman" w:cstheme="minorHAnsi"/>
          <w:b/>
          <w:sz w:val="24"/>
          <w:szCs w:val="24"/>
          <w:lang w:val="en-US" w:eastAsia="fr-FR"/>
        </w:rPr>
        <w:t xml:space="preserve"> expression between </w:t>
      </w:r>
      <w:proofErr w:type="spellStart"/>
      <w:r w:rsidRPr="0028792C">
        <w:rPr>
          <w:rFonts w:eastAsia="Times New Roman" w:cstheme="minorHAnsi"/>
          <w:b/>
          <w:sz w:val="24"/>
          <w:szCs w:val="24"/>
          <w:lang w:val="en-US" w:eastAsia="fr-FR"/>
        </w:rPr>
        <w:t>vmNGS</w:t>
      </w:r>
      <w:proofErr w:type="spellEnd"/>
      <w:r w:rsidRPr="0028792C">
        <w:rPr>
          <w:rFonts w:eastAsia="Times New Roman" w:cstheme="minorHAnsi"/>
          <w:b/>
          <w:sz w:val="24"/>
          <w:szCs w:val="24"/>
          <w:lang w:val="en-US" w:eastAsia="fr-FR"/>
        </w:rPr>
        <w:t xml:space="preserve"> and </w:t>
      </w:r>
      <w:proofErr w:type="spellStart"/>
      <w:r w:rsidRPr="0028792C">
        <w:rPr>
          <w:rFonts w:eastAsia="Times New Roman" w:cstheme="minorHAnsi"/>
          <w:b/>
          <w:sz w:val="24"/>
          <w:szCs w:val="24"/>
          <w:lang w:val="en-US" w:eastAsia="fr-FR"/>
        </w:rPr>
        <w:t>metaRNA</w:t>
      </w:r>
      <w:proofErr w:type="spellEnd"/>
      <w:r w:rsidRPr="0028792C">
        <w:rPr>
          <w:rFonts w:eastAsia="Times New Roman" w:cstheme="minorHAnsi"/>
          <w:b/>
          <w:sz w:val="24"/>
          <w:szCs w:val="24"/>
          <w:lang w:val="en-US" w:eastAsia="fr-FR"/>
        </w:rPr>
        <w:t>-Seq.</w:t>
      </w:r>
      <w:r>
        <w:rPr>
          <w:rFonts w:eastAsia="Times New Roman" w:cstheme="minorHAnsi"/>
          <w:sz w:val="24"/>
          <w:szCs w:val="24"/>
          <w:lang w:val="en-US" w:eastAsia="fr-FR"/>
        </w:rPr>
        <w:t xml:space="preserve"> Each </w:t>
      </w:r>
      <w:proofErr w:type="spellStart"/>
      <w:r>
        <w:rPr>
          <w:rFonts w:eastAsia="Times New Roman" w:cstheme="minorHAnsi"/>
          <w:sz w:val="24"/>
          <w:szCs w:val="24"/>
          <w:lang w:val="en-US" w:eastAsia="fr-FR"/>
        </w:rPr>
        <w:t>colour</w:t>
      </w:r>
      <w:proofErr w:type="spellEnd"/>
      <w:r>
        <w:rPr>
          <w:rFonts w:eastAsia="Times New Roman" w:cstheme="minorHAnsi"/>
          <w:sz w:val="24"/>
          <w:szCs w:val="24"/>
          <w:lang w:val="en-US" w:eastAsia="fr-FR"/>
        </w:rPr>
        <w:t xml:space="preserve"> represents a viral family. All hits </w:t>
      </w:r>
      <w:proofErr w:type="gramStart"/>
      <w:r>
        <w:rPr>
          <w:rFonts w:eastAsia="Times New Roman" w:cstheme="minorHAnsi"/>
          <w:sz w:val="24"/>
          <w:szCs w:val="24"/>
          <w:lang w:val="en-US" w:eastAsia="fr-FR"/>
        </w:rPr>
        <w:t>are expressed</w:t>
      </w:r>
      <w:proofErr w:type="gramEnd"/>
      <w:r>
        <w:rPr>
          <w:rFonts w:eastAsia="Times New Roman" w:cstheme="minorHAnsi"/>
          <w:sz w:val="24"/>
          <w:szCs w:val="24"/>
          <w:lang w:val="en-US" w:eastAsia="fr-FR"/>
        </w:rPr>
        <w:t xml:space="preserve"> in additive log-ratio (ALR) with MS2 as reference. The blue line corresponds to the regression curve.</w:t>
      </w:r>
    </w:p>
    <w:p w:rsidR="004B4C36" w:rsidRDefault="004B4C36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  <w:r>
        <w:rPr>
          <w:noProof/>
          <w:lang w:eastAsia="fr-FR"/>
        </w:rPr>
        <w:drawing>
          <wp:inline distT="0" distB="0" distL="0" distR="0" wp14:anchorId="7D9C4A11" wp14:editId="6FD25E7E">
            <wp:extent cx="3276600" cy="3279851"/>
            <wp:effectExtent l="0" t="0" r="0" b="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79891" cy="3283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4C36" w:rsidRPr="000A0914" w:rsidRDefault="004B4C36" w:rsidP="004B4C36">
      <w:pPr>
        <w:spacing w:before="240" w:after="240" w:line="240" w:lineRule="auto"/>
        <w:jc w:val="both"/>
        <w:rPr>
          <w:rFonts w:eastAsia="Times New Roman" w:cstheme="minorHAnsi"/>
          <w:b/>
          <w:sz w:val="24"/>
          <w:szCs w:val="24"/>
          <w:lang w:val="en-US" w:eastAsia="fr-FR"/>
        </w:rPr>
      </w:pPr>
      <w:r w:rsidRPr="000A0914">
        <w:rPr>
          <w:rFonts w:eastAsia="Times New Roman" w:cstheme="minorHAnsi"/>
          <w:b/>
          <w:sz w:val="24"/>
          <w:szCs w:val="24"/>
          <w:lang w:val="en-US" w:eastAsia="fr-FR"/>
        </w:rPr>
        <w:t xml:space="preserve">Figure S2. Correlation of RSV Cycle thresholds obtained by RT-PCR and </w:t>
      </w:r>
      <w:proofErr w:type="spellStart"/>
      <w:r w:rsidRPr="001D285C">
        <w:rPr>
          <w:rFonts w:eastAsia="Times New Roman" w:cstheme="minorHAnsi"/>
          <w:b/>
          <w:i/>
          <w:sz w:val="24"/>
          <w:szCs w:val="24"/>
          <w:lang w:val="en-US" w:eastAsia="fr-FR"/>
        </w:rPr>
        <w:t>Pneumoviridae</w:t>
      </w:r>
      <w:proofErr w:type="spellEnd"/>
      <w:r w:rsidRPr="000A0914">
        <w:rPr>
          <w:rFonts w:eastAsia="Times New Roman" w:cstheme="minorHAnsi"/>
          <w:b/>
          <w:sz w:val="24"/>
          <w:szCs w:val="24"/>
          <w:lang w:val="en-US" w:eastAsia="fr-FR"/>
        </w:rPr>
        <w:t xml:space="preserve"> ALR for </w:t>
      </w:r>
      <w:proofErr w:type="spellStart"/>
      <w:r w:rsidRPr="000A0914">
        <w:rPr>
          <w:rFonts w:eastAsia="Times New Roman" w:cstheme="minorHAnsi"/>
          <w:b/>
          <w:sz w:val="24"/>
          <w:szCs w:val="24"/>
          <w:lang w:val="en-US" w:eastAsia="fr-FR"/>
        </w:rPr>
        <w:t>metaRNA</w:t>
      </w:r>
      <w:proofErr w:type="spellEnd"/>
      <w:r w:rsidRPr="000A0914">
        <w:rPr>
          <w:rFonts w:eastAsia="Times New Roman" w:cstheme="minorHAnsi"/>
          <w:b/>
          <w:sz w:val="24"/>
          <w:szCs w:val="24"/>
          <w:lang w:val="en-US" w:eastAsia="fr-FR"/>
        </w:rPr>
        <w:t>-Seq.</w:t>
      </w:r>
      <w:r>
        <w:rPr>
          <w:rFonts w:eastAsia="Times New Roman" w:cstheme="minorHAnsi"/>
          <w:b/>
          <w:sz w:val="24"/>
          <w:szCs w:val="24"/>
          <w:lang w:val="en-US" w:eastAsia="fr-FR"/>
        </w:rPr>
        <w:t xml:space="preserve"> </w:t>
      </w:r>
      <w:r w:rsidRPr="000A0914">
        <w:rPr>
          <w:rFonts w:eastAsia="Times New Roman" w:cstheme="minorHAnsi"/>
          <w:sz w:val="24"/>
          <w:szCs w:val="24"/>
          <w:lang w:val="en-US" w:eastAsia="fr-FR"/>
        </w:rPr>
        <w:t>The blue line represents the correlation curve.</w:t>
      </w:r>
    </w:p>
    <w:p w:rsidR="004B4C36" w:rsidRDefault="004B4C36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  <w:r w:rsidRPr="00851A37">
        <w:rPr>
          <w:rFonts w:eastAsia="Times New Roman" w:cstheme="minorHAnsi"/>
          <w:noProof/>
          <w:sz w:val="24"/>
          <w:szCs w:val="24"/>
          <w:lang w:eastAsia="fr-FR"/>
        </w:rPr>
        <w:lastRenderedPageBreak/>
        <w:drawing>
          <wp:inline distT="0" distB="0" distL="0" distR="0" wp14:anchorId="747FEC66" wp14:editId="6A9D0328">
            <wp:extent cx="4993176" cy="3592285"/>
            <wp:effectExtent l="0" t="0" r="0" b="8255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7795" cy="3595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4C36" w:rsidRDefault="004B4C36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  <w:r w:rsidRPr="00763D50">
        <w:rPr>
          <w:rFonts w:eastAsia="Times New Roman" w:cstheme="minorHAnsi"/>
          <w:b/>
          <w:sz w:val="24"/>
          <w:szCs w:val="24"/>
          <w:lang w:val="en-US" w:eastAsia="fr-FR"/>
        </w:rPr>
        <w:t xml:space="preserve">Figure </w:t>
      </w:r>
      <w:r>
        <w:rPr>
          <w:rFonts w:eastAsia="Times New Roman" w:cstheme="minorHAnsi"/>
          <w:b/>
          <w:sz w:val="24"/>
          <w:szCs w:val="24"/>
          <w:lang w:val="en-US" w:eastAsia="fr-FR"/>
        </w:rPr>
        <w:t>S3</w:t>
      </w:r>
      <w:r w:rsidRPr="00763D50">
        <w:rPr>
          <w:rFonts w:eastAsia="Times New Roman" w:cstheme="minorHAnsi"/>
          <w:b/>
          <w:sz w:val="24"/>
          <w:szCs w:val="24"/>
          <w:lang w:val="en-US" w:eastAsia="fr-FR"/>
        </w:rPr>
        <w:t xml:space="preserve">. Comparison of bacterial genera detected </w:t>
      </w:r>
      <w:r>
        <w:rPr>
          <w:rFonts w:eastAsia="Times New Roman" w:cstheme="minorHAnsi"/>
          <w:b/>
          <w:sz w:val="24"/>
          <w:szCs w:val="24"/>
          <w:lang w:val="en-US" w:eastAsia="fr-FR"/>
        </w:rPr>
        <w:t>only by</w:t>
      </w:r>
      <w:r w:rsidRPr="00763D50">
        <w:rPr>
          <w:rFonts w:eastAsia="Times New Roman" w:cstheme="minorHAnsi"/>
          <w:b/>
          <w:sz w:val="24"/>
          <w:szCs w:val="24"/>
          <w:lang w:val="en-US" w:eastAsia="fr-FR"/>
        </w:rPr>
        <w:t xml:space="preserve"> </w:t>
      </w:r>
      <w:proofErr w:type="spellStart"/>
      <w:r w:rsidRPr="00763D50">
        <w:rPr>
          <w:rFonts w:eastAsia="Times New Roman" w:cstheme="minorHAnsi"/>
          <w:b/>
          <w:sz w:val="24"/>
          <w:szCs w:val="24"/>
          <w:lang w:val="en-US" w:eastAsia="fr-FR"/>
        </w:rPr>
        <w:t>metaRNA</w:t>
      </w:r>
      <w:proofErr w:type="spellEnd"/>
      <w:r w:rsidRPr="00763D50">
        <w:rPr>
          <w:rFonts w:eastAsia="Times New Roman" w:cstheme="minorHAnsi"/>
          <w:b/>
          <w:sz w:val="24"/>
          <w:szCs w:val="24"/>
          <w:lang w:val="en-US" w:eastAsia="fr-FR"/>
        </w:rPr>
        <w:t xml:space="preserve">-Seq. </w:t>
      </w:r>
      <w:r>
        <w:rPr>
          <w:rFonts w:eastAsia="Times New Roman" w:cstheme="minorHAnsi"/>
          <w:sz w:val="24"/>
          <w:szCs w:val="24"/>
          <w:lang w:val="en-US" w:eastAsia="fr-FR"/>
        </w:rPr>
        <w:t>The lower panel corresponds to the number of positive samples and the distribution of relative abundances noted for the different bacterial genera.</w:t>
      </w:r>
    </w:p>
    <w:p w:rsidR="004B4C36" w:rsidRDefault="004B4C36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</w:p>
    <w:p w:rsidR="004B4C36" w:rsidRDefault="004B4C36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  <w:r w:rsidRPr="00851A37">
        <w:rPr>
          <w:rFonts w:eastAsia="Times New Roman" w:cstheme="minorHAnsi"/>
          <w:noProof/>
          <w:sz w:val="24"/>
          <w:szCs w:val="24"/>
          <w:lang w:eastAsia="fr-FR"/>
        </w:rPr>
        <w:lastRenderedPageBreak/>
        <w:drawing>
          <wp:inline distT="0" distB="0" distL="0" distR="0" wp14:anchorId="248F0A59" wp14:editId="1E8CB2A1">
            <wp:extent cx="5760720" cy="4163383"/>
            <wp:effectExtent l="0" t="0" r="0" b="889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63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4C36" w:rsidRDefault="004B4C36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  <w:r w:rsidRPr="00763D50">
        <w:rPr>
          <w:rFonts w:eastAsia="Times New Roman" w:cstheme="minorHAnsi"/>
          <w:b/>
          <w:sz w:val="24"/>
          <w:szCs w:val="24"/>
          <w:lang w:val="en-US" w:eastAsia="fr-FR"/>
        </w:rPr>
        <w:t xml:space="preserve">Figure </w:t>
      </w:r>
      <w:r>
        <w:rPr>
          <w:rFonts w:eastAsia="Times New Roman" w:cstheme="minorHAnsi"/>
          <w:b/>
          <w:sz w:val="24"/>
          <w:szCs w:val="24"/>
          <w:lang w:val="en-US" w:eastAsia="fr-FR"/>
        </w:rPr>
        <w:t>S4.</w:t>
      </w:r>
      <w:r w:rsidRPr="00763D50">
        <w:rPr>
          <w:rFonts w:eastAsia="Times New Roman" w:cstheme="minorHAnsi"/>
          <w:b/>
          <w:sz w:val="24"/>
          <w:szCs w:val="24"/>
          <w:lang w:val="en-US" w:eastAsia="fr-FR"/>
        </w:rPr>
        <w:t xml:space="preserve"> Comparison of bacterial genera detected </w:t>
      </w:r>
      <w:r>
        <w:rPr>
          <w:rFonts w:eastAsia="Times New Roman" w:cstheme="minorHAnsi"/>
          <w:b/>
          <w:sz w:val="24"/>
          <w:szCs w:val="24"/>
          <w:lang w:val="en-US" w:eastAsia="fr-FR"/>
        </w:rPr>
        <w:t xml:space="preserve">only </w:t>
      </w:r>
      <w:r w:rsidRPr="00763D50">
        <w:rPr>
          <w:rFonts w:eastAsia="Times New Roman" w:cstheme="minorHAnsi"/>
          <w:b/>
          <w:sz w:val="24"/>
          <w:szCs w:val="24"/>
          <w:lang w:val="en-US" w:eastAsia="fr-FR"/>
        </w:rPr>
        <w:t xml:space="preserve">by 16S-rRNA. </w:t>
      </w:r>
      <w:r>
        <w:rPr>
          <w:rFonts w:eastAsia="Times New Roman" w:cstheme="minorHAnsi"/>
          <w:sz w:val="24"/>
          <w:szCs w:val="24"/>
          <w:lang w:val="en-US" w:eastAsia="fr-FR"/>
        </w:rPr>
        <w:t>The lower panel corresponds to the number of positive samples and the distribution of relative abundances noted for the different bacterial genera.</w:t>
      </w:r>
    </w:p>
    <w:p w:rsidR="004B4C36" w:rsidRDefault="004B4C36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  <w:r>
        <w:rPr>
          <w:noProof/>
          <w:lang w:eastAsia="fr-FR"/>
        </w:rPr>
        <w:lastRenderedPageBreak/>
        <w:drawing>
          <wp:inline distT="0" distB="0" distL="0" distR="0" wp14:anchorId="16AD8A1B" wp14:editId="1A97E974">
            <wp:extent cx="4013200" cy="4008334"/>
            <wp:effectExtent l="0" t="0" r="635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14677" cy="4009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4C36" w:rsidRDefault="004B4C36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  <w:r w:rsidRPr="00763D50">
        <w:rPr>
          <w:rFonts w:eastAsia="Times New Roman" w:cstheme="minorHAnsi"/>
          <w:b/>
          <w:sz w:val="24"/>
          <w:szCs w:val="24"/>
          <w:lang w:val="en-US" w:eastAsia="fr-FR"/>
        </w:rPr>
        <w:t xml:space="preserve">Figure </w:t>
      </w:r>
      <w:r>
        <w:rPr>
          <w:rFonts w:eastAsia="Times New Roman" w:cstheme="minorHAnsi"/>
          <w:b/>
          <w:sz w:val="24"/>
          <w:szCs w:val="24"/>
          <w:lang w:val="en-US" w:eastAsia="fr-FR"/>
        </w:rPr>
        <w:t>S5.</w:t>
      </w:r>
      <w:r w:rsidRPr="00763D50">
        <w:rPr>
          <w:rFonts w:eastAsia="Times New Roman" w:cstheme="minorHAnsi"/>
          <w:b/>
          <w:sz w:val="24"/>
          <w:szCs w:val="24"/>
          <w:lang w:val="en-US" w:eastAsia="fr-FR"/>
        </w:rPr>
        <w:t xml:space="preserve"> </w:t>
      </w:r>
      <w:r>
        <w:rPr>
          <w:rFonts w:eastAsia="Times New Roman" w:cstheme="minorHAnsi"/>
          <w:b/>
          <w:sz w:val="24"/>
          <w:szCs w:val="24"/>
          <w:lang w:val="en-US" w:eastAsia="fr-FR"/>
        </w:rPr>
        <w:t>Non-supervised hierarchical clustering in mRNA-Seq</w:t>
      </w:r>
      <w:r w:rsidRPr="00763D50">
        <w:rPr>
          <w:rFonts w:eastAsia="Times New Roman" w:cstheme="minorHAnsi"/>
          <w:b/>
          <w:sz w:val="24"/>
          <w:szCs w:val="24"/>
          <w:lang w:val="en-US" w:eastAsia="fr-FR"/>
        </w:rPr>
        <w:t xml:space="preserve">. </w:t>
      </w:r>
      <w:r w:rsidRPr="00DE29FA">
        <w:rPr>
          <w:rFonts w:eastAsia="Times New Roman" w:cstheme="minorHAnsi"/>
          <w:sz w:val="24"/>
          <w:szCs w:val="24"/>
          <w:lang w:val="en-US" w:eastAsia="fr-FR"/>
        </w:rPr>
        <w:t>The 2650 genes</w:t>
      </w:r>
      <w:r>
        <w:rPr>
          <w:rFonts w:eastAsia="Times New Roman" w:cstheme="minorHAnsi"/>
          <w:sz w:val="24"/>
          <w:szCs w:val="24"/>
          <w:lang w:val="en-US" w:eastAsia="fr-FR"/>
        </w:rPr>
        <w:t xml:space="preserve"> tested in mRNA-</w:t>
      </w:r>
      <w:proofErr w:type="spellStart"/>
      <w:r>
        <w:rPr>
          <w:rFonts w:eastAsia="Times New Roman" w:cstheme="minorHAnsi"/>
          <w:sz w:val="24"/>
          <w:szCs w:val="24"/>
          <w:lang w:val="en-US" w:eastAsia="fr-FR"/>
        </w:rPr>
        <w:t>Seq</w:t>
      </w:r>
      <w:proofErr w:type="spellEnd"/>
      <w:r w:rsidRPr="00DE29FA">
        <w:rPr>
          <w:rFonts w:eastAsia="Times New Roman" w:cstheme="minorHAnsi"/>
          <w:sz w:val="24"/>
          <w:szCs w:val="24"/>
          <w:lang w:val="en-US" w:eastAsia="fr-FR"/>
        </w:rPr>
        <w:t xml:space="preserve"> </w:t>
      </w:r>
      <w:proofErr w:type="gramStart"/>
      <w:r>
        <w:rPr>
          <w:rFonts w:eastAsia="Times New Roman" w:cstheme="minorHAnsi"/>
          <w:sz w:val="24"/>
          <w:szCs w:val="24"/>
          <w:lang w:val="en-US" w:eastAsia="fr-FR"/>
        </w:rPr>
        <w:t>were selected</w:t>
      </w:r>
      <w:proofErr w:type="gramEnd"/>
      <w:r>
        <w:rPr>
          <w:rFonts w:eastAsia="Times New Roman" w:cstheme="minorHAnsi"/>
          <w:sz w:val="24"/>
          <w:szCs w:val="24"/>
          <w:lang w:val="en-US" w:eastAsia="fr-FR"/>
        </w:rPr>
        <w:t xml:space="preserve"> as they wer</w:t>
      </w:r>
      <w:r w:rsidRPr="00DE29FA">
        <w:rPr>
          <w:rFonts w:eastAsia="Times New Roman" w:cstheme="minorHAnsi"/>
          <w:sz w:val="24"/>
          <w:szCs w:val="24"/>
          <w:lang w:val="en-US" w:eastAsia="fr-FR"/>
        </w:rPr>
        <w:t>e expressed in all patients in mRNA-</w:t>
      </w:r>
      <w:proofErr w:type="spellStart"/>
      <w:r w:rsidRPr="00DE29FA">
        <w:rPr>
          <w:rFonts w:eastAsia="Times New Roman" w:cstheme="minorHAnsi"/>
          <w:sz w:val="24"/>
          <w:szCs w:val="24"/>
          <w:lang w:val="en-US" w:eastAsia="fr-FR"/>
        </w:rPr>
        <w:t>Seq</w:t>
      </w:r>
      <w:proofErr w:type="spellEnd"/>
      <w:r w:rsidRPr="00DE29FA">
        <w:rPr>
          <w:rFonts w:eastAsia="Times New Roman" w:cstheme="minorHAnsi"/>
          <w:sz w:val="24"/>
          <w:szCs w:val="24"/>
          <w:lang w:val="en-US" w:eastAsia="fr-FR"/>
        </w:rPr>
        <w:t xml:space="preserve"> and </w:t>
      </w:r>
      <w:proofErr w:type="spellStart"/>
      <w:r w:rsidRPr="00DE29FA">
        <w:rPr>
          <w:rFonts w:eastAsia="Times New Roman" w:cstheme="minorHAnsi"/>
          <w:sz w:val="24"/>
          <w:szCs w:val="24"/>
          <w:lang w:val="en-US" w:eastAsia="fr-FR"/>
        </w:rPr>
        <w:t>metaRNA</w:t>
      </w:r>
      <w:proofErr w:type="spellEnd"/>
      <w:r w:rsidRPr="00DE29FA">
        <w:rPr>
          <w:rFonts w:eastAsia="Times New Roman" w:cstheme="minorHAnsi"/>
          <w:sz w:val="24"/>
          <w:szCs w:val="24"/>
          <w:lang w:val="en-US" w:eastAsia="fr-FR"/>
        </w:rPr>
        <w:t>-Seq.</w:t>
      </w:r>
      <w:r>
        <w:rPr>
          <w:rFonts w:eastAsia="Times New Roman" w:cstheme="minorHAnsi"/>
          <w:sz w:val="24"/>
          <w:szCs w:val="24"/>
          <w:lang w:val="en-US" w:eastAsia="fr-FR"/>
        </w:rPr>
        <w:t xml:space="preserve"> </w:t>
      </w:r>
      <w:proofErr w:type="spellStart"/>
      <w:r>
        <w:rPr>
          <w:rFonts w:eastAsia="Times New Roman" w:cstheme="minorHAnsi"/>
          <w:sz w:val="24"/>
          <w:szCs w:val="24"/>
          <w:lang w:val="en-US" w:eastAsia="fr-FR"/>
        </w:rPr>
        <w:t>Heatmap</w:t>
      </w:r>
      <w:proofErr w:type="spellEnd"/>
      <w:r>
        <w:rPr>
          <w:rFonts w:eastAsia="Times New Roman" w:cstheme="minorHAnsi"/>
          <w:sz w:val="24"/>
          <w:szCs w:val="24"/>
          <w:lang w:val="en-US" w:eastAsia="fr-FR"/>
        </w:rPr>
        <w:t xml:space="preserve"> colors are representative of log2RPM values.</w:t>
      </w:r>
    </w:p>
    <w:p w:rsidR="004B4C36" w:rsidRDefault="004B4C36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</w:p>
    <w:p w:rsidR="004B4C36" w:rsidRDefault="004B4C36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</w:p>
    <w:p w:rsidR="004B4C36" w:rsidRDefault="004B4C36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</w:p>
    <w:p w:rsidR="004B4C36" w:rsidRDefault="004B4C36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</w:p>
    <w:p w:rsidR="004B4C36" w:rsidRDefault="004B4C36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</w:p>
    <w:p w:rsidR="004B4C36" w:rsidRDefault="004B4C36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</w:p>
    <w:p w:rsidR="004B4C36" w:rsidRDefault="004B4C36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</w:p>
    <w:p w:rsidR="004B4C36" w:rsidRDefault="004B4C36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</w:p>
    <w:p w:rsidR="004B4C36" w:rsidRDefault="004B4C36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</w:p>
    <w:p w:rsidR="004B4C36" w:rsidRDefault="004B4C36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</w:p>
    <w:p w:rsidR="004B4C36" w:rsidRDefault="004B4C36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</w:p>
    <w:p w:rsidR="004B4C36" w:rsidRDefault="004B4C36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</w:p>
    <w:p w:rsidR="004B4C36" w:rsidRPr="00AD07BD" w:rsidRDefault="004B4C36" w:rsidP="004B4C36">
      <w:pPr>
        <w:spacing w:before="240" w:after="240" w:line="240" w:lineRule="auto"/>
        <w:jc w:val="both"/>
        <w:rPr>
          <w:rFonts w:eastAsia="Times New Roman" w:cstheme="minorHAnsi"/>
          <w:b/>
          <w:sz w:val="24"/>
          <w:szCs w:val="24"/>
          <w:lang w:val="en-US" w:eastAsia="fr-FR"/>
        </w:rPr>
      </w:pPr>
      <w:r w:rsidRPr="00AD07BD">
        <w:rPr>
          <w:rFonts w:eastAsia="Times New Roman" w:cstheme="minorHAnsi"/>
          <w:b/>
          <w:sz w:val="24"/>
          <w:szCs w:val="24"/>
          <w:lang w:val="en-US" w:eastAsia="fr-FR"/>
        </w:rPr>
        <w:lastRenderedPageBreak/>
        <w:t>Table S1. Demographics and clinical features of the 20 selected nasopharyngeal samples</w:t>
      </w:r>
    </w:p>
    <w:tbl>
      <w:tblPr>
        <w:tblW w:w="9039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9"/>
        <w:gridCol w:w="566"/>
        <w:gridCol w:w="710"/>
        <w:gridCol w:w="1513"/>
        <w:gridCol w:w="1606"/>
        <w:gridCol w:w="1275"/>
        <w:gridCol w:w="2240"/>
      </w:tblGrid>
      <w:tr w:rsidR="004B4C36" w:rsidRPr="00D251CC" w:rsidTr="000D1CCC">
        <w:trPr>
          <w:trHeight w:val="876"/>
        </w:trPr>
        <w:tc>
          <w:tcPr>
            <w:tcW w:w="1129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proofErr w:type="spellStart"/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SampleID</w:t>
            </w:r>
            <w:proofErr w:type="spellEnd"/>
          </w:p>
        </w:tc>
        <w:tc>
          <w:tcPr>
            <w:tcW w:w="566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proofErr w:type="spellStart"/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Sex</w:t>
            </w:r>
            <w:proofErr w:type="spellEnd"/>
          </w:p>
        </w:tc>
        <w:tc>
          <w:tcPr>
            <w:tcW w:w="71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Age (</w:t>
            </w:r>
            <w:proofErr w:type="spellStart"/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days</w:t>
            </w:r>
            <w:proofErr w:type="spellEnd"/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)</w:t>
            </w:r>
          </w:p>
        </w:tc>
        <w:tc>
          <w:tcPr>
            <w:tcW w:w="1513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proofErr w:type="spellStart"/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Hospitalization</w:t>
            </w:r>
            <w:proofErr w:type="spellEnd"/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(</w:t>
            </w:r>
            <w:proofErr w:type="spellStart"/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days</w:t>
            </w:r>
            <w:proofErr w:type="spellEnd"/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)</w:t>
            </w:r>
          </w:p>
        </w:tc>
        <w:tc>
          <w:tcPr>
            <w:tcW w:w="1606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Viral RT-PCR (Influenza Ct)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fr-FR"/>
              </w:rPr>
            </w:pPr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val="en-US" w:eastAsia="fr-FR"/>
              </w:rPr>
              <w:t>Viral RT-PCR (RSV Ct)</w:t>
            </w:r>
          </w:p>
        </w:tc>
        <w:tc>
          <w:tcPr>
            <w:tcW w:w="224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4B4C36" w:rsidRPr="00851A37" w:rsidRDefault="004B4C36" w:rsidP="00BD7C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fr-FR"/>
              </w:rPr>
            </w:pPr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val="en-US" w:eastAsia="fr-FR"/>
              </w:rPr>
              <w:t>Viral RT-PCR (</w:t>
            </w:r>
            <w:r w:rsidR="00BD7C4C">
              <w:rPr>
                <w:rFonts w:ascii="Calibri" w:eastAsia="Times New Roman" w:hAnsi="Calibri" w:cs="Calibri"/>
                <w:b/>
                <w:bCs/>
                <w:color w:val="000000"/>
                <w:lang w:val="en-US" w:eastAsia="fr-FR"/>
              </w:rPr>
              <w:t>Picornavirus</w:t>
            </w:r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val="en-US" w:eastAsia="fr-FR"/>
              </w:rPr>
              <w:t xml:space="preserve"> Ct)</w:t>
            </w:r>
          </w:p>
        </w:tc>
      </w:tr>
      <w:tr w:rsidR="004B4C36" w:rsidRPr="00851A37" w:rsidTr="000D1CCC">
        <w:trPr>
          <w:trHeight w:val="288"/>
        </w:trPr>
        <w:tc>
          <w:tcPr>
            <w:tcW w:w="1129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lang w:eastAsia="fr-FR"/>
              </w:rPr>
              <w:t>59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M</w:t>
            </w:r>
          </w:p>
        </w:tc>
        <w:tc>
          <w:tcPr>
            <w:tcW w:w="71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101</w:t>
            </w:r>
          </w:p>
        </w:tc>
        <w:tc>
          <w:tcPr>
            <w:tcW w:w="1513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60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NEG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17.64</w:t>
            </w:r>
          </w:p>
        </w:tc>
        <w:tc>
          <w:tcPr>
            <w:tcW w:w="224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-</w:t>
            </w:r>
          </w:p>
        </w:tc>
      </w:tr>
      <w:tr w:rsidR="004B4C36" w:rsidRPr="00851A37" w:rsidTr="000D1CCC">
        <w:trPr>
          <w:trHeight w:val="288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lang w:eastAsia="fr-FR"/>
              </w:rPr>
              <w:t>65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M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32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160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NEG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15.31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-</w:t>
            </w:r>
          </w:p>
        </w:tc>
      </w:tr>
      <w:tr w:rsidR="004B4C36" w:rsidRPr="00851A37" w:rsidTr="000D1CCC">
        <w:trPr>
          <w:trHeight w:val="288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lang w:eastAsia="fr-FR"/>
              </w:rPr>
              <w:t>85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F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115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60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NEG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26.02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-</w:t>
            </w:r>
          </w:p>
        </w:tc>
      </w:tr>
      <w:tr w:rsidR="004B4C36" w:rsidRPr="00851A37" w:rsidTr="000D1CCC">
        <w:trPr>
          <w:trHeight w:val="288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lang w:eastAsia="fr-FR"/>
              </w:rPr>
              <w:t>89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F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71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160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NEG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18.02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-</w:t>
            </w:r>
          </w:p>
        </w:tc>
      </w:tr>
      <w:tr w:rsidR="004B4C36" w:rsidRPr="00851A37" w:rsidTr="000D1CCC">
        <w:trPr>
          <w:trHeight w:val="288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lang w:eastAsia="fr-FR"/>
              </w:rPr>
              <w:t>91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M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185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60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NEG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23.14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-</w:t>
            </w:r>
          </w:p>
        </w:tc>
      </w:tr>
      <w:tr w:rsidR="004B4C36" w:rsidRPr="00851A37" w:rsidTr="000D1CCC">
        <w:trPr>
          <w:trHeight w:val="288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lang w:eastAsia="fr-FR"/>
              </w:rPr>
              <w:t>95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F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14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60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NEG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16.61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-</w:t>
            </w:r>
          </w:p>
        </w:tc>
      </w:tr>
      <w:tr w:rsidR="004B4C36" w:rsidRPr="00851A37" w:rsidTr="000D1CCC">
        <w:trPr>
          <w:trHeight w:val="288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lang w:eastAsia="fr-FR"/>
              </w:rPr>
              <w:t>101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F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30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60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NEG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20.23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-</w:t>
            </w:r>
          </w:p>
        </w:tc>
      </w:tr>
      <w:tr w:rsidR="004B4C36" w:rsidRPr="00851A37" w:rsidTr="000D1CCC">
        <w:trPr>
          <w:trHeight w:val="288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lang w:eastAsia="fr-FR"/>
              </w:rPr>
              <w:t>105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M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39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60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NEG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21.39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-</w:t>
            </w:r>
          </w:p>
        </w:tc>
      </w:tr>
      <w:tr w:rsidR="004B4C36" w:rsidRPr="00851A37" w:rsidTr="000D1CCC">
        <w:trPr>
          <w:trHeight w:val="288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lang w:eastAsia="fr-FR"/>
              </w:rPr>
              <w:t>108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F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22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60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NEG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16.2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NEG</w:t>
            </w:r>
          </w:p>
        </w:tc>
      </w:tr>
      <w:tr w:rsidR="004B4C36" w:rsidRPr="00851A37" w:rsidTr="000D1CCC">
        <w:trPr>
          <w:trHeight w:val="288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lang w:eastAsia="fr-FR"/>
              </w:rPr>
              <w:t>119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F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95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60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NEG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19.32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-</w:t>
            </w:r>
          </w:p>
        </w:tc>
      </w:tr>
      <w:tr w:rsidR="004B4C36" w:rsidRPr="00851A37" w:rsidTr="000D1CCC">
        <w:trPr>
          <w:trHeight w:val="288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lang w:eastAsia="fr-FR"/>
              </w:rPr>
              <w:t>121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F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31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60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NEG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23.95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-</w:t>
            </w:r>
          </w:p>
        </w:tc>
      </w:tr>
      <w:tr w:rsidR="004B4C36" w:rsidRPr="00851A37" w:rsidTr="000D1CCC">
        <w:trPr>
          <w:trHeight w:val="288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126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F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35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60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23.29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NEG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NEG</w:t>
            </w:r>
          </w:p>
        </w:tc>
      </w:tr>
      <w:tr w:rsidR="004B4C36" w:rsidRPr="00851A37" w:rsidTr="000D1CCC">
        <w:trPr>
          <w:trHeight w:val="288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lang w:eastAsia="fr-FR"/>
              </w:rPr>
              <w:t>20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M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100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60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NEG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23.15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-</w:t>
            </w:r>
          </w:p>
        </w:tc>
      </w:tr>
      <w:tr w:rsidR="004B4C36" w:rsidRPr="00851A37" w:rsidTr="000D1CCC">
        <w:trPr>
          <w:trHeight w:val="288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lang w:eastAsia="fr-FR"/>
              </w:rPr>
              <w:t>21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M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183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60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NEG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17.17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-</w:t>
            </w:r>
          </w:p>
        </w:tc>
      </w:tr>
      <w:tr w:rsidR="004B4C36" w:rsidRPr="00851A37" w:rsidTr="000D1CCC">
        <w:trPr>
          <w:trHeight w:val="288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lang w:eastAsia="fr-FR"/>
              </w:rPr>
              <w:t>24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F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86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160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NEG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20.11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-</w:t>
            </w:r>
          </w:p>
        </w:tc>
      </w:tr>
      <w:tr w:rsidR="004B4C36" w:rsidRPr="00851A37" w:rsidTr="000D1CCC">
        <w:trPr>
          <w:trHeight w:val="288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lang w:eastAsia="fr-FR"/>
              </w:rPr>
              <w:t>29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F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27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160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NEG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21.32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-</w:t>
            </w:r>
          </w:p>
        </w:tc>
      </w:tr>
      <w:tr w:rsidR="004B4C36" w:rsidRPr="00851A37" w:rsidTr="000D1CCC">
        <w:trPr>
          <w:trHeight w:val="288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lang w:eastAsia="fr-FR"/>
              </w:rPr>
              <w:t>32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M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19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60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NEG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16.59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-</w:t>
            </w:r>
          </w:p>
        </w:tc>
      </w:tr>
      <w:tr w:rsidR="004B4C36" w:rsidRPr="00851A37" w:rsidTr="000D1CCC">
        <w:trPr>
          <w:trHeight w:val="288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lang w:eastAsia="fr-FR"/>
              </w:rPr>
              <w:t>44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M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162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60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NEG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21.4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NEG</w:t>
            </w:r>
          </w:p>
        </w:tc>
      </w:tr>
      <w:tr w:rsidR="004B4C36" w:rsidRPr="00851A37" w:rsidTr="000D1CCC">
        <w:trPr>
          <w:trHeight w:val="288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lang w:eastAsia="fr-FR"/>
              </w:rPr>
              <w:t>47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F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45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60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NEG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19.32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NEG</w:t>
            </w:r>
          </w:p>
        </w:tc>
      </w:tr>
      <w:tr w:rsidR="004B4C36" w:rsidRPr="00851A37" w:rsidTr="000D1CCC">
        <w:trPr>
          <w:trHeight w:val="68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lang w:eastAsia="fr-FR"/>
              </w:rPr>
              <w:t>22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F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45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606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NEG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22.94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4B4C36" w:rsidRPr="00851A37" w:rsidRDefault="004B4C36" w:rsidP="00367A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51A37">
              <w:rPr>
                <w:rFonts w:ascii="Calibri" w:eastAsia="Times New Roman" w:hAnsi="Calibri" w:cs="Calibri"/>
                <w:color w:val="000000"/>
                <w:lang w:eastAsia="fr-FR"/>
              </w:rPr>
              <w:t>NEG</w:t>
            </w:r>
          </w:p>
        </w:tc>
      </w:tr>
    </w:tbl>
    <w:p w:rsidR="004B4C36" w:rsidRDefault="00BD7C4C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  <w:r>
        <w:rPr>
          <w:rFonts w:eastAsia="Times New Roman" w:cstheme="minorHAnsi"/>
          <w:sz w:val="24"/>
          <w:szCs w:val="24"/>
          <w:lang w:val="en-US" w:eastAsia="fr-FR"/>
        </w:rPr>
        <w:t>Ct=Cycle threshold; NEG=negative</w:t>
      </w:r>
      <w:bookmarkStart w:id="0" w:name="_GoBack"/>
      <w:bookmarkEnd w:id="0"/>
    </w:p>
    <w:p w:rsidR="004B4C36" w:rsidRPr="002E14BA" w:rsidRDefault="004B4C36" w:rsidP="004B4C36">
      <w:pPr>
        <w:spacing w:before="240" w:after="240" w:line="240" w:lineRule="auto"/>
        <w:jc w:val="both"/>
        <w:rPr>
          <w:rFonts w:eastAsia="Times New Roman" w:cstheme="minorHAnsi"/>
          <w:b/>
          <w:sz w:val="24"/>
          <w:szCs w:val="24"/>
          <w:lang w:val="en-US" w:eastAsia="fr-FR"/>
        </w:rPr>
      </w:pPr>
      <w:r>
        <w:rPr>
          <w:rFonts w:eastAsia="Times New Roman" w:cstheme="minorHAnsi"/>
          <w:b/>
          <w:sz w:val="24"/>
          <w:szCs w:val="24"/>
          <w:lang w:val="en-US" w:eastAsia="fr-FR"/>
        </w:rPr>
        <w:t>Table S</w:t>
      </w:r>
      <w:r w:rsidR="00AF2957">
        <w:rPr>
          <w:rFonts w:eastAsia="Times New Roman" w:cstheme="minorHAnsi"/>
          <w:b/>
          <w:sz w:val="24"/>
          <w:szCs w:val="24"/>
          <w:lang w:val="en-US" w:eastAsia="fr-FR"/>
        </w:rPr>
        <w:t>2</w:t>
      </w:r>
      <w:r w:rsidRPr="002E14BA">
        <w:rPr>
          <w:rFonts w:eastAsia="Times New Roman" w:cstheme="minorHAnsi"/>
          <w:b/>
          <w:sz w:val="24"/>
          <w:szCs w:val="24"/>
          <w:lang w:val="en-US" w:eastAsia="fr-FR"/>
        </w:rPr>
        <w:t xml:space="preserve">. </w:t>
      </w:r>
      <w:r>
        <w:rPr>
          <w:rFonts w:eastAsia="Times New Roman" w:cstheme="minorHAnsi"/>
          <w:b/>
          <w:sz w:val="24"/>
          <w:szCs w:val="24"/>
          <w:lang w:val="en-US" w:eastAsia="fr-FR"/>
        </w:rPr>
        <w:t>List of bioinformatics tools used</w:t>
      </w:r>
    </w:p>
    <w:p w:rsidR="004B4C36" w:rsidRPr="00056B0C" w:rsidRDefault="004B4C36" w:rsidP="004B4C36">
      <w:pPr>
        <w:rPr>
          <w:lang w:val="en-US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2"/>
        <w:gridCol w:w="2031"/>
        <w:gridCol w:w="906"/>
        <w:gridCol w:w="1176"/>
      </w:tblGrid>
      <w:tr w:rsidR="004B4C36" w:rsidTr="00367A02">
        <w:trPr>
          <w:trHeight w:val="285"/>
        </w:trPr>
        <w:tc>
          <w:tcPr>
            <w:tcW w:w="0" w:type="auto"/>
            <w:tcBorders>
              <w:bottom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Pr="00056B0C" w:rsidRDefault="004B4C36" w:rsidP="00367A02">
            <w:pPr>
              <w:spacing w:after="240"/>
              <w:rPr>
                <w:lang w:val="en-US"/>
              </w:rPr>
            </w:pP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Pr="00056B0C" w:rsidRDefault="004B4C36" w:rsidP="00367A02">
            <w:pPr>
              <w:spacing w:after="0"/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Version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Reference</w:t>
            </w:r>
          </w:p>
        </w:tc>
      </w:tr>
      <w:tr w:rsidR="004B4C36" w:rsidTr="00367A02">
        <w:trPr>
          <w:trHeight w:val="285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  <w:jc w:val="center"/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Bioinformatic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pipelines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RASFLOW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v2.0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  <w:jc w:val="right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4B4C36" w:rsidTr="00367A02">
        <w:trPr>
          <w:trHeight w:val="28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B4C36" w:rsidRDefault="004B4C36" w:rsidP="00367A0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SEQMET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v0.1.0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  <w:jc w:val="right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</w:tr>
      <w:tr w:rsidR="004B4C36" w:rsidTr="00367A02">
        <w:trPr>
          <w:trHeight w:val="285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  <w:jc w:val="center"/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Bioinformatic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tools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BBMAP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v39.00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  <w:jc w:val="right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</w:tr>
      <w:tr w:rsidR="004B4C36" w:rsidTr="00367A02">
        <w:trPr>
          <w:trHeight w:val="28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B4C36" w:rsidRDefault="004B4C36" w:rsidP="00367A0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BRACKEN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v2.9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  <w:jc w:val="right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</w:p>
        </w:tc>
      </w:tr>
      <w:tr w:rsidR="004B4C36" w:rsidTr="00367A02">
        <w:trPr>
          <w:trHeight w:val="28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B4C36" w:rsidRDefault="004B4C36" w:rsidP="00367A0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BWA-MEM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v0.7.17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  <w:jc w:val="right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</w:tr>
      <w:tr w:rsidR="004B4C36" w:rsidTr="00367A02">
        <w:trPr>
          <w:trHeight w:val="28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B4C36" w:rsidRDefault="004B4C36" w:rsidP="00367A0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CUTADAPT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v4.6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  <w:jc w:val="right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</w:p>
        </w:tc>
      </w:tr>
      <w:tr w:rsidR="004B4C36" w:rsidTr="00367A02">
        <w:trPr>
          <w:trHeight w:val="28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B4C36" w:rsidRDefault="004B4C36" w:rsidP="00367A0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KRAKEN2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v2.1.2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  <w:jc w:val="right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</w:p>
        </w:tc>
      </w:tr>
      <w:tr w:rsidR="004B4C36" w:rsidTr="00367A02">
        <w:trPr>
          <w:trHeight w:val="28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B4C36" w:rsidRDefault="004B4C36" w:rsidP="00367A0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Samtools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v1.16.1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  <w:jc w:val="right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</w:p>
        </w:tc>
      </w:tr>
      <w:tr w:rsidR="004B4C36" w:rsidTr="00367A02">
        <w:trPr>
          <w:trHeight w:val="28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B4C36" w:rsidRDefault="004B4C36" w:rsidP="00367A0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Srahumanscrubber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v2.2.1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  <w:jc w:val="right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9</w:t>
            </w:r>
          </w:p>
        </w:tc>
      </w:tr>
      <w:tr w:rsidR="004B4C36" w:rsidTr="00367A02">
        <w:trPr>
          <w:trHeight w:val="285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 packages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Rstudio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v4.1.6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  <w:jc w:val="right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10</w:t>
            </w:r>
          </w:p>
        </w:tc>
      </w:tr>
      <w:tr w:rsidR="004B4C36" w:rsidTr="00367A02">
        <w:trPr>
          <w:trHeight w:val="28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B4C36" w:rsidRDefault="004B4C36" w:rsidP="00367A0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Biomart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v3.18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  <w:jc w:val="right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11</w:t>
            </w:r>
          </w:p>
        </w:tc>
      </w:tr>
      <w:tr w:rsidR="004B4C36" w:rsidTr="00367A02">
        <w:trPr>
          <w:trHeight w:val="28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B4C36" w:rsidRDefault="004B4C36" w:rsidP="00367A0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DADA2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v3.2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  <w:jc w:val="right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12</w:t>
            </w:r>
          </w:p>
        </w:tc>
      </w:tr>
      <w:tr w:rsidR="004B4C36" w:rsidTr="00367A02">
        <w:trPr>
          <w:trHeight w:val="28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B4C36" w:rsidRDefault="004B4C36" w:rsidP="00367A0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Decontam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v1.20.0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  <w:jc w:val="right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13</w:t>
            </w:r>
          </w:p>
        </w:tc>
      </w:tr>
      <w:tr w:rsidR="004B4C36" w:rsidTr="00367A02">
        <w:trPr>
          <w:trHeight w:val="28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B4C36" w:rsidRDefault="004B4C36" w:rsidP="00367A0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ggplot2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v3.4.2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  <w:jc w:val="right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14</w:t>
            </w:r>
          </w:p>
        </w:tc>
      </w:tr>
      <w:tr w:rsidR="004B4C36" w:rsidTr="00367A02">
        <w:trPr>
          <w:trHeight w:val="28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B4C36" w:rsidRDefault="004B4C36" w:rsidP="00367A0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vegan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v2.6.4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4B4C36" w:rsidRDefault="004B4C36" w:rsidP="00367A02">
            <w:pPr>
              <w:pStyle w:val="NormalWeb"/>
              <w:spacing w:before="240" w:beforeAutospacing="0" w:after="0" w:afterAutospacing="0"/>
              <w:jc w:val="right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15</w:t>
            </w:r>
          </w:p>
        </w:tc>
      </w:tr>
    </w:tbl>
    <w:p w:rsidR="004B4C36" w:rsidRDefault="004B4C36" w:rsidP="004B4C36"/>
    <w:p w:rsidR="004B4C36" w:rsidRDefault="004B4C36" w:rsidP="004B4C36">
      <w:pPr>
        <w:pStyle w:val="Paragraphedeliste"/>
        <w:numPr>
          <w:ilvl w:val="0"/>
          <w:numId w:val="1"/>
        </w:numPr>
        <w:spacing w:after="60"/>
        <w:rPr>
          <w:lang w:val="en-US"/>
        </w:rPr>
      </w:pPr>
      <w:r w:rsidRPr="002E14BA">
        <w:rPr>
          <w:lang w:val="en-US"/>
        </w:rPr>
        <w:t xml:space="preserve">Zhang, X., </w:t>
      </w:r>
      <w:proofErr w:type="spellStart"/>
      <w:r w:rsidRPr="002E14BA">
        <w:rPr>
          <w:lang w:val="en-US"/>
        </w:rPr>
        <w:t>Jonassen</w:t>
      </w:r>
      <w:proofErr w:type="spellEnd"/>
      <w:r w:rsidRPr="002E14BA">
        <w:rPr>
          <w:lang w:val="en-US"/>
        </w:rPr>
        <w:t xml:space="preserve">, I. </w:t>
      </w:r>
      <w:proofErr w:type="spellStart"/>
      <w:r w:rsidRPr="002E14BA">
        <w:rPr>
          <w:lang w:val="en-US"/>
        </w:rPr>
        <w:t>RASflow</w:t>
      </w:r>
      <w:proofErr w:type="spellEnd"/>
      <w:r w:rsidRPr="002E14BA">
        <w:rPr>
          <w:lang w:val="en-US"/>
        </w:rPr>
        <w:t>: an RNA-</w:t>
      </w:r>
      <w:proofErr w:type="spellStart"/>
      <w:r w:rsidRPr="002E14BA">
        <w:rPr>
          <w:lang w:val="en-US"/>
        </w:rPr>
        <w:t>Seq</w:t>
      </w:r>
      <w:proofErr w:type="spellEnd"/>
      <w:r w:rsidRPr="002E14BA">
        <w:rPr>
          <w:lang w:val="en-US"/>
        </w:rPr>
        <w:t xml:space="preserve"> analysis workflow with </w:t>
      </w:r>
      <w:proofErr w:type="spellStart"/>
      <w:r w:rsidRPr="002E14BA">
        <w:rPr>
          <w:lang w:val="en-US"/>
        </w:rPr>
        <w:t>Snakemake</w:t>
      </w:r>
      <w:proofErr w:type="spellEnd"/>
      <w:r w:rsidRPr="002E14BA">
        <w:rPr>
          <w:lang w:val="en-US"/>
        </w:rPr>
        <w:t xml:space="preserve">. BMC Bioinformatics 21, 110 (2020). </w:t>
      </w:r>
      <w:hyperlink r:id="rId10" w:history="1">
        <w:r w:rsidRPr="003B1F00">
          <w:rPr>
            <w:rStyle w:val="Lienhypertexte"/>
            <w:lang w:val="en-US"/>
          </w:rPr>
          <w:t>https://doi.org/10.1186/s12859-020-3433-x</w:t>
        </w:r>
      </w:hyperlink>
    </w:p>
    <w:p w:rsidR="004B4C36" w:rsidRPr="002E14BA" w:rsidRDefault="004B4C36" w:rsidP="004B4C36">
      <w:pPr>
        <w:pStyle w:val="Paragraphedeliste"/>
        <w:numPr>
          <w:ilvl w:val="0"/>
          <w:numId w:val="1"/>
        </w:numPr>
        <w:spacing w:after="60"/>
        <w:rPr>
          <w:lang w:val="en-US"/>
        </w:rPr>
      </w:pPr>
      <w:proofErr w:type="spellStart"/>
      <w:proofErr w:type="gramStart"/>
      <w:r w:rsidRPr="002E14BA">
        <w:rPr>
          <w:lang w:val="en-US"/>
        </w:rPr>
        <w:t>medRxiv</w:t>
      </w:r>
      <w:proofErr w:type="spellEnd"/>
      <w:proofErr w:type="gramEnd"/>
      <w:r w:rsidRPr="002E14BA">
        <w:rPr>
          <w:lang w:val="en-US"/>
        </w:rPr>
        <w:t xml:space="preserve"> 2022.03.24.22272871 </w:t>
      </w:r>
      <w:proofErr w:type="spellStart"/>
      <w:r w:rsidRPr="002E14BA">
        <w:rPr>
          <w:lang w:val="en-US"/>
        </w:rPr>
        <w:t>doi</w:t>
      </w:r>
      <w:proofErr w:type="spellEnd"/>
      <w:r w:rsidRPr="002E14BA">
        <w:rPr>
          <w:lang w:val="en-US"/>
        </w:rPr>
        <w:t>: 10.1101/2022.03.24.22272871.</w:t>
      </w:r>
    </w:p>
    <w:p w:rsidR="004B4C36" w:rsidRPr="002E14BA" w:rsidRDefault="004B4C36" w:rsidP="004B4C36">
      <w:pPr>
        <w:pStyle w:val="Paragraphedeliste"/>
        <w:numPr>
          <w:ilvl w:val="0"/>
          <w:numId w:val="1"/>
        </w:numPr>
        <w:spacing w:after="60"/>
        <w:rPr>
          <w:lang w:val="en-US"/>
        </w:rPr>
      </w:pPr>
      <w:r w:rsidRPr="002E14BA">
        <w:rPr>
          <w:lang w:val="en-US"/>
        </w:rPr>
        <w:t>https://github.com/BioInfoTools/BBMap</w:t>
      </w:r>
    </w:p>
    <w:p w:rsidR="004B4C36" w:rsidRPr="002E14BA" w:rsidRDefault="004B4C36" w:rsidP="004B4C36">
      <w:pPr>
        <w:pStyle w:val="Paragraphedeliste"/>
        <w:numPr>
          <w:ilvl w:val="0"/>
          <w:numId w:val="1"/>
        </w:numPr>
        <w:spacing w:after="60"/>
        <w:rPr>
          <w:lang w:val="en-US"/>
        </w:rPr>
      </w:pPr>
      <w:r w:rsidRPr="002E14BA">
        <w:rPr>
          <w:lang w:val="en-US"/>
        </w:rPr>
        <w:t>Bracken's peer-reviewed paper (published Jan 2, 2017): "Bracken: estimating species abundance in metagenomics data" https://peerj.com/articles/cs-104/</w:t>
      </w:r>
    </w:p>
    <w:p w:rsidR="004B4C36" w:rsidRPr="002E14BA" w:rsidRDefault="004B4C36" w:rsidP="004B4C36">
      <w:pPr>
        <w:pStyle w:val="Paragraphedeliste"/>
        <w:numPr>
          <w:ilvl w:val="0"/>
          <w:numId w:val="1"/>
        </w:numPr>
        <w:spacing w:after="60"/>
        <w:rPr>
          <w:lang w:val="en-US"/>
        </w:rPr>
      </w:pPr>
      <w:r w:rsidRPr="002E14BA">
        <w:rPr>
          <w:lang w:val="en-US"/>
        </w:rPr>
        <w:t xml:space="preserve">Li H. (2013) Aligning sequence reads, clone sequences and assembly </w:t>
      </w:r>
      <w:proofErr w:type="spellStart"/>
      <w:r w:rsidRPr="002E14BA">
        <w:rPr>
          <w:lang w:val="en-US"/>
        </w:rPr>
        <w:t>contigs</w:t>
      </w:r>
      <w:proofErr w:type="spellEnd"/>
      <w:r w:rsidRPr="002E14BA">
        <w:rPr>
          <w:lang w:val="en-US"/>
        </w:rPr>
        <w:t xml:space="preserve"> with BWA-MEM. </w:t>
      </w:r>
      <w:proofErr w:type="gramStart"/>
      <w:r w:rsidRPr="002E14BA">
        <w:rPr>
          <w:lang w:val="en-US"/>
        </w:rPr>
        <w:t>arXiv:</w:t>
      </w:r>
      <w:proofErr w:type="gramEnd"/>
      <w:r w:rsidRPr="002E14BA">
        <w:rPr>
          <w:lang w:val="en-US"/>
        </w:rPr>
        <w:t>1303.3997v2 [q-bio.GN].</w:t>
      </w:r>
    </w:p>
    <w:p w:rsidR="004B4C36" w:rsidRPr="002E14BA" w:rsidRDefault="004B4C36" w:rsidP="004B4C36">
      <w:pPr>
        <w:pStyle w:val="Paragraphedeliste"/>
        <w:numPr>
          <w:ilvl w:val="0"/>
          <w:numId w:val="1"/>
        </w:numPr>
        <w:spacing w:after="60"/>
      </w:pPr>
      <w:r w:rsidRPr="002E14BA">
        <w:t>DOI:10.14806/ej.17.1.200</w:t>
      </w:r>
    </w:p>
    <w:p w:rsidR="004B4C36" w:rsidRPr="002E14BA" w:rsidRDefault="004B4C36" w:rsidP="004B4C36">
      <w:pPr>
        <w:pStyle w:val="Paragraphedeliste"/>
        <w:numPr>
          <w:ilvl w:val="0"/>
          <w:numId w:val="1"/>
        </w:numPr>
        <w:spacing w:after="60"/>
        <w:rPr>
          <w:lang w:val="en-US"/>
        </w:rPr>
      </w:pPr>
      <w:r w:rsidRPr="002E14BA">
        <w:t xml:space="preserve">Wood, Derrick E et al. </w:t>
      </w:r>
      <w:r w:rsidRPr="002E14BA">
        <w:rPr>
          <w:lang w:val="en-US"/>
        </w:rPr>
        <w:t xml:space="preserve">“Improved </w:t>
      </w:r>
      <w:proofErr w:type="spellStart"/>
      <w:r w:rsidRPr="002E14BA">
        <w:rPr>
          <w:lang w:val="en-US"/>
        </w:rPr>
        <w:t>metagenomic</w:t>
      </w:r>
      <w:proofErr w:type="spellEnd"/>
      <w:r w:rsidRPr="002E14BA">
        <w:rPr>
          <w:lang w:val="en-US"/>
        </w:rPr>
        <w:t xml:space="preserve"> analysis with Kraken 2.” Genome biology vol. 20</w:t>
      </w:r>
      <w:proofErr w:type="gramStart"/>
      <w:r w:rsidRPr="002E14BA">
        <w:rPr>
          <w:lang w:val="en-US"/>
        </w:rPr>
        <w:t>,1</w:t>
      </w:r>
      <w:proofErr w:type="gramEnd"/>
      <w:r w:rsidRPr="002E14BA">
        <w:rPr>
          <w:lang w:val="en-US"/>
        </w:rPr>
        <w:t xml:space="preserve"> 257. 28 Nov. 2019, doi:10.1186/s13059-019-1891-0</w:t>
      </w:r>
    </w:p>
    <w:p w:rsidR="004B4C36" w:rsidRPr="002E14BA" w:rsidRDefault="004B4C36" w:rsidP="004B4C36">
      <w:pPr>
        <w:pStyle w:val="Paragraphedeliste"/>
        <w:numPr>
          <w:ilvl w:val="0"/>
          <w:numId w:val="1"/>
        </w:numPr>
        <w:spacing w:after="60"/>
        <w:rPr>
          <w:lang w:val="en-US"/>
        </w:rPr>
      </w:pPr>
      <w:r w:rsidRPr="002E14BA">
        <w:rPr>
          <w:lang w:val="en-US"/>
        </w:rPr>
        <w:t xml:space="preserve">Petr </w:t>
      </w:r>
      <w:proofErr w:type="spellStart"/>
      <w:r w:rsidRPr="002E14BA">
        <w:rPr>
          <w:lang w:val="en-US"/>
        </w:rPr>
        <w:t>Danecek</w:t>
      </w:r>
      <w:proofErr w:type="spellEnd"/>
      <w:r w:rsidRPr="002E14BA">
        <w:rPr>
          <w:lang w:val="en-US"/>
        </w:rPr>
        <w:t xml:space="preserve">, James K </w:t>
      </w:r>
      <w:proofErr w:type="spellStart"/>
      <w:r w:rsidRPr="002E14BA">
        <w:rPr>
          <w:lang w:val="en-US"/>
        </w:rPr>
        <w:t>Bonfield</w:t>
      </w:r>
      <w:proofErr w:type="spellEnd"/>
      <w:r w:rsidRPr="002E14BA">
        <w:rPr>
          <w:lang w:val="en-US"/>
        </w:rPr>
        <w:t xml:space="preserve">, Jennifer Liddle, John Marshall, </w:t>
      </w:r>
      <w:proofErr w:type="spellStart"/>
      <w:r w:rsidRPr="002E14BA">
        <w:rPr>
          <w:lang w:val="en-US"/>
        </w:rPr>
        <w:t>Valeriu</w:t>
      </w:r>
      <w:proofErr w:type="spellEnd"/>
      <w:r w:rsidRPr="002E14BA">
        <w:rPr>
          <w:lang w:val="en-US"/>
        </w:rPr>
        <w:t xml:space="preserve"> </w:t>
      </w:r>
      <w:proofErr w:type="spellStart"/>
      <w:r w:rsidRPr="002E14BA">
        <w:rPr>
          <w:lang w:val="en-US"/>
        </w:rPr>
        <w:t>Ohan</w:t>
      </w:r>
      <w:proofErr w:type="spellEnd"/>
      <w:r w:rsidRPr="002E14BA">
        <w:rPr>
          <w:lang w:val="en-US"/>
        </w:rPr>
        <w:t xml:space="preserve">, Martin O Pollard, Andrew </w:t>
      </w:r>
      <w:proofErr w:type="spellStart"/>
      <w:r w:rsidRPr="002E14BA">
        <w:rPr>
          <w:lang w:val="en-US"/>
        </w:rPr>
        <w:t>Whitwham</w:t>
      </w:r>
      <w:proofErr w:type="spellEnd"/>
      <w:r w:rsidRPr="002E14BA">
        <w:rPr>
          <w:lang w:val="en-US"/>
        </w:rPr>
        <w:t xml:space="preserve">, Thomas Keane, Shane A McCarthy, Robert M Davies, </w:t>
      </w:r>
      <w:proofErr w:type="spellStart"/>
      <w:r w:rsidRPr="002E14BA">
        <w:rPr>
          <w:lang w:val="en-US"/>
        </w:rPr>
        <w:t>Heng</w:t>
      </w:r>
      <w:proofErr w:type="spellEnd"/>
      <w:r w:rsidRPr="002E14BA">
        <w:rPr>
          <w:lang w:val="en-US"/>
        </w:rPr>
        <w:t xml:space="preserve"> </w:t>
      </w:r>
      <w:proofErr w:type="spellStart"/>
      <w:r w:rsidRPr="002E14BA">
        <w:rPr>
          <w:lang w:val="en-US"/>
        </w:rPr>
        <w:t>Li,GigaScience</w:t>
      </w:r>
      <w:proofErr w:type="spellEnd"/>
      <w:r w:rsidRPr="002E14BA">
        <w:rPr>
          <w:lang w:val="en-US"/>
        </w:rPr>
        <w:t>, Volume 10, Issue 2, February 2021, giab008, https://doi.org/10.1093/gigascience/giab008</w:t>
      </w:r>
    </w:p>
    <w:p w:rsidR="004B4C36" w:rsidRPr="002E14BA" w:rsidRDefault="004B4C36" w:rsidP="004B4C36">
      <w:pPr>
        <w:pStyle w:val="Paragraphedeliste"/>
        <w:numPr>
          <w:ilvl w:val="0"/>
          <w:numId w:val="1"/>
        </w:numPr>
        <w:spacing w:after="60"/>
        <w:rPr>
          <w:lang w:val="en-US"/>
        </w:rPr>
      </w:pPr>
      <w:r w:rsidRPr="002E14BA">
        <w:rPr>
          <w:lang w:val="en-US"/>
        </w:rPr>
        <w:t>https://github.com/ncbi/sra-human-scrubber</w:t>
      </w:r>
    </w:p>
    <w:p w:rsidR="004B4C36" w:rsidRPr="002E14BA" w:rsidRDefault="004B4C36" w:rsidP="004B4C36">
      <w:pPr>
        <w:pStyle w:val="Paragraphedeliste"/>
        <w:numPr>
          <w:ilvl w:val="0"/>
          <w:numId w:val="1"/>
        </w:numPr>
        <w:spacing w:after="60"/>
        <w:rPr>
          <w:lang w:val="en-US"/>
        </w:rPr>
      </w:pPr>
      <w:r w:rsidRPr="002E14BA">
        <w:rPr>
          <w:lang w:val="en-US"/>
        </w:rPr>
        <w:t>https://posit.co/products/open-source/rstudio/</w:t>
      </w:r>
    </w:p>
    <w:p w:rsidR="004B4C36" w:rsidRPr="002E14BA" w:rsidRDefault="004B4C36" w:rsidP="004B4C36">
      <w:pPr>
        <w:pStyle w:val="Paragraphedeliste"/>
        <w:numPr>
          <w:ilvl w:val="0"/>
          <w:numId w:val="1"/>
        </w:numPr>
        <w:spacing w:after="60"/>
        <w:rPr>
          <w:lang w:val="en-US"/>
        </w:rPr>
      </w:pPr>
      <w:proofErr w:type="spellStart"/>
      <w:r w:rsidRPr="002E14BA">
        <w:rPr>
          <w:lang w:val="en-US"/>
        </w:rPr>
        <w:t>Durinck</w:t>
      </w:r>
      <w:proofErr w:type="spellEnd"/>
      <w:r w:rsidRPr="002E14BA">
        <w:rPr>
          <w:lang w:val="en-US"/>
        </w:rPr>
        <w:t xml:space="preserve"> S, Spellman P, Birney E, Huber W (2009). “Mapping identifiers for the integration of genomic datasets with the R/Bioconductor package </w:t>
      </w:r>
      <w:proofErr w:type="spellStart"/>
      <w:r w:rsidRPr="002E14BA">
        <w:rPr>
          <w:lang w:val="en-US"/>
        </w:rPr>
        <w:t>biomaRt</w:t>
      </w:r>
      <w:proofErr w:type="spellEnd"/>
      <w:r w:rsidRPr="002E14BA">
        <w:rPr>
          <w:lang w:val="en-US"/>
        </w:rPr>
        <w:t>.” Nature Protocols, 4, 1184–1191</w:t>
      </w:r>
    </w:p>
    <w:p w:rsidR="004B4C36" w:rsidRPr="002E14BA" w:rsidRDefault="004B4C36" w:rsidP="004B4C36">
      <w:pPr>
        <w:pStyle w:val="Paragraphedeliste"/>
        <w:numPr>
          <w:ilvl w:val="0"/>
          <w:numId w:val="1"/>
        </w:numPr>
        <w:spacing w:after="60"/>
        <w:rPr>
          <w:lang w:val="en-US"/>
        </w:rPr>
      </w:pPr>
      <w:r w:rsidRPr="002E14BA">
        <w:rPr>
          <w:lang w:val="en-US"/>
        </w:rPr>
        <w:t>Callahan, Benjamin J et al. “DADA2: High-resolution sample inference from Illumina amplicon data.” Nature methods vol. 13</w:t>
      </w:r>
      <w:proofErr w:type="gramStart"/>
      <w:r w:rsidRPr="002E14BA">
        <w:rPr>
          <w:lang w:val="en-US"/>
        </w:rPr>
        <w:t>,7</w:t>
      </w:r>
      <w:proofErr w:type="gramEnd"/>
      <w:r w:rsidRPr="002E14BA">
        <w:rPr>
          <w:lang w:val="en-US"/>
        </w:rPr>
        <w:t xml:space="preserve"> (2016): 581-3. doi:10.1038/nmeth.3869</w:t>
      </w:r>
    </w:p>
    <w:p w:rsidR="004B4C36" w:rsidRPr="002E14BA" w:rsidRDefault="004B4C36" w:rsidP="004B4C36">
      <w:pPr>
        <w:pStyle w:val="Paragraphedeliste"/>
        <w:numPr>
          <w:ilvl w:val="0"/>
          <w:numId w:val="1"/>
        </w:numPr>
        <w:spacing w:after="60"/>
        <w:rPr>
          <w:lang w:val="en-US"/>
        </w:rPr>
      </w:pPr>
      <w:r w:rsidRPr="002E14BA">
        <w:rPr>
          <w:lang w:val="en-US"/>
        </w:rPr>
        <w:t xml:space="preserve">Davis NM, Proctor D, Holmes SP, </w:t>
      </w:r>
      <w:proofErr w:type="spellStart"/>
      <w:r w:rsidRPr="002E14BA">
        <w:rPr>
          <w:lang w:val="en-US"/>
        </w:rPr>
        <w:t>Relman</w:t>
      </w:r>
      <w:proofErr w:type="spellEnd"/>
      <w:r w:rsidRPr="002E14BA">
        <w:rPr>
          <w:lang w:val="en-US"/>
        </w:rPr>
        <w:t xml:space="preserve"> DA, Callahan BJ (2017). “Simple statistical identification and removal of contaminant sequences in marker-gene and metagenomics data.” </w:t>
      </w:r>
      <w:proofErr w:type="spellStart"/>
      <w:r w:rsidRPr="002E14BA">
        <w:rPr>
          <w:lang w:val="en-US"/>
        </w:rPr>
        <w:t>bioRxiv</w:t>
      </w:r>
      <w:proofErr w:type="spellEnd"/>
      <w:r w:rsidRPr="002E14BA">
        <w:rPr>
          <w:lang w:val="en-US"/>
        </w:rPr>
        <w:t>, 221499. doi:10.1101/221499</w:t>
      </w:r>
    </w:p>
    <w:p w:rsidR="004B4C36" w:rsidRPr="002E14BA" w:rsidRDefault="004B4C36" w:rsidP="004B4C36">
      <w:pPr>
        <w:pStyle w:val="Paragraphedeliste"/>
        <w:numPr>
          <w:ilvl w:val="0"/>
          <w:numId w:val="1"/>
        </w:numPr>
        <w:spacing w:after="60"/>
        <w:rPr>
          <w:lang w:val="en-US"/>
        </w:rPr>
      </w:pPr>
      <w:r w:rsidRPr="002E14BA">
        <w:rPr>
          <w:lang w:val="en-US"/>
        </w:rPr>
        <w:t>https://cran.r-project.org/web/packages/ggplot2/index.html</w:t>
      </w:r>
    </w:p>
    <w:p w:rsidR="004B4C36" w:rsidRDefault="004B4C36" w:rsidP="004B4C36">
      <w:pPr>
        <w:pStyle w:val="Paragraphedeliste"/>
        <w:numPr>
          <w:ilvl w:val="0"/>
          <w:numId w:val="1"/>
        </w:numPr>
        <w:spacing w:after="60"/>
        <w:rPr>
          <w:lang w:val="en-US"/>
        </w:rPr>
      </w:pPr>
      <w:hyperlink r:id="rId11" w:history="1">
        <w:r w:rsidRPr="00C27C5A">
          <w:rPr>
            <w:rStyle w:val="Lienhypertexte"/>
            <w:lang w:val="en-US"/>
          </w:rPr>
          <w:t>https://cran.r-project.org/web/packages/vegan/index.html</w:t>
        </w:r>
      </w:hyperlink>
    </w:p>
    <w:p w:rsidR="004B4C36" w:rsidRDefault="004B4C36" w:rsidP="004B4C36">
      <w:pPr>
        <w:spacing w:after="60"/>
        <w:rPr>
          <w:lang w:val="en-US"/>
        </w:rPr>
      </w:pPr>
    </w:p>
    <w:p w:rsidR="00AF2957" w:rsidRDefault="004B4C36" w:rsidP="00AF2957">
      <w:pPr>
        <w:spacing w:before="240" w:after="240" w:line="240" w:lineRule="auto"/>
        <w:jc w:val="both"/>
        <w:rPr>
          <w:rFonts w:eastAsia="Times New Roman" w:cstheme="minorHAnsi"/>
          <w:b/>
          <w:sz w:val="24"/>
          <w:szCs w:val="24"/>
          <w:lang w:val="en-US" w:eastAsia="fr-FR"/>
        </w:rPr>
      </w:pPr>
      <w:r w:rsidRPr="00AD07BD">
        <w:rPr>
          <w:rFonts w:eastAsia="Times New Roman" w:cstheme="minorHAnsi"/>
          <w:b/>
          <w:sz w:val="24"/>
          <w:szCs w:val="24"/>
          <w:lang w:val="en-US" w:eastAsia="fr-FR"/>
        </w:rPr>
        <w:t>Table S</w:t>
      </w:r>
      <w:r w:rsidR="00AF2957">
        <w:rPr>
          <w:rFonts w:eastAsia="Times New Roman" w:cstheme="minorHAnsi"/>
          <w:b/>
          <w:sz w:val="24"/>
          <w:szCs w:val="24"/>
          <w:lang w:val="en-US" w:eastAsia="fr-FR"/>
        </w:rPr>
        <w:t>3</w:t>
      </w:r>
      <w:r w:rsidRPr="00AD07BD">
        <w:rPr>
          <w:rFonts w:eastAsia="Times New Roman" w:cstheme="minorHAnsi"/>
          <w:b/>
          <w:sz w:val="24"/>
          <w:szCs w:val="24"/>
          <w:lang w:val="en-US" w:eastAsia="fr-FR"/>
        </w:rPr>
        <w:t xml:space="preserve"> List of contaminants identified by </w:t>
      </w:r>
      <w:proofErr w:type="spellStart"/>
      <w:r>
        <w:rPr>
          <w:rFonts w:eastAsia="Times New Roman" w:cstheme="minorHAnsi"/>
          <w:b/>
          <w:sz w:val="24"/>
          <w:szCs w:val="24"/>
          <w:lang w:val="en-US" w:eastAsia="fr-FR"/>
        </w:rPr>
        <w:t>decontam</w:t>
      </w:r>
      <w:proofErr w:type="spellEnd"/>
      <w:r>
        <w:rPr>
          <w:rFonts w:eastAsia="Times New Roman" w:cstheme="minorHAnsi"/>
          <w:b/>
          <w:sz w:val="24"/>
          <w:szCs w:val="24"/>
          <w:lang w:val="en-US" w:eastAsia="fr-FR"/>
        </w:rPr>
        <w:t xml:space="preserve"> for the four techniques</w:t>
      </w:r>
      <w:r w:rsidR="00AF2957" w:rsidRPr="00AF2957">
        <w:rPr>
          <w:rFonts w:eastAsia="Times New Roman" w:cstheme="minorHAnsi"/>
          <w:b/>
          <w:sz w:val="24"/>
          <w:szCs w:val="24"/>
          <w:lang w:val="en-US" w:eastAsia="fr-FR"/>
        </w:rPr>
        <w:t xml:space="preserve"> </w:t>
      </w:r>
    </w:p>
    <w:p w:rsidR="00AF2957" w:rsidRPr="00AD07BD" w:rsidRDefault="00AF2957" w:rsidP="00AF2957">
      <w:pPr>
        <w:spacing w:before="240" w:after="240" w:line="240" w:lineRule="auto"/>
        <w:jc w:val="both"/>
        <w:rPr>
          <w:rFonts w:eastAsia="Times New Roman" w:cstheme="minorHAnsi"/>
          <w:b/>
          <w:sz w:val="24"/>
          <w:szCs w:val="24"/>
          <w:lang w:val="en-US" w:eastAsia="fr-FR"/>
        </w:rPr>
      </w:pPr>
      <w:r>
        <w:rPr>
          <w:rFonts w:eastAsia="Times New Roman" w:cstheme="minorHAnsi"/>
          <w:b/>
          <w:sz w:val="24"/>
          <w:szCs w:val="24"/>
          <w:lang w:val="en-US" w:eastAsia="fr-FR"/>
        </w:rPr>
        <w:t>Table S</w:t>
      </w:r>
      <w:r>
        <w:rPr>
          <w:rFonts w:eastAsia="Times New Roman" w:cstheme="minorHAnsi"/>
          <w:b/>
          <w:sz w:val="24"/>
          <w:szCs w:val="24"/>
          <w:lang w:val="en-US" w:eastAsia="fr-FR"/>
        </w:rPr>
        <w:t>4</w:t>
      </w:r>
      <w:r>
        <w:rPr>
          <w:rFonts w:eastAsia="Times New Roman" w:cstheme="minorHAnsi"/>
          <w:b/>
          <w:sz w:val="24"/>
          <w:szCs w:val="24"/>
          <w:lang w:val="en-US" w:eastAsia="fr-FR"/>
        </w:rPr>
        <w:t xml:space="preserve">. Sequencing characteristics </w:t>
      </w:r>
    </w:p>
    <w:p w:rsidR="00634DA8" w:rsidRPr="004B4C36" w:rsidRDefault="00BD7C4C" w:rsidP="004B4C36">
      <w:pPr>
        <w:spacing w:before="240" w:after="240" w:line="240" w:lineRule="auto"/>
        <w:jc w:val="both"/>
        <w:rPr>
          <w:rFonts w:eastAsia="Times New Roman" w:cstheme="minorHAnsi"/>
          <w:b/>
          <w:sz w:val="24"/>
          <w:szCs w:val="24"/>
          <w:lang w:val="en-US" w:eastAsia="fr-FR"/>
        </w:rPr>
      </w:pPr>
    </w:p>
    <w:sectPr w:rsidR="00634DA8" w:rsidRPr="004B4C36" w:rsidSect="00010663"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B77232"/>
    <w:multiLevelType w:val="hybridMultilevel"/>
    <w:tmpl w:val="85C2C77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C36"/>
    <w:rsid w:val="000D1CCC"/>
    <w:rsid w:val="004B4C36"/>
    <w:rsid w:val="005109C3"/>
    <w:rsid w:val="00880188"/>
    <w:rsid w:val="00AF2957"/>
    <w:rsid w:val="00BD7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53170"/>
  <w15:chartTrackingRefBased/>
  <w15:docId w15:val="{FF781AE2-4B63-4BA1-8B44-C391244C3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4C3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B4C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4B4C36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B4C36"/>
    <w:pPr>
      <w:spacing w:after="0" w:line="240" w:lineRule="auto"/>
      <w:ind w:left="720"/>
      <w:contextualSpacing/>
    </w:pPr>
    <w:rPr>
      <w:sz w:val="24"/>
      <w:szCs w:val="24"/>
    </w:rPr>
  </w:style>
  <w:style w:type="character" w:styleId="Numrodeligne">
    <w:name w:val="line number"/>
    <w:basedOn w:val="Policepardfaut"/>
    <w:uiPriority w:val="99"/>
    <w:semiHidden/>
    <w:unhideWhenUsed/>
    <w:rsid w:val="004B4C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cran.r-project.org/web/packages/vegan/index.html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doi.org/10.1186/s12859-020-3433-x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650</Words>
  <Characters>3577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Hospices Civils de Lyon</Company>
  <LinksUpToDate>false</LinksUpToDate>
  <CharactersWithSpaces>4219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DESTRAS, Gregory</dc:creator>
  <cp:keywords/>
  <dc:description/>
  <cp:lastModifiedBy>DESTRAS, Gregory</cp:lastModifiedBy>
  <cp:revision>3</cp:revision>
  <dcterms:created xsi:type="dcterms:W3CDTF">2024-02-15T15:09:00Z</dcterms:created>
  <dcterms:modified xsi:type="dcterms:W3CDTF">2024-02-15T15:20:00Z</dcterms:modified>
</cp:coreProperties>
</file>