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ind w:right="-1584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Supplemental Information</w:t>
      </w:r>
    </w:p>
    <w:p w:rsidR="00000000" w:rsidDel="00000000" w:rsidP="00000000" w:rsidRDefault="00000000" w:rsidRPr="00000000" w14:paraId="00000002">
      <w:pPr>
        <w:pStyle w:val="Heading1"/>
        <w:ind w:right="-1584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Supplemental Figures</w:t>
      </w:r>
    </w:p>
    <w:p w:rsidR="00000000" w:rsidDel="00000000" w:rsidP="00000000" w:rsidRDefault="00000000" w:rsidRPr="00000000" w14:paraId="00000003">
      <w:pPr>
        <w:pStyle w:val="Heading4"/>
        <w:ind w:right="-15840"/>
        <w:rPr>
          <w:rFonts w:ascii="Times New Roman" w:cs="Times New Roman" w:eastAsia="Times New Roman" w:hAnsi="Times New Roman"/>
        </w:rPr>
      </w:pPr>
      <w:bookmarkStart w:colFirst="0" w:colLast="0" w:name="_heading=h.3dy6vkm" w:id="0"/>
      <w:bookmarkEnd w:id="0"/>
      <w:r w:rsidDel="00000000" w:rsidR="00000000" w:rsidRPr="00000000">
        <w:rPr>
          <w:rFonts w:ascii="Times New Roman" w:cs="Times New Roman" w:eastAsia="Times New Roman" w:hAnsi="Times New Roman"/>
          <w:b w:val="1"/>
          <w:rtl w:val="0"/>
        </w:rPr>
        <w:t xml:space="preserve">Figure S1</w:t>
      </w:r>
      <w:r w:rsidDel="00000000" w:rsidR="00000000" w:rsidRPr="00000000">
        <w:rPr>
          <w:rtl w:val="0"/>
        </w:rPr>
      </w:r>
    </w:p>
    <w:p w:rsidR="00000000" w:rsidDel="00000000" w:rsidP="00000000" w:rsidRDefault="00000000" w:rsidRPr="00000000" w14:paraId="00000004">
      <w:pPr>
        <w:ind w:right="-1584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Pr>
        <w:drawing>
          <wp:inline distB="0" distT="0" distL="0" distR="0">
            <wp:extent cx="2332343" cy="4124934"/>
            <wp:effectExtent b="0" l="0" r="0" t="0"/>
            <wp:docPr id="1893202932"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2332343" cy="4124934"/>
                    </a:xfrm>
                    <a:prstGeom prst="rect"/>
                    <a:ln/>
                  </pic:spPr>
                </pic:pic>
              </a:graphicData>
            </a:graphic>
          </wp:inline>
        </w:drawing>
      </w:r>
      <w:r w:rsidDel="00000000" w:rsidR="00000000" w:rsidRPr="00000000">
        <w:rPr>
          <w:rFonts w:ascii="Times New Roman" w:cs="Times New Roman" w:eastAsia="Times New Roman" w:hAnsi="Times New Roman"/>
          <w:b w:val="1"/>
          <w:rtl w:val="0"/>
        </w:rPr>
        <w:t xml:space="preserve"> </w:t>
      </w:r>
    </w:p>
    <w:p w:rsidR="00000000" w:rsidDel="00000000" w:rsidP="00000000" w:rsidRDefault="00000000" w:rsidRPr="00000000" w14:paraId="00000005">
      <w:pPr>
        <w:ind w:right="288"/>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In vitro</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characterization of the hESC-RPE cells.</w:t>
      </w:r>
      <w:r w:rsidDel="00000000" w:rsidR="00000000" w:rsidRPr="00000000">
        <w:rPr>
          <w:rFonts w:ascii="Times New Roman" w:cs="Times New Roman" w:eastAsia="Times New Roman" w:hAnsi="Times New Roman"/>
          <w:b w:val="1"/>
          <w:rtl w:val="0"/>
        </w:rPr>
        <w:t xml:space="preserve"> A,</w:t>
      </w:r>
      <w:r w:rsidDel="00000000" w:rsidR="00000000" w:rsidRPr="00000000">
        <w:rPr>
          <w:rFonts w:ascii="Times New Roman" w:cs="Times New Roman" w:eastAsia="Times New Roman" w:hAnsi="Times New Roman"/>
          <w:rtl w:val="0"/>
        </w:rPr>
        <w:t xml:space="preserve"> Representative brightfield micrograph shows the morphology and pigmentation of hESC-RPE in culture. </w:t>
      </w:r>
      <w:r w:rsidDel="00000000" w:rsidR="00000000" w:rsidRPr="00000000">
        <w:rPr>
          <w:rFonts w:ascii="Times New Roman" w:cs="Times New Roman" w:eastAsia="Times New Roman" w:hAnsi="Times New Roman"/>
          <w:b w:val="1"/>
          <w:rtl w:val="0"/>
        </w:rPr>
        <w:t xml:space="preserve">B,</w:t>
      </w:r>
      <w:r w:rsidDel="00000000" w:rsidR="00000000" w:rsidRPr="00000000">
        <w:rPr>
          <w:rFonts w:ascii="Times New Roman" w:cs="Times New Roman" w:eastAsia="Times New Roman" w:hAnsi="Times New Roman"/>
          <w:rtl w:val="0"/>
        </w:rPr>
        <w:t xml:space="preserve"> Representative confocal micrographs after immunofluorescence labeling show expression and subcellular polarization of tight junction proteins ZO-1 and claudin-19, Na</w:t>
      </w:r>
      <w:r w:rsidDel="00000000" w:rsidR="00000000" w:rsidRPr="00000000">
        <w:rPr>
          <w:rFonts w:ascii="Times New Roman" w:cs="Times New Roman" w:eastAsia="Times New Roman" w:hAnsi="Times New Roman"/>
          <w:vertAlign w:val="superscript"/>
          <w:rtl w:val="0"/>
        </w:rPr>
        <w:t xml:space="preserve">+</w:t>
      </w:r>
      <w:r w:rsidDel="00000000" w:rsidR="00000000" w:rsidRPr="00000000">
        <w:rPr>
          <w:rFonts w:ascii="Times New Roman" w:cs="Times New Roman" w:eastAsia="Times New Roman" w:hAnsi="Times New Roman"/>
          <w:rtl w:val="0"/>
        </w:rPr>
        <w:t xml:space="preserve">/K</w:t>
      </w:r>
      <w:r w:rsidDel="00000000" w:rsidR="00000000" w:rsidRPr="00000000">
        <w:rPr>
          <w:rFonts w:ascii="Times New Roman" w:cs="Times New Roman" w:eastAsia="Times New Roman" w:hAnsi="Times New Roman"/>
          <w:vertAlign w:val="superscript"/>
          <w:rtl w:val="0"/>
        </w:rPr>
        <w:t xml:space="preserve">+</w:t>
      </w:r>
      <w:r w:rsidDel="00000000" w:rsidR="00000000" w:rsidRPr="00000000">
        <w:rPr>
          <w:rFonts w:ascii="Times New Roman" w:cs="Times New Roman" w:eastAsia="Times New Roman" w:hAnsi="Times New Roman"/>
          <w:rtl w:val="0"/>
        </w:rPr>
        <w:t xml:space="preserve"> -ATPase pump, ion channel bestrophin, and phagocytosis receptor MERTK. </w:t>
      </w:r>
      <w:r w:rsidDel="00000000" w:rsidR="00000000" w:rsidRPr="00000000">
        <w:rPr>
          <w:rFonts w:ascii="Times New Roman" w:cs="Times New Roman" w:eastAsia="Times New Roman" w:hAnsi="Times New Roman"/>
          <w:b w:val="1"/>
          <w:rtl w:val="0"/>
        </w:rPr>
        <w:t xml:space="preserve">C,</w:t>
      </w:r>
      <w:r w:rsidDel="00000000" w:rsidR="00000000" w:rsidRPr="00000000">
        <w:rPr>
          <w:rFonts w:ascii="Times New Roman" w:cs="Times New Roman" w:eastAsia="Times New Roman" w:hAnsi="Times New Roman"/>
          <w:rtl w:val="0"/>
        </w:rPr>
        <w:t xml:space="preserve"> Representative confocal micrograph shows the phagocytosis of isolated porcine POS by hESC-RPE </w:t>
      </w:r>
      <w:r w:rsidDel="00000000" w:rsidR="00000000" w:rsidRPr="00000000">
        <w:rPr>
          <w:rFonts w:ascii="Times New Roman" w:cs="Times New Roman" w:eastAsia="Times New Roman" w:hAnsi="Times New Roman"/>
          <w:i w:val="1"/>
          <w:rtl w:val="0"/>
        </w:rPr>
        <w:t xml:space="preserve">in vitro</w:t>
      </w:r>
      <w:r w:rsidDel="00000000" w:rsidR="00000000" w:rsidRPr="00000000">
        <w:rPr>
          <w:rFonts w:ascii="Times New Roman" w:cs="Times New Roman" w:eastAsia="Times New Roman" w:hAnsi="Times New Roman"/>
          <w:rtl w:val="0"/>
        </w:rPr>
        <w:t xml:space="preserve">. Filamentous actin was visualized with phalloidin. Vertical confocal sections show internalization of POS. Scale bars 20 µm. </w:t>
      </w:r>
      <w:r w:rsidDel="00000000" w:rsidR="00000000" w:rsidRPr="00000000">
        <w:rPr>
          <w:rFonts w:ascii="Times New Roman" w:cs="Times New Roman" w:eastAsia="Times New Roman" w:hAnsi="Times New Roman"/>
          <w:b w:val="1"/>
          <w:rtl w:val="0"/>
        </w:rPr>
        <w:t xml:space="preserve">D,</w:t>
      </w:r>
      <w:r w:rsidDel="00000000" w:rsidR="00000000" w:rsidRPr="00000000">
        <w:rPr>
          <w:rFonts w:ascii="Times New Roman" w:cs="Times New Roman" w:eastAsia="Times New Roman" w:hAnsi="Times New Roman"/>
          <w:rtl w:val="0"/>
        </w:rPr>
        <w:t xml:space="preserve"> Apical and basal PEDF secretion (ng/mL) by hESC-RPE cells grown on PET insert for 50 ± 12 (mean ± SD) days. Secretion was measured from 6 individual experiments (in total 27 inserts). The box plot shows the minimum, first quartile, median, third quartile, and maximum.</w:t>
      </w:r>
    </w:p>
    <w:p w:rsidR="00000000" w:rsidDel="00000000" w:rsidP="00000000" w:rsidRDefault="00000000" w:rsidRPr="00000000" w14:paraId="00000006">
      <w:pPr>
        <w:pStyle w:val="Heading4"/>
        <w:ind w:right="-1584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Figure S2</w:t>
      </w:r>
    </w:p>
    <w:p w:rsidR="00000000" w:rsidDel="00000000" w:rsidP="00000000" w:rsidRDefault="00000000" w:rsidRPr="00000000" w14:paraId="00000007">
      <w:pPr>
        <w:ind w:right="-15840"/>
        <w:rPr>
          <w:rFonts w:ascii="Times New Roman" w:cs="Times New Roman" w:eastAsia="Times New Roman" w:hAnsi="Times New Roman"/>
        </w:rPr>
      </w:pPr>
      <w:r w:rsidDel="00000000" w:rsidR="00000000" w:rsidRPr="00000000">
        <w:rPr>
          <w:rFonts w:ascii="Times New Roman" w:cs="Times New Roman" w:eastAsia="Times New Roman" w:hAnsi="Times New Roman"/>
          <w:b w:val="1"/>
        </w:rPr>
        <w:drawing>
          <wp:inline distB="0" distT="0" distL="0" distR="0">
            <wp:extent cx="5760085" cy="4942840"/>
            <wp:effectExtent b="0" l="0" r="0" t="0"/>
            <wp:docPr descr="A screenshot of a cell phone&#10;&#10;Description automatically generated" id="1893202934" name="image5.png"/>
            <a:graphic>
              <a:graphicData uri="http://schemas.openxmlformats.org/drawingml/2006/picture">
                <pic:pic>
                  <pic:nvPicPr>
                    <pic:cNvPr descr="A screenshot of a cell phone&#10;&#10;Description automatically generated" id="0" name="image5.png"/>
                    <pic:cNvPicPr preferRelativeResize="0"/>
                  </pic:nvPicPr>
                  <pic:blipFill>
                    <a:blip r:embed="rId8"/>
                    <a:srcRect b="0" l="0" r="0" t="0"/>
                    <a:stretch>
                      <a:fillRect/>
                    </a:stretch>
                  </pic:blipFill>
                  <pic:spPr>
                    <a:xfrm>
                      <a:off x="0" y="0"/>
                      <a:ext cx="5760085" cy="494284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ind w:right="288"/>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Graphical representation of shipment temperatures and times. The low and high extremes of each shipment were 21.6 to 20.8 °C, 20.6 to 22.4 °C, 21.9 to 24.5 °C, 22.1 to 28 °C and 21.6 to 26.4 °C, respectively. The arrow marks the time of adding the cells into the prepared thermo-container.</w:t>
      </w:r>
    </w:p>
    <w:p w:rsidR="00000000" w:rsidDel="00000000" w:rsidP="00000000" w:rsidRDefault="00000000" w:rsidRPr="00000000" w14:paraId="00000009">
      <w:pPr>
        <w:ind w:right="-15840"/>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0A">
      <w:pPr>
        <w:pStyle w:val="Heading4"/>
        <w:ind w:right="-1584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Figure S3</w:t>
      </w:r>
    </w:p>
    <w:p w:rsidR="00000000" w:rsidDel="00000000" w:rsidP="00000000" w:rsidRDefault="00000000" w:rsidRPr="00000000" w14:paraId="0000000B">
      <w:pPr>
        <w:ind w:right="-15840"/>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5760085" cy="2261870"/>
            <wp:effectExtent b="0" l="0" r="0" t="0"/>
            <wp:docPr descr="A picture containing photo, car, filled, looking&#10;&#10;Description automatically generated" id="1893202933" name="image3.png"/>
            <a:graphic>
              <a:graphicData uri="http://schemas.openxmlformats.org/drawingml/2006/picture">
                <pic:pic>
                  <pic:nvPicPr>
                    <pic:cNvPr descr="A picture containing photo, car, filled, looking&#10;&#10;Description automatically generated" id="0" name="image3.png"/>
                    <pic:cNvPicPr preferRelativeResize="0"/>
                  </pic:nvPicPr>
                  <pic:blipFill>
                    <a:blip r:embed="rId9"/>
                    <a:srcRect b="0" l="0" r="0" t="0"/>
                    <a:stretch>
                      <a:fillRect/>
                    </a:stretch>
                  </pic:blipFill>
                  <pic:spPr>
                    <a:xfrm>
                      <a:off x="0" y="0"/>
                      <a:ext cx="5760085" cy="2261870"/>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ind w:right="288"/>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Postoperative </w:t>
      </w:r>
      <w:r w:rsidDel="00000000" w:rsidR="00000000" w:rsidRPr="00000000">
        <w:rPr>
          <w:rFonts w:ascii="Times New Roman" w:cs="Times New Roman" w:eastAsia="Times New Roman" w:hAnsi="Times New Roman"/>
          <w:i w:val="1"/>
          <w:rtl w:val="0"/>
        </w:rPr>
        <w:t xml:space="preserve">in vivo</w:t>
      </w:r>
      <w:r w:rsidDel="00000000" w:rsidR="00000000" w:rsidRPr="00000000">
        <w:rPr>
          <w:rFonts w:ascii="Times New Roman" w:cs="Times New Roman" w:eastAsia="Times New Roman" w:hAnsi="Times New Roman"/>
          <w:rtl w:val="0"/>
        </w:rPr>
        <w:t xml:space="preserve"> analysis with multimodal imaging in an animal with unfavorable outcome. </w:t>
      </w:r>
      <w:r w:rsidDel="00000000" w:rsidR="00000000" w:rsidRPr="00000000">
        <w:rPr>
          <w:rFonts w:ascii="Times New Roman" w:cs="Times New Roman" w:eastAsia="Times New Roman" w:hAnsi="Times New Roman"/>
          <w:b w:val="1"/>
          <w:rtl w:val="0"/>
        </w:rPr>
        <w:t xml:space="preserve">Line I, II and III,</w:t>
      </w:r>
      <w:r w:rsidDel="00000000" w:rsidR="00000000" w:rsidRPr="00000000">
        <w:rPr>
          <w:rFonts w:ascii="Times New Roman" w:cs="Times New Roman" w:eastAsia="Times New Roman" w:hAnsi="Times New Roman"/>
          <w:rtl w:val="0"/>
        </w:rPr>
        <w:t xml:space="preserve"> Representative case of submacular hESC-RPE graft at baseline and Day 5, 28 after surgery. </w:t>
      </w:r>
      <w:r w:rsidDel="00000000" w:rsidR="00000000" w:rsidRPr="00000000">
        <w:rPr>
          <w:rFonts w:ascii="Times New Roman" w:cs="Times New Roman" w:eastAsia="Times New Roman" w:hAnsi="Times New Roman"/>
          <w:b w:val="1"/>
          <w:rtl w:val="0"/>
        </w:rPr>
        <w:t xml:space="preserve">Column A,</w:t>
      </w:r>
      <w:r w:rsidDel="00000000" w:rsidR="00000000" w:rsidRPr="00000000">
        <w:rPr>
          <w:rFonts w:ascii="Times New Roman" w:cs="Times New Roman" w:eastAsia="Times New Roman" w:hAnsi="Times New Roman"/>
          <w:rtl w:val="0"/>
        </w:rPr>
        <w:t xml:space="preserve"> Infrared reflectance (IR) images of posterior fundus. </w:t>
      </w:r>
      <w:r w:rsidDel="00000000" w:rsidR="00000000" w:rsidRPr="00000000">
        <w:rPr>
          <w:rFonts w:ascii="Times New Roman" w:cs="Times New Roman" w:eastAsia="Times New Roman" w:hAnsi="Times New Roman"/>
          <w:b w:val="1"/>
          <w:rtl w:val="0"/>
        </w:rPr>
        <w:t xml:space="preserve">Column B</w:t>
      </w:r>
      <w:r w:rsidDel="00000000" w:rsidR="00000000" w:rsidRPr="00000000">
        <w:rPr>
          <w:rFonts w:ascii="Times New Roman" w:cs="Times New Roman" w:eastAsia="Times New Roman" w:hAnsi="Times New Roman"/>
          <w:rtl w:val="0"/>
        </w:rPr>
        <w:t xml:space="preserve">, Blue fundus autofluorescence (BAF) images show minor hyper autofluorescence changes at Day 5, that became severe by Day 28. </w:t>
      </w:r>
      <w:r w:rsidDel="00000000" w:rsidR="00000000" w:rsidRPr="00000000">
        <w:rPr>
          <w:rFonts w:ascii="Times New Roman" w:cs="Times New Roman" w:eastAsia="Times New Roman" w:hAnsi="Times New Roman"/>
          <w:b w:val="1"/>
          <w:rtl w:val="0"/>
        </w:rPr>
        <w:t xml:space="preserve">Column C and D,</w:t>
      </w:r>
      <w:r w:rsidDel="00000000" w:rsidR="00000000" w:rsidRPr="00000000">
        <w:rPr>
          <w:rFonts w:ascii="Times New Roman" w:cs="Times New Roman" w:eastAsia="Times New Roman" w:hAnsi="Times New Roman"/>
          <w:rtl w:val="0"/>
        </w:rPr>
        <w:t xml:space="preserve"> Early and late phase fluorescein angiography (FA) shows fluorescein leakage surrounding the hESC-RPE graft (white outlines) in the late phase (red arrows). </w:t>
      </w:r>
      <w:r w:rsidDel="00000000" w:rsidR="00000000" w:rsidRPr="00000000">
        <w:rPr>
          <w:rFonts w:ascii="Times New Roman" w:cs="Times New Roman" w:eastAsia="Times New Roman" w:hAnsi="Times New Roman"/>
          <w:b w:val="1"/>
          <w:rtl w:val="0"/>
        </w:rPr>
        <w:t xml:space="preserve">Column E and F,</w:t>
      </w:r>
      <w:r w:rsidDel="00000000" w:rsidR="00000000" w:rsidRPr="00000000">
        <w:rPr>
          <w:rFonts w:ascii="Times New Roman" w:cs="Times New Roman" w:eastAsia="Times New Roman" w:hAnsi="Times New Roman"/>
          <w:rtl w:val="0"/>
        </w:rPr>
        <w:t xml:space="preserve"> horizontal and vertical SD-OCT scans through the middle of the implants (as shown in inserts). Outer retinal reflectance layers on SD-OCT are grossly preserved both over the hESC-RPE graft (white triangles indicate the edges of the grafts) and the remaining bleb area, except the retinotomy site (red arrows). Scale bars </w:t>
      </w:r>
      <w:r w:rsidDel="00000000" w:rsidR="00000000" w:rsidRPr="00000000">
        <w:rPr>
          <w:rFonts w:ascii="Times New Roman" w:cs="Times New Roman" w:eastAsia="Times New Roman" w:hAnsi="Times New Roman"/>
          <w:b w:val="1"/>
          <w:rtl w:val="0"/>
        </w:rPr>
        <w:t xml:space="preserve">(A-D)</w:t>
      </w:r>
      <w:r w:rsidDel="00000000" w:rsidR="00000000" w:rsidRPr="00000000">
        <w:rPr>
          <w:rFonts w:ascii="Times New Roman" w:cs="Times New Roman" w:eastAsia="Times New Roman" w:hAnsi="Times New Roman"/>
          <w:rtl w:val="0"/>
        </w:rPr>
        <w:t xml:space="preserve"> 2mm, </w:t>
      </w:r>
      <w:r w:rsidDel="00000000" w:rsidR="00000000" w:rsidRPr="00000000">
        <w:rPr>
          <w:rFonts w:ascii="Times New Roman" w:cs="Times New Roman" w:eastAsia="Times New Roman" w:hAnsi="Times New Roman"/>
          <w:b w:val="1"/>
          <w:rtl w:val="0"/>
        </w:rPr>
        <w:t xml:space="preserve">(E and F)</w:t>
      </w:r>
      <w:r w:rsidDel="00000000" w:rsidR="00000000" w:rsidRPr="00000000">
        <w:rPr>
          <w:rFonts w:ascii="Times New Roman" w:cs="Times New Roman" w:eastAsia="Times New Roman" w:hAnsi="Times New Roman"/>
          <w:rtl w:val="0"/>
        </w:rPr>
        <w:t xml:space="preserve"> 200 µm.</w:t>
      </w:r>
    </w:p>
    <w:p w:rsidR="00000000" w:rsidDel="00000000" w:rsidP="00000000" w:rsidRDefault="00000000" w:rsidRPr="00000000" w14:paraId="0000000D">
      <w:pPr>
        <w:ind w:right="-15840"/>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0E">
      <w:pPr>
        <w:pStyle w:val="Heading4"/>
        <w:ind w:right="-1584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Figure S4</w:t>
      </w:r>
    </w:p>
    <w:p w:rsidR="00000000" w:rsidDel="00000000" w:rsidP="00000000" w:rsidRDefault="00000000" w:rsidRPr="00000000" w14:paraId="0000000F">
      <w:pPr>
        <w:ind w:right="-15840"/>
        <w:rPr>
          <w:rFonts w:ascii="Times New Roman" w:cs="Times New Roman" w:eastAsia="Times New Roman" w:hAnsi="Times New Roman"/>
          <w:color w:val="1e4d78"/>
          <w:sz w:val="24"/>
          <w:szCs w:val="24"/>
        </w:rPr>
      </w:pPr>
      <w:r w:rsidDel="00000000" w:rsidR="00000000" w:rsidRPr="00000000">
        <w:rPr>
          <w:rFonts w:ascii="Times New Roman" w:cs="Times New Roman" w:eastAsia="Times New Roman" w:hAnsi="Times New Roman"/>
          <w:color w:val="1e4d78"/>
          <w:sz w:val="24"/>
          <w:szCs w:val="24"/>
        </w:rPr>
        <w:drawing>
          <wp:inline distB="0" distT="0" distL="0" distR="0">
            <wp:extent cx="5274526" cy="5267548"/>
            <wp:effectExtent b="0" l="0" r="0" t="0"/>
            <wp:docPr descr="A picture containing photo, grass, colorful&#10;&#10;Description automatically generated" id="1893202935" name="image4.png"/>
            <a:graphic>
              <a:graphicData uri="http://schemas.openxmlformats.org/drawingml/2006/picture">
                <pic:pic>
                  <pic:nvPicPr>
                    <pic:cNvPr descr="A picture containing photo, grass, colorful&#10;&#10;Description automatically generated" id="0" name="image4.png"/>
                    <pic:cNvPicPr preferRelativeResize="0"/>
                  </pic:nvPicPr>
                  <pic:blipFill>
                    <a:blip r:embed="rId10"/>
                    <a:srcRect b="0" l="0" r="0" t="0"/>
                    <a:stretch>
                      <a:fillRect/>
                    </a:stretch>
                  </pic:blipFill>
                  <pic:spPr>
                    <a:xfrm>
                      <a:off x="0" y="0"/>
                      <a:ext cx="5274526" cy="5267548"/>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ind w:right="288"/>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Effect of different subretinal BSS injection modes on fluorescein angiography. The middle panel is early phase FA, the right panel is late phase FA. The left-hand panels show the corresponding infrared reflectance images. An automated, foot pedal-controlled injection with 6-10 psi from the vitrectomy machine produced significant subretinal scarring as evidenced by fluorescein leakage in the late phase (upper row), whilst with a manual injection under air (middle row) or PFCL tamponade (lower row) fluorescein staining is only seen at the site of the former RPE wound. Note that there is no leakage over or immediately surrounding the hESC-RPE implant. All images were taken at post-operative day 28.</w:t>
      </w:r>
    </w:p>
    <w:p w:rsidR="00000000" w:rsidDel="00000000" w:rsidP="00000000" w:rsidRDefault="00000000" w:rsidRPr="00000000" w14:paraId="00000011">
      <w:pPr>
        <w:ind w:right="-15840"/>
        <w:rPr>
          <w:rFonts w:ascii="Times New Roman" w:cs="Times New Roman" w:eastAsia="Times New Roman" w:hAnsi="Times New Roman"/>
          <w:color w:val="1e4d78"/>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2">
      <w:pPr>
        <w:pStyle w:val="Heading4"/>
        <w:ind w:right="-1584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Figure S5</w:t>
      </w:r>
      <w:r w:rsidDel="00000000" w:rsidR="00000000" w:rsidRPr="00000000">
        <w:drawing>
          <wp:anchor allowOverlap="1" behindDoc="0" distB="0" distT="0" distL="114300" distR="114300" hidden="0" layoutInCell="1" locked="0" relativeHeight="0" simplePos="0">
            <wp:simplePos x="0" y="0"/>
            <wp:positionH relativeFrom="column">
              <wp:posOffset>29213</wp:posOffset>
            </wp:positionH>
            <wp:positionV relativeFrom="paragraph">
              <wp:posOffset>383540</wp:posOffset>
            </wp:positionV>
            <wp:extent cx="5217795" cy="1203960"/>
            <wp:effectExtent b="0" l="0" r="0" t="0"/>
            <wp:wrapTopAndBottom distB="0" distT="0"/>
            <wp:docPr descr="A picture containing mirror&#10;&#10;Description automatically generated" id="1893202931" name="image1.jpg"/>
            <a:graphic>
              <a:graphicData uri="http://schemas.openxmlformats.org/drawingml/2006/picture">
                <pic:pic>
                  <pic:nvPicPr>
                    <pic:cNvPr descr="A picture containing mirror&#10;&#10;Description automatically generated" id="0" name="image1.jpg"/>
                    <pic:cNvPicPr preferRelativeResize="0"/>
                  </pic:nvPicPr>
                  <pic:blipFill>
                    <a:blip r:embed="rId11"/>
                    <a:srcRect b="0" l="0" r="0" t="0"/>
                    <a:stretch>
                      <a:fillRect/>
                    </a:stretch>
                  </pic:blipFill>
                  <pic:spPr>
                    <a:xfrm>
                      <a:off x="0" y="0"/>
                      <a:ext cx="5217795" cy="1203960"/>
                    </a:xfrm>
                    <a:prstGeom prst="rect"/>
                    <a:ln/>
                  </pic:spPr>
                </pic:pic>
              </a:graphicData>
            </a:graphic>
          </wp:anchor>
        </w:drawing>
      </w:r>
    </w:p>
    <w:p w:rsidR="00000000" w:rsidDel="00000000" w:rsidP="00000000" w:rsidRDefault="00000000" w:rsidRPr="00000000" w14:paraId="00000013">
      <w:pPr>
        <w:spacing w:after="0" w:lineRule="auto"/>
        <w:ind w:right="-1584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ind w:right="288"/>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Retinal gliosis after using Ca</w:t>
      </w:r>
      <w:r w:rsidDel="00000000" w:rsidR="00000000" w:rsidRPr="00000000">
        <w:rPr>
          <w:rFonts w:ascii="Times New Roman" w:cs="Times New Roman" w:eastAsia="Times New Roman" w:hAnsi="Times New Roman"/>
          <w:vertAlign w:val="superscript"/>
          <w:rtl w:val="0"/>
        </w:rPr>
        <w:t xml:space="preserve">2+</w:t>
      </w:r>
      <w:r w:rsidDel="00000000" w:rsidR="00000000" w:rsidRPr="00000000">
        <w:rPr>
          <w:rFonts w:ascii="Times New Roman" w:cs="Times New Roman" w:eastAsia="Times New Roman" w:hAnsi="Times New Roman"/>
          <w:rtl w:val="0"/>
        </w:rPr>
        <w:t xml:space="preserve"> and Mg</w:t>
      </w:r>
      <w:r w:rsidDel="00000000" w:rsidR="00000000" w:rsidRPr="00000000">
        <w:rPr>
          <w:rFonts w:ascii="Times New Roman" w:cs="Times New Roman" w:eastAsia="Times New Roman" w:hAnsi="Times New Roman"/>
          <w:vertAlign w:val="superscript"/>
          <w:rtl w:val="0"/>
        </w:rPr>
        <w:t xml:space="preserve">2+</w:t>
      </w:r>
      <w:r w:rsidDel="00000000" w:rsidR="00000000" w:rsidRPr="00000000">
        <w:rPr>
          <w:rFonts w:ascii="Times New Roman" w:cs="Times New Roman" w:eastAsia="Times New Roman" w:hAnsi="Times New Roman"/>
          <w:rtl w:val="0"/>
        </w:rPr>
        <w:t xml:space="preserve">-free BSS as the tamponade agent during surgery. Glial cells were visualized by immunostaining for GFAP. Representative image of epifluorescent and brightfield micrograph overlay shows strong upregulation of retinal GFAP. Scale bar, 200 µm.</w:t>
      </w:r>
    </w:p>
    <w:p w:rsidR="00000000" w:rsidDel="00000000" w:rsidP="00000000" w:rsidRDefault="00000000" w:rsidRPr="00000000" w14:paraId="00000015">
      <w:pPr>
        <w:ind w:right="-15840"/>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16">
      <w:pPr>
        <w:pStyle w:val="Heading1"/>
        <w:ind w:right="-1584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Supplemental Tables</w:t>
      </w:r>
    </w:p>
    <w:p w:rsidR="00000000" w:rsidDel="00000000" w:rsidP="00000000" w:rsidRDefault="00000000" w:rsidRPr="00000000" w14:paraId="00000017">
      <w:pPr>
        <w:pStyle w:val="Heading2"/>
        <w:ind w:right="-1584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Table S1 Summary of details of antibodies and conditions.</w:t>
      </w:r>
    </w:p>
    <w:tbl>
      <w:tblPr>
        <w:tblStyle w:val="Table1"/>
        <w:tblW w:w="10070.0" w:type="dxa"/>
        <w:jc w:val="left"/>
        <w:tblInd w:w="-289.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423"/>
        <w:gridCol w:w="2268"/>
        <w:gridCol w:w="1134"/>
        <w:gridCol w:w="1560"/>
        <w:gridCol w:w="992"/>
        <w:gridCol w:w="1843"/>
        <w:gridCol w:w="850"/>
        <w:tblGridChange w:id="0">
          <w:tblGrid>
            <w:gridCol w:w="1423"/>
            <w:gridCol w:w="2268"/>
            <w:gridCol w:w="1134"/>
            <w:gridCol w:w="1560"/>
            <w:gridCol w:w="992"/>
            <w:gridCol w:w="1843"/>
            <w:gridCol w:w="850"/>
          </w:tblGrid>
        </w:tblGridChange>
      </w:tblGrid>
      <w:tr>
        <w:trPr>
          <w:trHeight w:val="520" w:hRule="atLeast"/>
        </w:trPr>
        <w:tc>
          <w:tcPr>
            <w:tcBorders>
              <w:top w:color="000000" w:space="0" w:sz="4" w:val="single"/>
              <w:bottom w:color="000000" w:space="0" w:sz="4" w:val="single"/>
            </w:tcBorders>
            <w:shd w:fill="auto" w:val="clear"/>
            <w:vAlign w:val="center"/>
          </w:tcPr>
          <w:p w:rsidR="00000000" w:rsidDel="00000000" w:rsidP="00000000" w:rsidRDefault="00000000" w:rsidRPr="00000000" w14:paraId="00000018">
            <w:pPr>
              <w:spacing w:after="0" w:line="360" w:lineRule="auto"/>
              <w:ind w:right="-15840"/>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Antibody/dye name</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019">
            <w:pPr>
              <w:spacing w:after="0" w:line="360" w:lineRule="auto"/>
              <w:ind w:right="-15840"/>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Manufacturer</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01A">
            <w:pPr>
              <w:spacing w:after="0" w:line="360" w:lineRule="auto"/>
              <w:ind w:right="-15840"/>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Cat#</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01B">
            <w:pPr>
              <w:spacing w:after="0" w:line="360" w:lineRule="auto"/>
              <w:ind w:right="-15840"/>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Application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01C">
            <w:pPr>
              <w:spacing w:after="0" w:line="360" w:lineRule="auto"/>
              <w:ind w:right="-15840"/>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Prim./sec.</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01D">
            <w:pPr>
              <w:spacing w:after="0" w:line="360" w:lineRule="auto"/>
              <w:ind w:right="-15842"/>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Antigen retrieval </w:t>
            </w:r>
          </w:p>
          <w:p w:rsidR="00000000" w:rsidDel="00000000" w:rsidP="00000000" w:rsidRDefault="00000000" w:rsidRPr="00000000" w14:paraId="0000001E">
            <w:pPr>
              <w:spacing w:after="0" w:line="360" w:lineRule="auto"/>
              <w:ind w:right="-15842"/>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(paraffin sections)</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01F">
            <w:pPr>
              <w:spacing w:after="0" w:line="360" w:lineRule="auto"/>
              <w:ind w:right="-15840"/>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Dilution</w:t>
            </w:r>
          </w:p>
        </w:tc>
      </w:tr>
      <w:tr>
        <w:trPr>
          <w:trHeight w:val="367" w:hRule="atLeast"/>
        </w:trPr>
        <w:tc>
          <w:tcPr>
            <w:tcBorders>
              <w:top w:color="000000" w:space="0" w:sz="4" w:val="single"/>
            </w:tcBorders>
            <w:shd w:fill="auto" w:val="clear"/>
          </w:tcPr>
          <w:p w:rsidR="00000000" w:rsidDel="00000000" w:rsidP="00000000" w:rsidRDefault="00000000" w:rsidRPr="00000000" w14:paraId="00000020">
            <w:pPr>
              <w:spacing w:after="120" w:before="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claudin-19</w:t>
            </w:r>
          </w:p>
        </w:tc>
        <w:tc>
          <w:tcPr>
            <w:tcBorders>
              <w:top w:color="000000" w:space="0" w:sz="4" w:val="single"/>
            </w:tcBorders>
            <w:shd w:fill="auto" w:val="clear"/>
          </w:tcPr>
          <w:p w:rsidR="00000000" w:rsidDel="00000000" w:rsidP="00000000" w:rsidRDefault="00000000" w:rsidRPr="00000000" w14:paraId="00000021">
            <w:pPr>
              <w:spacing w:after="120" w:before="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R&amp;D Systems</w:t>
            </w:r>
          </w:p>
        </w:tc>
        <w:tc>
          <w:tcPr>
            <w:tcBorders>
              <w:top w:color="000000" w:space="0" w:sz="4" w:val="single"/>
            </w:tcBorders>
            <w:shd w:fill="auto" w:val="clear"/>
          </w:tcPr>
          <w:p w:rsidR="00000000" w:rsidDel="00000000" w:rsidP="00000000" w:rsidRDefault="00000000" w:rsidRPr="00000000" w14:paraId="00000022">
            <w:pPr>
              <w:spacing w:after="120" w:before="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MAB6970</w:t>
            </w:r>
          </w:p>
        </w:tc>
        <w:tc>
          <w:tcPr>
            <w:tcBorders>
              <w:top w:color="000000" w:space="0" w:sz="4" w:val="single"/>
            </w:tcBorders>
            <w:shd w:fill="auto" w:val="clear"/>
          </w:tcPr>
          <w:p w:rsidR="00000000" w:rsidDel="00000000" w:rsidP="00000000" w:rsidRDefault="00000000" w:rsidRPr="00000000" w14:paraId="00000023">
            <w:pPr>
              <w:spacing w:after="120" w:before="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ICC</w:t>
            </w:r>
          </w:p>
        </w:tc>
        <w:tc>
          <w:tcPr>
            <w:tcBorders>
              <w:top w:color="000000" w:space="0" w:sz="4" w:val="single"/>
            </w:tcBorders>
            <w:shd w:fill="auto" w:val="clear"/>
          </w:tcPr>
          <w:p w:rsidR="00000000" w:rsidDel="00000000" w:rsidP="00000000" w:rsidRDefault="00000000" w:rsidRPr="00000000" w14:paraId="00000024">
            <w:pPr>
              <w:spacing w:after="120" w:before="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tcBorders>
              <w:top w:color="000000" w:space="0" w:sz="4" w:val="single"/>
            </w:tcBorders>
            <w:shd w:fill="auto" w:val="clear"/>
          </w:tcPr>
          <w:p w:rsidR="00000000" w:rsidDel="00000000" w:rsidP="00000000" w:rsidRDefault="00000000" w:rsidRPr="00000000" w14:paraId="00000025">
            <w:pPr>
              <w:spacing w:after="120" w:before="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 </w:t>
            </w:r>
          </w:p>
        </w:tc>
        <w:tc>
          <w:tcPr>
            <w:tcBorders>
              <w:top w:color="000000" w:space="0" w:sz="4" w:val="single"/>
            </w:tcBorders>
            <w:shd w:fill="auto" w:val="clear"/>
          </w:tcPr>
          <w:p w:rsidR="00000000" w:rsidDel="00000000" w:rsidP="00000000" w:rsidRDefault="00000000" w:rsidRPr="00000000" w14:paraId="00000026">
            <w:pPr>
              <w:spacing w:after="120" w:before="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1:50</w:t>
            </w:r>
          </w:p>
        </w:tc>
      </w:tr>
      <w:tr>
        <w:trPr>
          <w:trHeight w:val="529" w:hRule="atLeast"/>
        </w:trPr>
        <w:tc>
          <w:tcPr>
            <w:shd w:fill="auto" w:val="clear"/>
          </w:tcPr>
          <w:p w:rsidR="00000000" w:rsidDel="00000000" w:rsidP="00000000" w:rsidRDefault="00000000" w:rsidRPr="00000000" w14:paraId="00000027">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ZO-1</w:t>
            </w:r>
          </w:p>
        </w:tc>
        <w:tc>
          <w:tcPr>
            <w:shd w:fill="auto" w:val="clear"/>
          </w:tcPr>
          <w:p w:rsidR="00000000" w:rsidDel="00000000" w:rsidP="00000000" w:rsidRDefault="00000000" w:rsidRPr="00000000" w14:paraId="00000028">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Invitrogen</w:t>
            </w:r>
          </w:p>
        </w:tc>
        <w:tc>
          <w:tcPr>
            <w:shd w:fill="auto" w:val="clear"/>
          </w:tcPr>
          <w:p w:rsidR="00000000" w:rsidDel="00000000" w:rsidP="00000000" w:rsidRDefault="00000000" w:rsidRPr="00000000" w14:paraId="00000029">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61-7300</w:t>
            </w:r>
          </w:p>
        </w:tc>
        <w:tc>
          <w:tcPr>
            <w:shd w:fill="auto" w:val="clear"/>
          </w:tcPr>
          <w:p w:rsidR="00000000" w:rsidDel="00000000" w:rsidP="00000000" w:rsidRDefault="00000000" w:rsidRPr="00000000" w14:paraId="0000002A">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ICC</w:t>
            </w:r>
          </w:p>
        </w:tc>
        <w:tc>
          <w:tcPr>
            <w:shd w:fill="auto" w:val="clear"/>
          </w:tcPr>
          <w:p w:rsidR="00000000" w:rsidDel="00000000" w:rsidP="00000000" w:rsidRDefault="00000000" w:rsidRPr="00000000" w14:paraId="0000002B">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shd w:fill="auto" w:val="clear"/>
          </w:tcPr>
          <w:p w:rsidR="00000000" w:rsidDel="00000000" w:rsidP="00000000" w:rsidRDefault="00000000" w:rsidRPr="00000000" w14:paraId="0000002C">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 </w:t>
            </w:r>
          </w:p>
        </w:tc>
        <w:tc>
          <w:tcPr>
            <w:shd w:fill="auto" w:val="clear"/>
          </w:tcPr>
          <w:p w:rsidR="00000000" w:rsidDel="00000000" w:rsidP="00000000" w:rsidRDefault="00000000" w:rsidRPr="00000000" w14:paraId="0000002D">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1:100</w:t>
            </w:r>
          </w:p>
        </w:tc>
      </w:tr>
      <w:tr>
        <w:trPr>
          <w:trHeight w:val="577" w:hRule="atLeast"/>
        </w:trPr>
        <w:tc>
          <w:tcPr>
            <w:shd w:fill="auto" w:val="clear"/>
          </w:tcPr>
          <w:p w:rsidR="00000000" w:rsidDel="00000000" w:rsidP="00000000" w:rsidRDefault="00000000" w:rsidRPr="00000000" w14:paraId="0000002E">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Na+/K+ -ATPase</w:t>
            </w:r>
          </w:p>
        </w:tc>
        <w:tc>
          <w:tcPr>
            <w:shd w:fill="auto" w:val="clear"/>
          </w:tcPr>
          <w:p w:rsidR="00000000" w:rsidDel="00000000" w:rsidP="00000000" w:rsidRDefault="00000000" w:rsidRPr="00000000" w14:paraId="0000002F">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Abcam</w:t>
            </w:r>
          </w:p>
        </w:tc>
        <w:tc>
          <w:tcPr>
            <w:shd w:fill="auto" w:val="clear"/>
          </w:tcPr>
          <w:p w:rsidR="00000000" w:rsidDel="00000000" w:rsidP="00000000" w:rsidRDefault="00000000" w:rsidRPr="00000000" w14:paraId="00000030">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ab7671</w:t>
            </w:r>
          </w:p>
        </w:tc>
        <w:tc>
          <w:tcPr>
            <w:shd w:fill="auto" w:val="clear"/>
          </w:tcPr>
          <w:p w:rsidR="00000000" w:rsidDel="00000000" w:rsidP="00000000" w:rsidRDefault="00000000" w:rsidRPr="00000000" w14:paraId="00000031">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ICC (paraffin sections)</w:t>
            </w:r>
          </w:p>
        </w:tc>
        <w:tc>
          <w:tcPr>
            <w:shd w:fill="auto" w:val="clear"/>
          </w:tcPr>
          <w:p w:rsidR="00000000" w:rsidDel="00000000" w:rsidP="00000000" w:rsidRDefault="00000000" w:rsidRPr="00000000" w14:paraId="00000032">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shd w:fill="auto" w:val="clear"/>
          </w:tcPr>
          <w:p w:rsidR="00000000" w:rsidDel="00000000" w:rsidP="00000000" w:rsidRDefault="00000000" w:rsidRPr="00000000" w14:paraId="00000033">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 </w:t>
            </w:r>
          </w:p>
        </w:tc>
        <w:tc>
          <w:tcPr>
            <w:shd w:fill="auto" w:val="clear"/>
          </w:tcPr>
          <w:p w:rsidR="00000000" w:rsidDel="00000000" w:rsidP="00000000" w:rsidRDefault="00000000" w:rsidRPr="00000000" w14:paraId="00000034">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1:200 (1:50)</w:t>
            </w:r>
          </w:p>
        </w:tc>
      </w:tr>
      <w:tr>
        <w:trPr>
          <w:trHeight w:val="511" w:hRule="atLeast"/>
        </w:trPr>
        <w:tc>
          <w:tcPr>
            <w:shd w:fill="auto" w:val="clear"/>
          </w:tcPr>
          <w:p w:rsidR="00000000" w:rsidDel="00000000" w:rsidP="00000000" w:rsidRDefault="00000000" w:rsidRPr="00000000" w14:paraId="00000035">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bestrophin</w:t>
            </w:r>
          </w:p>
        </w:tc>
        <w:tc>
          <w:tcPr>
            <w:shd w:fill="auto" w:val="clear"/>
          </w:tcPr>
          <w:p w:rsidR="00000000" w:rsidDel="00000000" w:rsidP="00000000" w:rsidRDefault="00000000" w:rsidRPr="00000000" w14:paraId="00000036">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Abcam</w:t>
            </w:r>
          </w:p>
        </w:tc>
        <w:tc>
          <w:tcPr>
            <w:shd w:fill="auto" w:val="clear"/>
          </w:tcPr>
          <w:p w:rsidR="00000000" w:rsidDel="00000000" w:rsidP="00000000" w:rsidRDefault="00000000" w:rsidRPr="00000000" w14:paraId="00000037">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ab14928</w:t>
            </w:r>
          </w:p>
        </w:tc>
        <w:tc>
          <w:tcPr>
            <w:shd w:fill="auto" w:val="clear"/>
          </w:tcPr>
          <w:p w:rsidR="00000000" w:rsidDel="00000000" w:rsidP="00000000" w:rsidRDefault="00000000" w:rsidRPr="00000000" w14:paraId="00000038">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ICC (paraffin sections)</w:t>
            </w:r>
          </w:p>
        </w:tc>
        <w:tc>
          <w:tcPr>
            <w:shd w:fill="auto" w:val="clear"/>
          </w:tcPr>
          <w:p w:rsidR="00000000" w:rsidDel="00000000" w:rsidP="00000000" w:rsidRDefault="00000000" w:rsidRPr="00000000" w14:paraId="00000039">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shd w:fill="auto" w:val="clear"/>
          </w:tcPr>
          <w:p w:rsidR="00000000" w:rsidDel="00000000" w:rsidP="00000000" w:rsidRDefault="00000000" w:rsidRPr="00000000" w14:paraId="0000003A">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10 mM Sodium Citrate, </w:t>
            </w:r>
          </w:p>
          <w:p w:rsidR="00000000" w:rsidDel="00000000" w:rsidP="00000000" w:rsidRDefault="00000000" w:rsidRPr="00000000" w14:paraId="0000003B">
            <w:pPr>
              <w:spacing w:after="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0.05% Tween20, pH 6</w:t>
            </w:r>
          </w:p>
        </w:tc>
        <w:tc>
          <w:tcPr>
            <w:shd w:fill="auto" w:val="clear"/>
          </w:tcPr>
          <w:p w:rsidR="00000000" w:rsidDel="00000000" w:rsidP="00000000" w:rsidRDefault="00000000" w:rsidRPr="00000000" w14:paraId="0000003C">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1:100 (1:50)</w:t>
            </w:r>
          </w:p>
        </w:tc>
      </w:tr>
      <w:tr>
        <w:trPr>
          <w:trHeight w:val="448" w:hRule="atLeast"/>
        </w:trPr>
        <w:tc>
          <w:tcPr>
            <w:shd w:fill="auto" w:val="clear"/>
          </w:tcPr>
          <w:p w:rsidR="00000000" w:rsidDel="00000000" w:rsidP="00000000" w:rsidRDefault="00000000" w:rsidRPr="00000000" w14:paraId="0000003D">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MERTK</w:t>
            </w:r>
          </w:p>
        </w:tc>
        <w:tc>
          <w:tcPr>
            <w:shd w:fill="auto" w:val="clear"/>
          </w:tcPr>
          <w:p w:rsidR="00000000" w:rsidDel="00000000" w:rsidP="00000000" w:rsidRDefault="00000000" w:rsidRPr="00000000" w14:paraId="0000003E">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Abnova</w:t>
            </w:r>
          </w:p>
        </w:tc>
        <w:tc>
          <w:tcPr>
            <w:shd w:fill="auto" w:val="clear"/>
          </w:tcPr>
          <w:p w:rsidR="00000000" w:rsidDel="00000000" w:rsidP="00000000" w:rsidRDefault="00000000" w:rsidRPr="00000000" w14:paraId="0000003F">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H00010461-M01</w:t>
            </w:r>
          </w:p>
        </w:tc>
        <w:tc>
          <w:tcPr>
            <w:shd w:fill="auto" w:val="clear"/>
          </w:tcPr>
          <w:p w:rsidR="00000000" w:rsidDel="00000000" w:rsidP="00000000" w:rsidRDefault="00000000" w:rsidRPr="00000000" w14:paraId="00000040">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ICC (paraffin sections)</w:t>
            </w:r>
          </w:p>
        </w:tc>
        <w:tc>
          <w:tcPr>
            <w:shd w:fill="auto" w:val="clear"/>
          </w:tcPr>
          <w:p w:rsidR="00000000" w:rsidDel="00000000" w:rsidP="00000000" w:rsidRDefault="00000000" w:rsidRPr="00000000" w14:paraId="00000041">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shd w:fill="auto" w:val="clear"/>
          </w:tcPr>
          <w:p w:rsidR="00000000" w:rsidDel="00000000" w:rsidP="00000000" w:rsidRDefault="00000000" w:rsidRPr="00000000" w14:paraId="00000042">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10 mM Sodium Citrate, </w:t>
            </w:r>
          </w:p>
          <w:p w:rsidR="00000000" w:rsidDel="00000000" w:rsidP="00000000" w:rsidRDefault="00000000" w:rsidRPr="00000000" w14:paraId="00000043">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0.05% Tween20, pH 6</w:t>
            </w:r>
          </w:p>
        </w:tc>
        <w:tc>
          <w:tcPr>
            <w:shd w:fill="auto" w:val="clear"/>
          </w:tcPr>
          <w:p w:rsidR="00000000" w:rsidDel="00000000" w:rsidP="00000000" w:rsidRDefault="00000000" w:rsidRPr="00000000" w14:paraId="00000044">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1:50 (1:50)</w:t>
            </w:r>
          </w:p>
        </w:tc>
      </w:tr>
      <w:tr>
        <w:trPr>
          <w:trHeight w:val="430" w:hRule="atLeast"/>
        </w:trPr>
        <w:tc>
          <w:tcPr>
            <w:shd w:fill="auto" w:val="clear"/>
          </w:tcPr>
          <w:p w:rsidR="00000000" w:rsidDel="00000000" w:rsidP="00000000" w:rsidRDefault="00000000" w:rsidRPr="00000000" w14:paraId="00000045">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rhodopsin</w:t>
            </w:r>
          </w:p>
        </w:tc>
        <w:tc>
          <w:tcPr>
            <w:shd w:fill="auto" w:val="clear"/>
          </w:tcPr>
          <w:p w:rsidR="00000000" w:rsidDel="00000000" w:rsidP="00000000" w:rsidRDefault="00000000" w:rsidRPr="00000000" w14:paraId="00000046">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Sigma-Aldrich</w:t>
            </w:r>
          </w:p>
        </w:tc>
        <w:tc>
          <w:tcPr>
            <w:shd w:fill="auto" w:val="clear"/>
          </w:tcPr>
          <w:p w:rsidR="00000000" w:rsidDel="00000000" w:rsidP="00000000" w:rsidRDefault="00000000" w:rsidRPr="00000000" w14:paraId="00000047">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O4886</w:t>
            </w:r>
          </w:p>
        </w:tc>
        <w:tc>
          <w:tcPr>
            <w:shd w:fill="auto" w:val="clear"/>
          </w:tcPr>
          <w:p w:rsidR="00000000" w:rsidDel="00000000" w:rsidP="00000000" w:rsidRDefault="00000000" w:rsidRPr="00000000" w14:paraId="00000048">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ICC</w:t>
            </w:r>
          </w:p>
        </w:tc>
        <w:tc>
          <w:tcPr>
            <w:shd w:fill="auto" w:val="clear"/>
          </w:tcPr>
          <w:p w:rsidR="00000000" w:rsidDel="00000000" w:rsidP="00000000" w:rsidRDefault="00000000" w:rsidRPr="00000000" w14:paraId="00000049">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shd w:fill="auto" w:val="clear"/>
          </w:tcPr>
          <w:p w:rsidR="00000000" w:rsidDel="00000000" w:rsidP="00000000" w:rsidRDefault="00000000" w:rsidRPr="00000000" w14:paraId="0000004A">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 </w:t>
            </w:r>
          </w:p>
        </w:tc>
        <w:tc>
          <w:tcPr>
            <w:shd w:fill="auto" w:val="clear"/>
          </w:tcPr>
          <w:p w:rsidR="00000000" w:rsidDel="00000000" w:rsidP="00000000" w:rsidRDefault="00000000" w:rsidRPr="00000000" w14:paraId="0000004B">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1:200</w:t>
            </w:r>
          </w:p>
        </w:tc>
      </w:tr>
      <w:tr>
        <w:trPr>
          <w:trHeight w:val="646" w:hRule="atLeast"/>
        </w:trPr>
        <w:tc>
          <w:tcPr>
            <w:shd w:fill="auto" w:val="clear"/>
          </w:tcPr>
          <w:p w:rsidR="00000000" w:rsidDel="00000000" w:rsidP="00000000" w:rsidRDefault="00000000" w:rsidRPr="00000000" w14:paraId="0000004C">
            <w:pPr>
              <w:spacing w:after="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TRITC-phalloidin</w:t>
            </w:r>
          </w:p>
        </w:tc>
        <w:tc>
          <w:tcPr>
            <w:shd w:fill="auto" w:val="clear"/>
          </w:tcPr>
          <w:p w:rsidR="00000000" w:rsidDel="00000000" w:rsidP="00000000" w:rsidRDefault="00000000" w:rsidRPr="00000000" w14:paraId="0000004D">
            <w:pPr>
              <w:spacing w:after="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Sigma-Aldrich</w:t>
            </w:r>
          </w:p>
        </w:tc>
        <w:tc>
          <w:tcPr>
            <w:shd w:fill="auto" w:val="clear"/>
          </w:tcPr>
          <w:p w:rsidR="00000000" w:rsidDel="00000000" w:rsidP="00000000" w:rsidRDefault="00000000" w:rsidRPr="00000000" w14:paraId="0000004E">
            <w:pPr>
              <w:spacing w:after="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P1951</w:t>
            </w:r>
          </w:p>
        </w:tc>
        <w:tc>
          <w:tcPr>
            <w:shd w:fill="auto" w:val="clear"/>
          </w:tcPr>
          <w:p w:rsidR="00000000" w:rsidDel="00000000" w:rsidP="00000000" w:rsidRDefault="00000000" w:rsidRPr="00000000" w14:paraId="0000004F">
            <w:pPr>
              <w:spacing w:after="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ICC</w:t>
            </w:r>
          </w:p>
        </w:tc>
        <w:tc>
          <w:tcPr>
            <w:shd w:fill="auto" w:val="clear"/>
          </w:tcPr>
          <w:p w:rsidR="00000000" w:rsidDel="00000000" w:rsidP="00000000" w:rsidRDefault="00000000" w:rsidRPr="00000000" w14:paraId="00000050">
            <w:pPr>
              <w:spacing w:after="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w:t>
            </w:r>
          </w:p>
        </w:tc>
        <w:tc>
          <w:tcPr>
            <w:shd w:fill="auto" w:val="clear"/>
          </w:tcPr>
          <w:p w:rsidR="00000000" w:rsidDel="00000000" w:rsidP="00000000" w:rsidRDefault="00000000" w:rsidRPr="00000000" w14:paraId="00000051">
            <w:pPr>
              <w:spacing w:after="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 </w:t>
            </w:r>
          </w:p>
        </w:tc>
        <w:tc>
          <w:tcPr>
            <w:shd w:fill="auto" w:val="clear"/>
          </w:tcPr>
          <w:p w:rsidR="00000000" w:rsidDel="00000000" w:rsidP="00000000" w:rsidRDefault="00000000" w:rsidRPr="00000000" w14:paraId="00000052">
            <w:pPr>
              <w:spacing w:after="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1:600</w:t>
            </w:r>
          </w:p>
        </w:tc>
      </w:tr>
      <w:tr>
        <w:trPr>
          <w:trHeight w:val="448" w:hRule="atLeast"/>
        </w:trPr>
        <w:tc>
          <w:tcPr>
            <w:shd w:fill="auto" w:val="clear"/>
          </w:tcPr>
          <w:p w:rsidR="00000000" w:rsidDel="00000000" w:rsidP="00000000" w:rsidRDefault="00000000" w:rsidRPr="00000000" w14:paraId="00000053">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claudin-3</w:t>
            </w:r>
          </w:p>
        </w:tc>
        <w:tc>
          <w:tcPr>
            <w:shd w:fill="auto" w:val="clear"/>
          </w:tcPr>
          <w:p w:rsidR="00000000" w:rsidDel="00000000" w:rsidP="00000000" w:rsidRDefault="00000000" w:rsidRPr="00000000" w14:paraId="00000054">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Thermo Fisher Sci.</w:t>
            </w:r>
          </w:p>
        </w:tc>
        <w:tc>
          <w:tcPr>
            <w:shd w:fill="auto" w:val="clear"/>
          </w:tcPr>
          <w:p w:rsidR="00000000" w:rsidDel="00000000" w:rsidP="00000000" w:rsidRDefault="00000000" w:rsidRPr="00000000" w14:paraId="00000055">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34-1700</w:t>
            </w:r>
          </w:p>
        </w:tc>
        <w:tc>
          <w:tcPr>
            <w:shd w:fill="auto" w:val="clear"/>
          </w:tcPr>
          <w:p w:rsidR="00000000" w:rsidDel="00000000" w:rsidP="00000000" w:rsidRDefault="00000000" w:rsidRPr="00000000" w14:paraId="00000056">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ICC (paraffin sections)</w:t>
            </w:r>
          </w:p>
        </w:tc>
        <w:tc>
          <w:tcPr>
            <w:shd w:fill="auto" w:val="clear"/>
          </w:tcPr>
          <w:p w:rsidR="00000000" w:rsidDel="00000000" w:rsidP="00000000" w:rsidRDefault="00000000" w:rsidRPr="00000000" w14:paraId="00000057">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shd w:fill="auto" w:val="clear"/>
          </w:tcPr>
          <w:p w:rsidR="00000000" w:rsidDel="00000000" w:rsidP="00000000" w:rsidRDefault="00000000" w:rsidRPr="00000000" w14:paraId="00000058">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10 mM Sodium Citrate, </w:t>
            </w:r>
          </w:p>
          <w:p w:rsidR="00000000" w:rsidDel="00000000" w:rsidP="00000000" w:rsidRDefault="00000000" w:rsidRPr="00000000" w14:paraId="00000059">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0.05% Tween20, pH 6</w:t>
            </w:r>
          </w:p>
        </w:tc>
        <w:tc>
          <w:tcPr>
            <w:shd w:fill="auto" w:val="clear"/>
          </w:tcPr>
          <w:p w:rsidR="00000000" w:rsidDel="00000000" w:rsidP="00000000" w:rsidRDefault="00000000" w:rsidRPr="00000000" w14:paraId="0000005A">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(1:50)</w:t>
            </w:r>
          </w:p>
        </w:tc>
      </w:tr>
      <w:tr>
        <w:trPr>
          <w:trHeight w:val="798" w:hRule="atLeast"/>
        </w:trPr>
        <w:tc>
          <w:tcPr>
            <w:shd w:fill="auto" w:val="clear"/>
          </w:tcPr>
          <w:p w:rsidR="00000000" w:rsidDel="00000000" w:rsidP="00000000" w:rsidRDefault="00000000" w:rsidRPr="00000000" w14:paraId="0000005B">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TRA-1-85</w:t>
            </w:r>
          </w:p>
        </w:tc>
        <w:tc>
          <w:tcPr>
            <w:shd w:fill="auto" w:val="clear"/>
          </w:tcPr>
          <w:p w:rsidR="00000000" w:rsidDel="00000000" w:rsidP="00000000" w:rsidRDefault="00000000" w:rsidRPr="00000000" w14:paraId="0000005C">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 kind gift from prof. Peter Andrews,</w:t>
            </w:r>
          </w:p>
          <w:p w:rsidR="00000000" w:rsidDel="00000000" w:rsidP="00000000" w:rsidRDefault="00000000" w:rsidRPr="00000000" w14:paraId="0000005D">
            <w:pPr>
              <w:spacing w:after="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University of Sheffield, UK</w:t>
            </w:r>
          </w:p>
        </w:tc>
        <w:tc>
          <w:tcPr>
            <w:shd w:fill="auto" w:val="clear"/>
          </w:tcPr>
          <w:p w:rsidR="00000000" w:rsidDel="00000000" w:rsidP="00000000" w:rsidRDefault="00000000" w:rsidRPr="00000000" w14:paraId="0000005E">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w:t>
            </w:r>
          </w:p>
        </w:tc>
        <w:tc>
          <w:tcPr>
            <w:shd w:fill="auto" w:val="clear"/>
          </w:tcPr>
          <w:p w:rsidR="00000000" w:rsidDel="00000000" w:rsidP="00000000" w:rsidRDefault="00000000" w:rsidRPr="00000000" w14:paraId="0000005F">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IHC</w:t>
            </w:r>
          </w:p>
        </w:tc>
        <w:tc>
          <w:tcPr>
            <w:shd w:fill="auto" w:val="clear"/>
          </w:tcPr>
          <w:p w:rsidR="00000000" w:rsidDel="00000000" w:rsidP="00000000" w:rsidRDefault="00000000" w:rsidRPr="00000000" w14:paraId="00000060">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shd w:fill="auto" w:val="clear"/>
          </w:tcPr>
          <w:p w:rsidR="00000000" w:rsidDel="00000000" w:rsidP="00000000" w:rsidRDefault="00000000" w:rsidRPr="00000000" w14:paraId="00000061">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10 mM Sodium Citrate, </w:t>
            </w:r>
          </w:p>
          <w:p w:rsidR="00000000" w:rsidDel="00000000" w:rsidP="00000000" w:rsidRDefault="00000000" w:rsidRPr="00000000" w14:paraId="00000062">
            <w:pPr>
              <w:spacing w:after="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0.05% Tween20, pH 6</w:t>
            </w:r>
          </w:p>
        </w:tc>
        <w:tc>
          <w:tcPr>
            <w:shd w:fill="auto" w:val="clear"/>
          </w:tcPr>
          <w:p w:rsidR="00000000" w:rsidDel="00000000" w:rsidP="00000000" w:rsidRDefault="00000000" w:rsidRPr="00000000" w14:paraId="00000063">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1:50</w:t>
            </w:r>
          </w:p>
        </w:tc>
      </w:tr>
      <w:tr>
        <w:trPr>
          <w:trHeight w:val="466" w:hRule="atLeast"/>
        </w:trPr>
        <w:tc>
          <w:tcPr>
            <w:shd w:fill="auto" w:val="clear"/>
          </w:tcPr>
          <w:p w:rsidR="00000000" w:rsidDel="00000000" w:rsidP="00000000" w:rsidRDefault="00000000" w:rsidRPr="00000000" w14:paraId="00000064">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STEM121</w:t>
            </w:r>
          </w:p>
        </w:tc>
        <w:tc>
          <w:tcPr>
            <w:shd w:fill="auto" w:val="clear"/>
          </w:tcPr>
          <w:p w:rsidR="00000000" w:rsidDel="00000000" w:rsidP="00000000" w:rsidRDefault="00000000" w:rsidRPr="00000000" w14:paraId="00000065">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Cellartis/Takara</w:t>
            </w:r>
          </w:p>
        </w:tc>
        <w:tc>
          <w:tcPr>
            <w:shd w:fill="auto" w:val="clear"/>
          </w:tcPr>
          <w:p w:rsidR="00000000" w:rsidDel="00000000" w:rsidP="00000000" w:rsidRDefault="00000000" w:rsidRPr="00000000" w14:paraId="00000066">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AB-121-U-050/</w:t>
            </w:r>
          </w:p>
          <w:p w:rsidR="00000000" w:rsidDel="00000000" w:rsidP="00000000" w:rsidRDefault="00000000" w:rsidRPr="00000000" w14:paraId="00000067">
            <w:pPr>
              <w:spacing w:after="12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Y40410</w:t>
            </w:r>
          </w:p>
        </w:tc>
        <w:tc>
          <w:tcPr>
            <w:shd w:fill="auto" w:val="clear"/>
          </w:tcPr>
          <w:p w:rsidR="00000000" w:rsidDel="00000000" w:rsidP="00000000" w:rsidRDefault="00000000" w:rsidRPr="00000000" w14:paraId="00000068">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IHC</w:t>
            </w:r>
          </w:p>
        </w:tc>
        <w:tc>
          <w:tcPr>
            <w:shd w:fill="auto" w:val="clear"/>
          </w:tcPr>
          <w:p w:rsidR="00000000" w:rsidDel="00000000" w:rsidP="00000000" w:rsidRDefault="00000000" w:rsidRPr="00000000" w14:paraId="00000069">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shd w:fill="auto" w:val="clear"/>
          </w:tcPr>
          <w:p w:rsidR="00000000" w:rsidDel="00000000" w:rsidP="00000000" w:rsidRDefault="00000000" w:rsidRPr="00000000" w14:paraId="0000006A">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10 mM Sodium Citrate, </w:t>
            </w:r>
          </w:p>
          <w:p w:rsidR="00000000" w:rsidDel="00000000" w:rsidP="00000000" w:rsidRDefault="00000000" w:rsidRPr="00000000" w14:paraId="0000006B">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0.05% Tween20, pH 6</w:t>
            </w:r>
          </w:p>
        </w:tc>
        <w:tc>
          <w:tcPr>
            <w:shd w:fill="auto" w:val="clear"/>
          </w:tcPr>
          <w:p w:rsidR="00000000" w:rsidDel="00000000" w:rsidP="00000000" w:rsidRDefault="00000000" w:rsidRPr="00000000" w14:paraId="0000006C">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1:50</w:t>
            </w:r>
          </w:p>
        </w:tc>
      </w:tr>
      <w:tr>
        <w:trPr>
          <w:trHeight w:val="448" w:hRule="atLeast"/>
        </w:trPr>
        <w:tc>
          <w:tcPr>
            <w:shd w:fill="auto" w:val="clear"/>
          </w:tcPr>
          <w:p w:rsidR="00000000" w:rsidDel="00000000" w:rsidP="00000000" w:rsidRDefault="00000000" w:rsidRPr="00000000" w14:paraId="0000006D">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rhodopsin</w:t>
            </w:r>
          </w:p>
        </w:tc>
        <w:tc>
          <w:tcPr>
            <w:shd w:fill="auto" w:val="clear"/>
          </w:tcPr>
          <w:p w:rsidR="00000000" w:rsidDel="00000000" w:rsidP="00000000" w:rsidRDefault="00000000" w:rsidRPr="00000000" w14:paraId="0000006E">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Merck Millipore</w:t>
            </w:r>
          </w:p>
        </w:tc>
        <w:tc>
          <w:tcPr>
            <w:shd w:fill="auto" w:val="clear"/>
          </w:tcPr>
          <w:p w:rsidR="00000000" w:rsidDel="00000000" w:rsidP="00000000" w:rsidRDefault="00000000" w:rsidRPr="00000000" w14:paraId="0000006F">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MAB5356</w:t>
            </w:r>
          </w:p>
        </w:tc>
        <w:tc>
          <w:tcPr>
            <w:shd w:fill="auto" w:val="clear"/>
          </w:tcPr>
          <w:p w:rsidR="00000000" w:rsidDel="00000000" w:rsidP="00000000" w:rsidRDefault="00000000" w:rsidRPr="00000000" w14:paraId="00000070">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IHC</w:t>
            </w:r>
          </w:p>
        </w:tc>
        <w:tc>
          <w:tcPr>
            <w:shd w:fill="auto" w:val="clear"/>
          </w:tcPr>
          <w:p w:rsidR="00000000" w:rsidDel="00000000" w:rsidP="00000000" w:rsidRDefault="00000000" w:rsidRPr="00000000" w14:paraId="00000071">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shd w:fill="auto" w:val="clear"/>
          </w:tcPr>
          <w:p w:rsidR="00000000" w:rsidDel="00000000" w:rsidP="00000000" w:rsidRDefault="00000000" w:rsidRPr="00000000" w14:paraId="00000072">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10 mM Sodium Citrate, </w:t>
            </w:r>
          </w:p>
          <w:p w:rsidR="00000000" w:rsidDel="00000000" w:rsidP="00000000" w:rsidRDefault="00000000" w:rsidRPr="00000000" w14:paraId="00000073">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0.05% Tween20, pH 6</w:t>
            </w:r>
          </w:p>
        </w:tc>
        <w:tc>
          <w:tcPr>
            <w:shd w:fill="auto" w:val="clear"/>
          </w:tcPr>
          <w:p w:rsidR="00000000" w:rsidDel="00000000" w:rsidP="00000000" w:rsidRDefault="00000000" w:rsidRPr="00000000" w14:paraId="00000074">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1:100</w:t>
            </w:r>
          </w:p>
        </w:tc>
      </w:tr>
      <w:tr>
        <w:trPr>
          <w:trHeight w:val="457" w:hRule="atLeast"/>
        </w:trPr>
        <w:tc>
          <w:tcPr>
            <w:shd w:fill="auto" w:val="clear"/>
          </w:tcPr>
          <w:p w:rsidR="00000000" w:rsidDel="00000000" w:rsidP="00000000" w:rsidRDefault="00000000" w:rsidRPr="00000000" w14:paraId="00000075">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opsin</w:t>
            </w:r>
          </w:p>
        </w:tc>
        <w:tc>
          <w:tcPr>
            <w:shd w:fill="auto" w:val="clear"/>
          </w:tcPr>
          <w:p w:rsidR="00000000" w:rsidDel="00000000" w:rsidP="00000000" w:rsidRDefault="00000000" w:rsidRPr="00000000" w14:paraId="00000076">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Merck Millipore</w:t>
            </w:r>
          </w:p>
        </w:tc>
        <w:tc>
          <w:tcPr>
            <w:shd w:fill="auto" w:val="clear"/>
          </w:tcPr>
          <w:p w:rsidR="00000000" w:rsidDel="00000000" w:rsidP="00000000" w:rsidRDefault="00000000" w:rsidRPr="00000000" w14:paraId="00000077">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AB5405</w:t>
            </w:r>
          </w:p>
        </w:tc>
        <w:tc>
          <w:tcPr>
            <w:shd w:fill="auto" w:val="clear"/>
          </w:tcPr>
          <w:p w:rsidR="00000000" w:rsidDel="00000000" w:rsidP="00000000" w:rsidRDefault="00000000" w:rsidRPr="00000000" w14:paraId="00000078">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IHC</w:t>
            </w:r>
          </w:p>
        </w:tc>
        <w:tc>
          <w:tcPr>
            <w:shd w:fill="auto" w:val="clear"/>
          </w:tcPr>
          <w:p w:rsidR="00000000" w:rsidDel="00000000" w:rsidP="00000000" w:rsidRDefault="00000000" w:rsidRPr="00000000" w14:paraId="00000079">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shd w:fill="auto" w:val="clear"/>
          </w:tcPr>
          <w:p w:rsidR="00000000" w:rsidDel="00000000" w:rsidP="00000000" w:rsidRDefault="00000000" w:rsidRPr="00000000" w14:paraId="0000007A">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10 mM Sodium Citrate, </w:t>
            </w:r>
          </w:p>
          <w:p w:rsidR="00000000" w:rsidDel="00000000" w:rsidP="00000000" w:rsidRDefault="00000000" w:rsidRPr="00000000" w14:paraId="0000007B">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0.05% Tween20, pH 6</w:t>
            </w:r>
          </w:p>
        </w:tc>
        <w:tc>
          <w:tcPr>
            <w:shd w:fill="auto" w:val="clear"/>
          </w:tcPr>
          <w:p w:rsidR="00000000" w:rsidDel="00000000" w:rsidP="00000000" w:rsidRDefault="00000000" w:rsidRPr="00000000" w14:paraId="0000007C">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1:100</w:t>
            </w:r>
          </w:p>
        </w:tc>
      </w:tr>
      <w:tr>
        <w:trPr>
          <w:trHeight w:val="448" w:hRule="atLeast"/>
        </w:trPr>
        <w:tc>
          <w:tcPr>
            <w:shd w:fill="auto" w:val="clear"/>
          </w:tcPr>
          <w:p w:rsidR="00000000" w:rsidDel="00000000" w:rsidP="00000000" w:rsidRDefault="00000000" w:rsidRPr="00000000" w14:paraId="0000007D">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GFAP</w:t>
            </w:r>
          </w:p>
        </w:tc>
        <w:tc>
          <w:tcPr>
            <w:shd w:fill="auto" w:val="clear"/>
          </w:tcPr>
          <w:p w:rsidR="00000000" w:rsidDel="00000000" w:rsidP="00000000" w:rsidRDefault="00000000" w:rsidRPr="00000000" w14:paraId="0000007E">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Merck Millipore</w:t>
            </w:r>
          </w:p>
        </w:tc>
        <w:tc>
          <w:tcPr>
            <w:shd w:fill="auto" w:val="clear"/>
          </w:tcPr>
          <w:p w:rsidR="00000000" w:rsidDel="00000000" w:rsidP="00000000" w:rsidRDefault="00000000" w:rsidRPr="00000000" w14:paraId="0000007F">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MAB3402</w:t>
            </w:r>
          </w:p>
        </w:tc>
        <w:tc>
          <w:tcPr>
            <w:shd w:fill="auto" w:val="clear"/>
          </w:tcPr>
          <w:p w:rsidR="00000000" w:rsidDel="00000000" w:rsidP="00000000" w:rsidRDefault="00000000" w:rsidRPr="00000000" w14:paraId="00000080">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IHC</w:t>
            </w:r>
          </w:p>
        </w:tc>
        <w:tc>
          <w:tcPr>
            <w:shd w:fill="auto" w:val="clear"/>
          </w:tcPr>
          <w:p w:rsidR="00000000" w:rsidDel="00000000" w:rsidP="00000000" w:rsidRDefault="00000000" w:rsidRPr="00000000" w14:paraId="00000081">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shd w:fill="auto" w:val="clear"/>
          </w:tcPr>
          <w:p w:rsidR="00000000" w:rsidDel="00000000" w:rsidP="00000000" w:rsidRDefault="00000000" w:rsidRPr="00000000" w14:paraId="00000082">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10 mM Sodium Citrate, </w:t>
            </w:r>
          </w:p>
          <w:p w:rsidR="00000000" w:rsidDel="00000000" w:rsidP="00000000" w:rsidRDefault="00000000" w:rsidRPr="00000000" w14:paraId="00000083">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0.05% Tween20, pH 6</w:t>
            </w:r>
          </w:p>
        </w:tc>
        <w:tc>
          <w:tcPr>
            <w:shd w:fill="auto" w:val="clear"/>
          </w:tcPr>
          <w:p w:rsidR="00000000" w:rsidDel="00000000" w:rsidP="00000000" w:rsidRDefault="00000000" w:rsidRPr="00000000" w14:paraId="00000084">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1:200</w:t>
            </w:r>
          </w:p>
        </w:tc>
      </w:tr>
      <w:tr>
        <w:trPr>
          <w:trHeight w:val="538" w:hRule="atLeast"/>
        </w:trPr>
        <w:tc>
          <w:tcPr>
            <w:shd w:fill="auto" w:val="clear"/>
          </w:tcPr>
          <w:p w:rsidR="00000000" w:rsidDel="00000000" w:rsidP="00000000" w:rsidRDefault="00000000" w:rsidRPr="00000000" w14:paraId="00000085">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vimentin</w:t>
            </w:r>
          </w:p>
        </w:tc>
        <w:tc>
          <w:tcPr>
            <w:shd w:fill="auto" w:val="clear"/>
          </w:tcPr>
          <w:p w:rsidR="00000000" w:rsidDel="00000000" w:rsidP="00000000" w:rsidRDefault="00000000" w:rsidRPr="00000000" w14:paraId="00000086">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Nordic BioSite</w:t>
            </w:r>
          </w:p>
        </w:tc>
        <w:tc>
          <w:tcPr>
            <w:shd w:fill="auto" w:val="clear"/>
          </w:tcPr>
          <w:p w:rsidR="00000000" w:rsidDel="00000000" w:rsidP="00000000" w:rsidRDefault="00000000" w:rsidRPr="00000000" w14:paraId="00000087">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BSH-7100-1</w:t>
            </w:r>
          </w:p>
        </w:tc>
        <w:tc>
          <w:tcPr>
            <w:shd w:fill="auto" w:val="clear"/>
          </w:tcPr>
          <w:p w:rsidR="00000000" w:rsidDel="00000000" w:rsidP="00000000" w:rsidRDefault="00000000" w:rsidRPr="00000000" w14:paraId="00000088">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IHC</w:t>
            </w:r>
          </w:p>
        </w:tc>
        <w:tc>
          <w:tcPr>
            <w:shd w:fill="auto" w:val="clear"/>
          </w:tcPr>
          <w:p w:rsidR="00000000" w:rsidDel="00000000" w:rsidP="00000000" w:rsidRDefault="00000000" w:rsidRPr="00000000" w14:paraId="00000089">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shd w:fill="auto" w:val="clear"/>
          </w:tcPr>
          <w:p w:rsidR="00000000" w:rsidDel="00000000" w:rsidP="00000000" w:rsidRDefault="00000000" w:rsidRPr="00000000" w14:paraId="0000008A">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10 mM Sodium Citrate, </w:t>
            </w:r>
          </w:p>
          <w:p w:rsidR="00000000" w:rsidDel="00000000" w:rsidP="00000000" w:rsidRDefault="00000000" w:rsidRPr="00000000" w14:paraId="0000008B">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0.05% Tween20, pH 6</w:t>
            </w:r>
          </w:p>
        </w:tc>
        <w:tc>
          <w:tcPr>
            <w:shd w:fill="auto" w:val="clear"/>
          </w:tcPr>
          <w:p w:rsidR="00000000" w:rsidDel="00000000" w:rsidP="00000000" w:rsidRDefault="00000000" w:rsidRPr="00000000" w14:paraId="0000008C">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1:100</w:t>
            </w:r>
          </w:p>
        </w:tc>
      </w:tr>
      <w:tr>
        <w:trPr>
          <w:trHeight w:val="457" w:hRule="atLeast"/>
        </w:trPr>
        <w:tc>
          <w:tcPr>
            <w:shd w:fill="auto" w:val="clear"/>
          </w:tcPr>
          <w:p w:rsidR="00000000" w:rsidDel="00000000" w:rsidP="00000000" w:rsidRDefault="00000000" w:rsidRPr="00000000" w14:paraId="0000008D">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CD3-ε</w:t>
            </w:r>
          </w:p>
        </w:tc>
        <w:tc>
          <w:tcPr>
            <w:shd w:fill="auto" w:val="clear"/>
          </w:tcPr>
          <w:p w:rsidR="00000000" w:rsidDel="00000000" w:rsidP="00000000" w:rsidRDefault="00000000" w:rsidRPr="00000000" w14:paraId="0000008E">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Santa Cruz Biotech.</w:t>
            </w:r>
          </w:p>
        </w:tc>
        <w:tc>
          <w:tcPr>
            <w:shd w:fill="auto" w:val="clear"/>
          </w:tcPr>
          <w:p w:rsidR="00000000" w:rsidDel="00000000" w:rsidP="00000000" w:rsidRDefault="00000000" w:rsidRPr="00000000" w14:paraId="0000008F">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sc-1127</w:t>
            </w:r>
          </w:p>
        </w:tc>
        <w:tc>
          <w:tcPr>
            <w:shd w:fill="auto" w:val="clear"/>
          </w:tcPr>
          <w:p w:rsidR="00000000" w:rsidDel="00000000" w:rsidP="00000000" w:rsidRDefault="00000000" w:rsidRPr="00000000" w14:paraId="00000090">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IHC</w:t>
            </w:r>
          </w:p>
        </w:tc>
        <w:tc>
          <w:tcPr>
            <w:shd w:fill="auto" w:val="clear"/>
          </w:tcPr>
          <w:p w:rsidR="00000000" w:rsidDel="00000000" w:rsidP="00000000" w:rsidRDefault="00000000" w:rsidRPr="00000000" w14:paraId="00000091">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shd w:fill="auto" w:val="clear"/>
          </w:tcPr>
          <w:p w:rsidR="00000000" w:rsidDel="00000000" w:rsidP="00000000" w:rsidRDefault="00000000" w:rsidRPr="00000000" w14:paraId="00000092">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10 mM Sodium Citrate, </w:t>
            </w:r>
          </w:p>
          <w:p w:rsidR="00000000" w:rsidDel="00000000" w:rsidP="00000000" w:rsidRDefault="00000000" w:rsidRPr="00000000" w14:paraId="00000093">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0.05% Tween20, pH 6</w:t>
            </w:r>
          </w:p>
        </w:tc>
        <w:tc>
          <w:tcPr>
            <w:shd w:fill="auto" w:val="clear"/>
          </w:tcPr>
          <w:p w:rsidR="00000000" w:rsidDel="00000000" w:rsidP="00000000" w:rsidRDefault="00000000" w:rsidRPr="00000000" w14:paraId="00000094">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1:100</w:t>
            </w:r>
          </w:p>
        </w:tc>
      </w:tr>
      <w:tr>
        <w:trPr>
          <w:trHeight w:val="529" w:hRule="atLeast"/>
        </w:trPr>
        <w:tc>
          <w:tcPr>
            <w:shd w:fill="auto" w:val="clear"/>
          </w:tcPr>
          <w:p w:rsidR="00000000" w:rsidDel="00000000" w:rsidP="00000000" w:rsidRDefault="00000000" w:rsidRPr="00000000" w14:paraId="00000095">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Iba1</w:t>
            </w:r>
          </w:p>
        </w:tc>
        <w:tc>
          <w:tcPr>
            <w:shd w:fill="auto" w:val="clear"/>
          </w:tcPr>
          <w:p w:rsidR="00000000" w:rsidDel="00000000" w:rsidP="00000000" w:rsidRDefault="00000000" w:rsidRPr="00000000" w14:paraId="00000096">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Abcam</w:t>
            </w:r>
          </w:p>
        </w:tc>
        <w:tc>
          <w:tcPr>
            <w:shd w:fill="auto" w:val="clear"/>
          </w:tcPr>
          <w:p w:rsidR="00000000" w:rsidDel="00000000" w:rsidP="00000000" w:rsidRDefault="00000000" w:rsidRPr="00000000" w14:paraId="00000097">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ab5076</w:t>
            </w:r>
          </w:p>
        </w:tc>
        <w:tc>
          <w:tcPr>
            <w:shd w:fill="auto" w:val="clear"/>
          </w:tcPr>
          <w:p w:rsidR="00000000" w:rsidDel="00000000" w:rsidP="00000000" w:rsidRDefault="00000000" w:rsidRPr="00000000" w14:paraId="00000098">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IHC</w:t>
            </w:r>
          </w:p>
        </w:tc>
        <w:tc>
          <w:tcPr>
            <w:shd w:fill="auto" w:val="clear"/>
          </w:tcPr>
          <w:p w:rsidR="00000000" w:rsidDel="00000000" w:rsidP="00000000" w:rsidRDefault="00000000" w:rsidRPr="00000000" w14:paraId="00000099">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shd w:fill="auto" w:val="clear"/>
          </w:tcPr>
          <w:p w:rsidR="00000000" w:rsidDel="00000000" w:rsidP="00000000" w:rsidRDefault="00000000" w:rsidRPr="00000000" w14:paraId="0000009A">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10 mM Sodium Citrate, </w:t>
            </w:r>
          </w:p>
          <w:p w:rsidR="00000000" w:rsidDel="00000000" w:rsidP="00000000" w:rsidRDefault="00000000" w:rsidRPr="00000000" w14:paraId="0000009B">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0.05% Tween20, pH 6</w:t>
            </w:r>
          </w:p>
        </w:tc>
        <w:tc>
          <w:tcPr>
            <w:shd w:fill="auto" w:val="clear"/>
          </w:tcPr>
          <w:p w:rsidR="00000000" w:rsidDel="00000000" w:rsidP="00000000" w:rsidRDefault="00000000" w:rsidRPr="00000000" w14:paraId="0000009C">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1:100</w:t>
            </w:r>
          </w:p>
        </w:tc>
      </w:tr>
      <w:tr>
        <w:trPr>
          <w:trHeight w:val="457" w:hRule="atLeast"/>
        </w:trPr>
        <w:tc>
          <w:tcPr>
            <w:shd w:fill="auto" w:val="clear"/>
          </w:tcPr>
          <w:p w:rsidR="00000000" w:rsidDel="00000000" w:rsidP="00000000" w:rsidRDefault="00000000" w:rsidRPr="00000000" w14:paraId="0000009D">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HLA-DP, DQ, DR</w:t>
            </w:r>
          </w:p>
        </w:tc>
        <w:tc>
          <w:tcPr>
            <w:shd w:fill="auto" w:val="clear"/>
          </w:tcPr>
          <w:p w:rsidR="00000000" w:rsidDel="00000000" w:rsidP="00000000" w:rsidRDefault="00000000" w:rsidRPr="00000000" w14:paraId="0000009E">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Agilent/Dako</w:t>
            </w:r>
          </w:p>
        </w:tc>
        <w:tc>
          <w:tcPr>
            <w:shd w:fill="auto" w:val="clear"/>
          </w:tcPr>
          <w:p w:rsidR="00000000" w:rsidDel="00000000" w:rsidP="00000000" w:rsidRDefault="00000000" w:rsidRPr="00000000" w14:paraId="0000009F">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M0775</w:t>
            </w:r>
          </w:p>
        </w:tc>
        <w:tc>
          <w:tcPr>
            <w:shd w:fill="auto" w:val="clear"/>
          </w:tcPr>
          <w:p w:rsidR="00000000" w:rsidDel="00000000" w:rsidP="00000000" w:rsidRDefault="00000000" w:rsidRPr="00000000" w14:paraId="000000A0">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IHC</w:t>
            </w:r>
          </w:p>
        </w:tc>
        <w:tc>
          <w:tcPr>
            <w:shd w:fill="auto" w:val="clear"/>
          </w:tcPr>
          <w:p w:rsidR="00000000" w:rsidDel="00000000" w:rsidP="00000000" w:rsidRDefault="00000000" w:rsidRPr="00000000" w14:paraId="000000A1">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shd w:fill="auto" w:val="clear"/>
          </w:tcPr>
          <w:p w:rsidR="00000000" w:rsidDel="00000000" w:rsidP="00000000" w:rsidRDefault="00000000" w:rsidRPr="00000000" w14:paraId="000000A2">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10 mM Sodium Citrate, </w:t>
            </w:r>
          </w:p>
          <w:p w:rsidR="00000000" w:rsidDel="00000000" w:rsidP="00000000" w:rsidRDefault="00000000" w:rsidRPr="00000000" w14:paraId="000000A3">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0.05% Tween20, pH 6</w:t>
            </w:r>
          </w:p>
        </w:tc>
        <w:tc>
          <w:tcPr>
            <w:shd w:fill="auto" w:val="clear"/>
          </w:tcPr>
          <w:p w:rsidR="00000000" w:rsidDel="00000000" w:rsidP="00000000" w:rsidRDefault="00000000" w:rsidRPr="00000000" w14:paraId="000000A4">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1:100</w:t>
            </w:r>
          </w:p>
        </w:tc>
      </w:tr>
      <w:tr>
        <w:trPr>
          <w:trHeight w:val="439" w:hRule="atLeast"/>
        </w:trPr>
        <w:tc>
          <w:tcPr>
            <w:shd w:fill="auto" w:val="clear"/>
          </w:tcPr>
          <w:p w:rsidR="00000000" w:rsidDel="00000000" w:rsidP="00000000" w:rsidRDefault="00000000" w:rsidRPr="00000000" w14:paraId="000000A5">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ezrin</w:t>
            </w:r>
          </w:p>
        </w:tc>
        <w:tc>
          <w:tcPr>
            <w:shd w:fill="auto" w:val="clear"/>
          </w:tcPr>
          <w:p w:rsidR="00000000" w:rsidDel="00000000" w:rsidP="00000000" w:rsidRDefault="00000000" w:rsidRPr="00000000" w14:paraId="000000A6">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Abcam</w:t>
            </w:r>
          </w:p>
        </w:tc>
        <w:tc>
          <w:tcPr>
            <w:shd w:fill="auto" w:val="clear"/>
          </w:tcPr>
          <w:p w:rsidR="00000000" w:rsidDel="00000000" w:rsidP="00000000" w:rsidRDefault="00000000" w:rsidRPr="00000000" w14:paraId="000000A7">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ab4069</w:t>
            </w:r>
          </w:p>
        </w:tc>
        <w:tc>
          <w:tcPr>
            <w:shd w:fill="auto" w:val="clear"/>
          </w:tcPr>
          <w:p w:rsidR="00000000" w:rsidDel="00000000" w:rsidP="00000000" w:rsidRDefault="00000000" w:rsidRPr="00000000" w14:paraId="000000A8">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IHC</w:t>
            </w:r>
          </w:p>
        </w:tc>
        <w:tc>
          <w:tcPr>
            <w:shd w:fill="auto" w:val="clear"/>
          </w:tcPr>
          <w:p w:rsidR="00000000" w:rsidDel="00000000" w:rsidP="00000000" w:rsidRDefault="00000000" w:rsidRPr="00000000" w14:paraId="000000A9">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Primary</w:t>
            </w:r>
          </w:p>
        </w:tc>
        <w:tc>
          <w:tcPr>
            <w:shd w:fill="auto" w:val="clear"/>
          </w:tcPr>
          <w:p w:rsidR="00000000" w:rsidDel="00000000" w:rsidP="00000000" w:rsidRDefault="00000000" w:rsidRPr="00000000" w14:paraId="000000AA">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10 mM Sodium Citrate, </w:t>
            </w:r>
          </w:p>
          <w:p w:rsidR="00000000" w:rsidDel="00000000" w:rsidP="00000000" w:rsidRDefault="00000000" w:rsidRPr="00000000" w14:paraId="000000AB">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0.05% Tween20, pH 6</w:t>
            </w:r>
          </w:p>
        </w:tc>
        <w:tc>
          <w:tcPr>
            <w:shd w:fill="auto" w:val="clear"/>
          </w:tcPr>
          <w:p w:rsidR="00000000" w:rsidDel="00000000" w:rsidP="00000000" w:rsidRDefault="00000000" w:rsidRPr="00000000" w14:paraId="000000AC">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1:100</w:t>
            </w:r>
          </w:p>
        </w:tc>
      </w:tr>
      <w:tr>
        <w:trPr>
          <w:trHeight w:val="628" w:hRule="atLeast"/>
        </w:trPr>
        <w:tc>
          <w:tcPr>
            <w:shd w:fill="auto" w:val="clear"/>
          </w:tcPr>
          <w:p w:rsidR="00000000" w:rsidDel="00000000" w:rsidP="00000000" w:rsidRDefault="00000000" w:rsidRPr="00000000" w14:paraId="000000AD">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A568 anti-mouse IgG</w:t>
            </w:r>
          </w:p>
        </w:tc>
        <w:tc>
          <w:tcPr>
            <w:shd w:fill="auto" w:val="clear"/>
          </w:tcPr>
          <w:p w:rsidR="00000000" w:rsidDel="00000000" w:rsidP="00000000" w:rsidRDefault="00000000" w:rsidRPr="00000000" w14:paraId="000000AE">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Molecular Probes</w:t>
            </w:r>
          </w:p>
        </w:tc>
        <w:tc>
          <w:tcPr>
            <w:shd w:fill="auto" w:val="clear"/>
          </w:tcPr>
          <w:p w:rsidR="00000000" w:rsidDel="00000000" w:rsidP="00000000" w:rsidRDefault="00000000" w:rsidRPr="00000000" w14:paraId="000000AF">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A10037</w:t>
            </w:r>
          </w:p>
        </w:tc>
        <w:tc>
          <w:tcPr>
            <w:shd w:fill="auto" w:val="clear"/>
          </w:tcPr>
          <w:p w:rsidR="00000000" w:rsidDel="00000000" w:rsidP="00000000" w:rsidRDefault="00000000" w:rsidRPr="00000000" w14:paraId="000000B0">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ICC</w:t>
            </w:r>
          </w:p>
        </w:tc>
        <w:tc>
          <w:tcPr>
            <w:shd w:fill="auto" w:val="clear"/>
          </w:tcPr>
          <w:p w:rsidR="00000000" w:rsidDel="00000000" w:rsidP="00000000" w:rsidRDefault="00000000" w:rsidRPr="00000000" w14:paraId="000000B1">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Secondary</w:t>
            </w:r>
          </w:p>
        </w:tc>
        <w:tc>
          <w:tcPr>
            <w:shd w:fill="auto" w:val="clear"/>
          </w:tcPr>
          <w:p w:rsidR="00000000" w:rsidDel="00000000" w:rsidP="00000000" w:rsidRDefault="00000000" w:rsidRPr="00000000" w14:paraId="000000B2">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 </w:t>
            </w:r>
          </w:p>
        </w:tc>
        <w:tc>
          <w:tcPr>
            <w:shd w:fill="auto" w:val="clear"/>
          </w:tcPr>
          <w:p w:rsidR="00000000" w:rsidDel="00000000" w:rsidP="00000000" w:rsidRDefault="00000000" w:rsidRPr="00000000" w14:paraId="000000B3">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1:200</w:t>
            </w:r>
          </w:p>
        </w:tc>
      </w:tr>
      <w:tr>
        <w:trPr>
          <w:trHeight w:val="637" w:hRule="atLeast"/>
        </w:trPr>
        <w:tc>
          <w:tcPr>
            <w:shd w:fill="auto" w:val="clear"/>
          </w:tcPr>
          <w:p w:rsidR="00000000" w:rsidDel="00000000" w:rsidP="00000000" w:rsidRDefault="00000000" w:rsidRPr="00000000" w14:paraId="000000B4">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A488 anti-rabbit IgG</w:t>
            </w:r>
          </w:p>
        </w:tc>
        <w:tc>
          <w:tcPr>
            <w:shd w:fill="auto" w:val="clear"/>
          </w:tcPr>
          <w:p w:rsidR="00000000" w:rsidDel="00000000" w:rsidP="00000000" w:rsidRDefault="00000000" w:rsidRPr="00000000" w14:paraId="000000B5">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Molecular Probes</w:t>
            </w:r>
          </w:p>
        </w:tc>
        <w:tc>
          <w:tcPr>
            <w:shd w:fill="auto" w:val="clear"/>
          </w:tcPr>
          <w:p w:rsidR="00000000" w:rsidDel="00000000" w:rsidP="00000000" w:rsidRDefault="00000000" w:rsidRPr="00000000" w14:paraId="000000B6">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A21206</w:t>
            </w:r>
          </w:p>
        </w:tc>
        <w:tc>
          <w:tcPr>
            <w:shd w:fill="auto" w:val="clear"/>
          </w:tcPr>
          <w:p w:rsidR="00000000" w:rsidDel="00000000" w:rsidP="00000000" w:rsidRDefault="00000000" w:rsidRPr="00000000" w14:paraId="000000B7">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ICC</w:t>
            </w:r>
          </w:p>
        </w:tc>
        <w:tc>
          <w:tcPr>
            <w:shd w:fill="auto" w:val="clear"/>
          </w:tcPr>
          <w:p w:rsidR="00000000" w:rsidDel="00000000" w:rsidP="00000000" w:rsidRDefault="00000000" w:rsidRPr="00000000" w14:paraId="000000B8">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Secondary</w:t>
            </w:r>
          </w:p>
        </w:tc>
        <w:tc>
          <w:tcPr>
            <w:shd w:fill="auto" w:val="clear"/>
          </w:tcPr>
          <w:p w:rsidR="00000000" w:rsidDel="00000000" w:rsidP="00000000" w:rsidRDefault="00000000" w:rsidRPr="00000000" w14:paraId="000000B9">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 </w:t>
            </w:r>
          </w:p>
        </w:tc>
        <w:tc>
          <w:tcPr>
            <w:shd w:fill="auto" w:val="clear"/>
          </w:tcPr>
          <w:p w:rsidR="00000000" w:rsidDel="00000000" w:rsidP="00000000" w:rsidRDefault="00000000" w:rsidRPr="00000000" w14:paraId="000000BA">
            <w:pPr>
              <w:spacing w:after="120" w:line="360" w:lineRule="auto"/>
              <w:ind w:right="-1584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1:200</w:t>
            </w:r>
          </w:p>
        </w:tc>
      </w:tr>
      <w:tr>
        <w:trPr>
          <w:trHeight w:val="522" w:hRule="atLeast"/>
        </w:trPr>
        <w:tc>
          <w:tcPr>
            <w:tcBorders>
              <w:bottom w:color="000000" w:space="0" w:sz="4" w:val="single"/>
            </w:tcBorders>
            <w:shd w:fill="auto" w:val="clear"/>
          </w:tcPr>
          <w:p w:rsidR="00000000" w:rsidDel="00000000" w:rsidP="00000000" w:rsidRDefault="00000000" w:rsidRPr="00000000" w14:paraId="000000BB">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A647 anti-mouse IgG</w:t>
            </w:r>
          </w:p>
        </w:tc>
        <w:tc>
          <w:tcPr>
            <w:tcBorders>
              <w:bottom w:color="000000" w:space="0" w:sz="4" w:val="single"/>
            </w:tcBorders>
            <w:shd w:fill="auto" w:val="clear"/>
          </w:tcPr>
          <w:p w:rsidR="00000000" w:rsidDel="00000000" w:rsidP="00000000" w:rsidRDefault="00000000" w:rsidRPr="00000000" w14:paraId="000000BC">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Invitrogen</w:t>
            </w:r>
          </w:p>
        </w:tc>
        <w:tc>
          <w:tcPr>
            <w:tcBorders>
              <w:bottom w:color="000000" w:space="0" w:sz="4" w:val="single"/>
            </w:tcBorders>
            <w:shd w:fill="auto" w:val="clear"/>
          </w:tcPr>
          <w:p w:rsidR="00000000" w:rsidDel="00000000" w:rsidP="00000000" w:rsidRDefault="00000000" w:rsidRPr="00000000" w14:paraId="000000BD">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A31571</w:t>
            </w:r>
          </w:p>
        </w:tc>
        <w:tc>
          <w:tcPr>
            <w:tcBorders>
              <w:bottom w:color="000000" w:space="0" w:sz="4" w:val="single"/>
            </w:tcBorders>
            <w:shd w:fill="auto" w:val="clear"/>
          </w:tcPr>
          <w:p w:rsidR="00000000" w:rsidDel="00000000" w:rsidP="00000000" w:rsidRDefault="00000000" w:rsidRPr="00000000" w14:paraId="000000BE">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IHC</w:t>
            </w:r>
          </w:p>
        </w:tc>
        <w:tc>
          <w:tcPr>
            <w:tcBorders>
              <w:bottom w:color="000000" w:space="0" w:sz="4" w:val="single"/>
            </w:tcBorders>
            <w:shd w:fill="auto" w:val="clear"/>
          </w:tcPr>
          <w:p w:rsidR="00000000" w:rsidDel="00000000" w:rsidP="00000000" w:rsidRDefault="00000000" w:rsidRPr="00000000" w14:paraId="000000BF">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Secondary</w:t>
            </w:r>
          </w:p>
        </w:tc>
        <w:tc>
          <w:tcPr>
            <w:tcBorders>
              <w:bottom w:color="000000" w:space="0" w:sz="4" w:val="single"/>
            </w:tcBorders>
            <w:shd w:fill="auto" w:val="clear"/>
          </w:tcPr>
          <w:p w:rsidR="00000000" w:rsidDel="00000000" w:rsidP="00000000" w:rsidRDefault="00000000" w:rsidRPr="00000000" w14:paraId="000000C0">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 </w:t>
            </w:r>
          </w:p>
        </w:tc>
        <w:tc>
          <w:tcPr>
            <w:tcBorders>
              <w:bottom w:color="000000" w:space="0" w:sz="4" w:val="single"/>
            </w:tcBorders>
            <w:shd w:fill="auto" w:val="clear"/>
          </w:tcPr>
          <w:p w:rsidR="00000000" w:rsidDel="00000000" w:rsidP="00000000" w:rsidRDefault="00000000" w:rsidRPr="00000000" w14:paraId="000000C1">
            <w:pPr>
              <w:spacing w:after="0" w:line="360" w:lineRule="auto"/>
              <w:ind w:right="-15842"/>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1:200</w:t>
            </w:r>
          </w:p>
        </w:tc>
      </w:tr>
    </w:tbl>
    <w:p w:rsidR="00000000" w:rsidDel="00000000" w:rsidP="00000000" w:rsidRDefault="00000000" w:rsidRPr="00000000" w14:paraId="000000C2">
      <w:pPr>
        <w:ind w:right="-15840"/>
        <w:rPr>
          <w:rFonts w:ascii="Times New Roman" w:cs="Times New Roman" w:eastAsia="Times New Roman" w:hAnsi="Times New Roman"/>
        </w:rPr>
        <w:sectPr>
          <w:pgSz w:h="16838" w:w="11906" w:orient="portrait"/>
          <w:pgMar w:bottom="1134" w:top="992" w:left="1417" w:right="1418" w:header="709" w:footer="709"/>
          <w:pgNumType w:start="1"/>
        </w:sectPr>
      </w:pPr>
      <w:r w:rsidDel="00000000" w:rsidR="00000000" w:rsidRPr="00000000">
        <w:rPr>
          <w:rtl w:val="0"/>
        </w:rPr>
      </w:r>
    </w:p>
    <w:p w:rsidR="00000000" w:rsidDel="00000000" w:rsidP="00000000" w:rsidRDefault="00000000" w:rsidRPr="00000000" w14:paraId="000000C3">
      <w:pPr>
        <w:pStyle w:val="Heading2"/>
        <w:ind w:right="-1584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Table S2 Summary of details of </w:t>
      </w:r>
      <w:r w:rsidDel="00000000" w:rsidR="00000000" w:rsidRPr="00000000">
        <w:rPr>
          <w:rFonts w:ascii="Times New Roman" w:cs="Times New Roman" w:eastAsia="Times New Roman" w:hAnsi="Times New Roman"/>
          <w:i w:val="1"/>
          <w:sz w:val="22"/>
          <w:szCs w:val="22"/>
          <w:rtl w:val="0"/>
        </w:rPr>
        <w:t xml:space="preserve">in vivo</w:t>
      </w:r>
      <w:r w:rsidDel="00000000" w:rsidR="00000000" w:rsidRPr="00000000">
        <w:rPr>
          <w:rFonts w:ascii="Times New Roman" w:cs="Times New Roman" w:eastAsia="Times New Roman" w:hAnsi="Times New Roman"/>
          <w:sz w:val="22"/>
          <w:szCs w:val="22"/>
          <w:rtl w:val="0"/>
        </w:rPr>
        <w:t xml:space="preserve"> ophthalmic follow up of transplanted ESC-RPE grafts in NHPs</w:t>
      </w:r>
    </w:p>
    <w:tbl>
      <w:tblPr>
        <w:tblStyle w:val="Table2"/>
        <w:tblW w:w="10065.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990"/>
        <w:gridCol w:w="540"/>
        <w:gridCol w:w="1260"/>
        <w:gridCol w:w="1350"/>
        <w:gridCol w:w="1080"/>
        <w:gridCol w:w="810"/>
        <w:gridCol w:w="1200"/>
        <w:gridCol w:w="1134"/>
        <w:gridCol w:w="1701"/>
        <w:tblGridChange w:id="0">
          <w:tblGrid>
            <w:gridCol w:w="990"/>
            <w:gridCol w:w="540"/>
            <w:gridCol w:w="1260"/>
            <w:gridCol w:w="1350"/>
            <w:gridCol w:w="1080"/>
            <w:gridCol w:w="810"/>
            <w:gridCol w:w="1200"/>
            <w:gridCol w:w="1134"/>
            <w:gridCol w:w="1701"/>
          </w:tblGrid>
        </w:tblGridChange>
      </w:tblGrid>
      <w:tr>
        <w:trPr>
          <w:trHeight w:val="737" w:hRule="atLeast"/>
        </w:trPr>
        <w:tc>
          <w:tcPr>
            <w:tcBorders>
              <w:top w:color="000000" w:space="0" w:sz="4" w:val="single"/>
              <w:bottom w:color="000000" w:space="0" w:sz="4" w:val="single"/>
            </w:tcBorders>
            <w:vAlign w:val="center"/>
          </w:tcPr>
          <w:p w:rsidR="00000000" w:rsidDel="00000000" w:rsidP="00000000" w:rsidRDefault="00000000" w:rsidRPr="00000000" w14:paraId="000000C4">
            <w:pPr>
              <w:spacing w:after="0" w:line="360" w:lineRule="auto"/>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Surgical outcome</w:t>
            </w:r>
          </w:p>
        </w:tc>
        <w:tc>
          <w:tcPr>
            <w:tcBorders>
              <w:top w:color="000000" w:space="0" w:sz="4" w:val="single"/>
              <w:bottom w:color="000000" w:space="0" w:sz="4" w:val="single"/>
            </w:tcBorders>
            <w:vAlign w:val="center"/>
          </w:tcPr>
          <w:p w:rsidR="00000000" w:rsidDel="00000000" w:rsidP="00000000" w:rsidRDefault="00000000" w:rsidRPr="00000000" w14:paraId="000000C5">
            <w:pPr>
              <w:spacing w:after="0" w:line="360" w:lineRule="auto"/>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Case ID</w:t>
            </w:r>
          </w:p>
        </w:tc>
        <w:tc>
          <w:tcPr>
            <w:tcBorders>
              <w:top w:color="000000" w:space="0" w:sz="4" w:val="single"/>
              <w:bottom w:color="000000" w:space="0" w:sz="4" w:val="single"/>
            </w:tcBorders>
            <w:vAlign w:val="center"/>
          </w:tcPr>
          <w:p w:rsidR="00000000" w:rsidDel="00000000" w:rsidP="00000000" w:rsidRDefault="00000000" w:rsidRPr="00000000" w14:paraId="000000C6">
            <w:pPr>
              <w:spacing w:after="0" w:line="360" w:lineRule="auto"/>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Post-operative inflammation</w:t>
            </w:r>
          </w:p>
        </w:tc>
        <w:tc>
          <w:tcPr>
            <w:tcBorders>
              <w:top w:color="000000" w:space="0" w:sz="4" w:val="single"/>
              <w:bottom w:color="000000" w:space="0" w:sz="4" w:val="single"/>
            </w:tcBorders>
            <w:vAlign w:val="center"/>
          </w:tcPr>
          <w:p w:rsidR="00000000" w:rsidDel="00000000" w:rsidP="00000000" w:rsidRDefault="00000000" w:rsidRPr="00000000" w14:paraId="000000C7">
            <w:pPr>
              <w:spacing w:after="0" w:line="360" w:lineRule="auto"/>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RPE defect region (BAF)</w:t>
            </w:r>
          </w:p>
        </w:tc>
        <w:tc>
          <w:tcPr>
            <w:tcBorders>
              <w:top w:color="000000" w:space="0" w:sz="4" w:val="single"/>
              <w:bottom w:color="000000" w:space="0" w:sz="4" w:val="single"/>
            </w:tcBorders>
            <w:vAlign w:val="center"/>
          </w:tcPr>
          <w:p w:rsidR="00000000" w:rsidDel="00000000" w:rsidP="00000000" w:rsidRDefault="00000000" w:rsidRPr="00000000" w14:paraId="000000C8">
            <w:pPr>
              <w:spacing w:after="0" w:line="360" w:lineRule="auto"/>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Vascular leak (FAF at D28)</w:t>
            </w:r>
          </w:p>
        </w:tc>
        <w:tc>
          <w:tcPr>
            <w:tcBorders>
              <w:top w:color="000000" w:space="0" w:sz="4" w:val="single"/>
              <w:bottom w:color="000000" w:space="0" w:sz="4" w:val="single"/>
            </w:tcBorders>
            <w:vAlign w:val="center"/>
          </w:tcPr>
          <w:p w:rsidR="00000000" w:rsidDel="00000000" w:rsidP="00000000" w:rsidRDefault="00000000" w:rsidRPr="00000000" w14:paraId="000000C9">
            <w:pPr>
              <w:spacing w:after="0" w:line="360" w:lineRule="auto"/>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Graft position</w:t>
            </w:r>
          </w:p>
        </w:tc>
        <w:tc>
          <w:tcPr>
            <w:tcBorders>
              <w:top w:color="000000" w:space="0" w:sz="4" w:val="single"/>
              <w:bottom w:color="000000" w:space="0" w:sz="4" w:val="single"/>
            </w:tcBorders>
            <w:vAlign w:val="center"/>
          </w:tcPr>
          <w:p w:rsidR="00000000" w:rsidDel="00000000" w:rsidP="00000000" w:rsidRDefault="00000000" w:rsidRPr="00000000" w14:paraId="000000CA">
            <w:pPr>
              <w:spacing w:after="0" w:line="360" w:lineRule="auto"/>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Subretinal fluid (OCT at D28)</w:t>
            </w:r>
          </w:p>
        </w:tc>
        <w:tc>
          <w:tcPr>
            <w:tcBorders>
              <w:top w:color="000000" w:space="0" w:sz="4" w:val="single"/>
              <w:bottom w:color="000000" w:space="0" w:sz="4" w:val="single"/>
            </w:tcBorders>
            <w:vAlign w:val="center"/>
          </w:tcPr>
          <w:p w:rsidR="00000000" w:rsidDel="00000000" w:rsidP="00000000" w:rsidRDefault="00000000" w:rsidRPr="00000000" w14:paraId="000000CB">
            <w:pPr>
              <w:spacing w:after="0" w:line="360" w:lineRule="auto"/>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Fovea atrophy (OCT at D28)</w:t>
            </w:r>
          </w:p>
        </w:tc>
        <w:tc>
          <w:tcPr>
            <w:tcBorders>
              <w:top w:color="000000" w:space="0" w:sz="4" w:val="single"/>
              <w:bottom w:color="000000" w:space="0" w:sz="4" w:val="single"/>
            </w:tcBorders>
            <w:vAlign w:val="center"/>
          </w:tcPr>
          <w:p w:rsidR="00000000" w:rsidDel="00000000" w:rsidP="00000000" w:rsidRDefault="00000000" w:rsidRPr="00000000" w14:paraId="000000CC">
            <w:pPr>
              <w:spacing w:after="0" w:line="360" w:lineRule="auto"/>
              <w:jc w:val="left"/>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ELM and ONL above the graft (OCT at D28)</w:t>
            </w:r>
          </w:p>
        </w:tc>
      </w:tr>
      <w:tr>
        <w:trPr>
          <w:trHeight w:val="461" w:hRule="atLeast"/>
        </w:trPr>
        <w:tc>
          <w:tcPr>
            <w:tcBorders>
              <w:top w:color="000000" w:space="0" w:sz="4" w:val="single"/>
            </w:tcBorders>
          </w:tcPr>
          <w:p w:rsidR="00000000" w:rsidDel="00000000" w:rsidP="00000000" w:rsidRDefault="00000000" w:rsidRPr="00000000" w14:paraId="000000CD">
            <w:pPr>
              <w:spacing w:before="120"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vorable</w:t>
            </w:r>
          </w:p>
        </w:tc>
        <w:tc>
          <w:tcPr>
            <w:tcBorders>
              <w:top w:color="000000" w:space="0" w:sz="4" w:val="single"/>
            </w:tcBorders>
          </w:tcPr>
          <w:p w:rsidR="00000000" w:rsidDel="00000000" w:rsidP="00000000" w:rsidRDefault="00000000" w:rsidRPr="00000000" w14:paraId="000000CE">
            <w:pPr>
              <w:spacing w:before="120"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#7</w:t>
            </w:r>
          </w:p>
        </w:tc>
        <w:tc>
          <w:tcPr>
            <w:tcBorders>
              <w:top w:color="000000" w:space="0" w:sz="4" w:val="single"/>
            </w:tcBorders>
          </w:tcPr>
          <w:p w:rsidR="00000000" w:rsidDel="00000000" w:rsidP="00000000" w:rsidRDefault="00000000" w:rsidRPr="00000000" w14:paraId="000000CF">
            <w:pPr>
              <w:spacing w:before="120"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Vitreous clear since D5</w:t>
            </w:r>
          </w:p>
        </w:tc>
        <w:tc>
          <w:tcPr>
            <w:tcBorders>
              <w:top w:color="000000" w:space="0" w:sz="4" w:val="single"/>
            </w:tcBorders>
          </w:tcPr>
          <w:p w:rsidR="00000000" w:rsidDel="00000000" w:rsidP="00000000" w:rsidRDefault="00000000" w:rsidRPr="00000000" w14:paraId="000000D0">
            <w:pPr>
              <w:spacing w:before="120"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Around the graft and scrape area</w:t>
            </w:r>
          </w:p>
        </w:tc>
        <w:tc>
          <w:tcPr>
            <w:tcBorders>
              <w:top w:color="000000" w:space="0" w:sz="4" w:val="single"/>
            </w:tcBorders>
          </w:tcPr>
          <w:p w:rsidR="00000000" w:rsidDel="00000000" w:rsidP="00000000" w:rsidRDefault="00000000" w:rsidRPr="00000000" w14:paraId="000000D1">
            <w:pPr>
              <w:spacing w:before="120"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w:t>
            </w:r>
          </w:p>
        </w:tc>
        <w:tc>
          <w:tcPr>
            <w:tcBorders>
              <w:top w:color="000000" w:space="0" w:sz="4" w:val="single"/>
            </w:tcBorders>
          </w:tcPr>
          <w:p w:rsidR="00000000" w:rsidDel="00000000" w:rsidP="00000000" w:rsidRDefault="00000000" w:rsidRPr="00000000" w14:paraId="000000D2">
            <w:pPr>
              <w:spacing w:before="120"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Stable</w:t>
            </w:r>
          </w:p>
        </w:tc>
        <w:tc>
          <w:tcPr>
            <w:tcBorders>
              <w:top w:color="000000" w:space="0" w:sz="4" w:val="single"/>
            </w:tcBorders>
          </w:tcPr>
          <w:p w:rsidR="00000000" w:rsidDel="00000000" w:rsidP="00000000" w:rsidRDefault="00000000" w:rsidRPr="00000000" w14:paraId="000000D3">
            <w:pPr>
              <w:spacing w:before="120"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w:t>
            </w:r>
          </w:p>
        </w:tc>
        <w:tc>
          <w:tcPr>
            <w:tcBorders>
              <w:top w:color="000000" w:space="0" w:sz="4" w:val="single"/>
            </w:tcBorders>
          </w:tcPr>
          <w:p w:rsidR="00000000" w:rsidDel="00000000" w:rsidP="00000000" w:rsidRDefault="00000000" w:rsidRPr="00000000" w14:paraId="000000D4">
            <w:pPr>
              <w:spacing w:before="120"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 no scar</w:t>
            </w:r>
          </w:p>
        </w:tc>
        <w:tc>
          <w:tcPr>
            <w:tcBorders>
              <w:top w:color="000000" w:space="0" w:sz="4" w:val="single"/>
            </w:tcBorders>
          </w:tcPr>
          <w:p w:rsidR="00000000" w:rsidDel="00000000" w:rsidP="00000000" w:rsidRDefault="00000000" w:rsidRPr="00000000" w14:paraId="000000D5">
            <w:pPr>
              <w:spacing w:before="120"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3/4 ELM continuous, ONL become slightly thinner</w:t>
            </w:r>
          </w:p>
        </w:tc>
      </w:tr>
      <w:tr>
        <w:trPr>
          <w:trHeight w:val="451" w:hRule="atLeast"/>
        </w:trPr>
        <w:tc>
          <w:tcPr/>
          <w:p w:rsidR="00000000" w:rsidDel="00000000" w:rsidP="00000000" w:rsidRDefault="00000000" w:rsidRPr="00000000" w14:paraId="000000D6">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Favorable</w:t>
            </w:r>
          </w:p>
        </w:tc>
        <w:tc>
          <w:tcPr/>
          <w:p w:rsidR="00000000" w:rsidDel="00000000" w:rsidP="00000000" w:rsidRDefault="00000000" w:rsidRPr="00000000" w14:paraId="000000D7">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#8</w:t>
            </w:r>
          </w:p>
        </w:tc>
        <w:tc>
          <w:tcPr/>
          <w:p w:rsidR="00000000" w:rsidDel="00000000" w:rsidP="00000000" w:rsidRDefault="00000000" w:rsidRPr="00000000" w14:paraId="000000D8">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Vitreous clear since D5</w:t>
            </w:r>
          </w:p>
        </w:tc>
        <w:tc>
          <w:tcPr/>
          <w:p w:rsidR="00000000" w:rsidDel="00000000" w:rsidP="00000000" w:rsidRDefault="00000000" w:rsidRPr="00000000" w14:paraId="000000D9">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Around the graft and scrape area</w:t>
            </w:r>
          </w:p>
        </w:tc>
        <w:tc>
          <w:tcPr/>
          <w:p w:rsidR="00000000" w:rsidDel="00000000" w:rsidP="00000000" w:rsidRDefault="00000000" w:rsidRPr="00000000" w14:paraId="000000DA">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w:t>
            </w:r>
          </w:p>
        </w:tc>
        <w:tc>
          <w:tcPr/>
          <w:p w:rsidR="00000000" w:rsidDel="00000000" w:rsidP="00000000" w:rsidRDefault="00000000" w:rsidRPr="00000000" w14:paraId="000000DB">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Stable</w:t>
            </w:r>
          </w:p>
        </w:tc>
        <w:tc>
          <w:tcPr/>
          <w:p w:rsidR="00000000" w:rsidDel="00000000" w:rsidP="00000000" w:rsidRDefault="00000000" w:rsidRPr="00000000" w14:paraId="000000DC">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w:t>
            </w:r>
          </w:p>
        </w:tc>
        <w:tc>
          <w:tcPr/>
          <w:p w:rsidR="00000000" w:rsidDel="00000000" w:rsidP="00000000" w:rsidRDefault="00000000" w:rsidRPr="00000000" w14:paraId="000000DD">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 tiny scar</w:t>
            </w:r>
          </w:p>
        </w:tc>
        <w:tc>
          <w:tcPr/>
          <w:p w:rsidR="00000000" w:rsidDel="00000000" w:rsidP="00000000" w:rsidRDefault="00000000" w:rsidRPr="00000000" w14:paraId="000000DE">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ELM continuous, ONL thickness maintained</w:t>
            </w:r>
          </w:p>
        </w:tc>
      </w:tr>
      <w:tr>
        <w:trPr>
          <w:trHeight w:val="461" w:hRule="atLeast"/>
        </w:trPr>
        <w:tc>
          <w:tcPr/>
          <w:p w:rsidR="00000000" w:rsidDel="00000000" w:rsidP="00000000" w:rsidRDefault="00000000" w:rsidRPr="00000000" w14:paraId="000000DF">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Favorable</w:t>
            </w:r>
          </w:p>
        </w:tc>
        <w:tc>
          <w:tcPr/>
          <w:p w:rsidR="00000000" w:rsidDel="00000000" w:rsidP="00000000" w:rsidRDefault="00000000" w:rsidRPr="00000000" w14:paraId="000000E0">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#9</w:t>
            </w:r>
          </w:p>
        </w:tc>
        <w:tc>
          <w:tcPr/>
          <w:p w:rsidR="00000000" w:rsidDel="00000000" w:rsidP="00000000" w:rsidRDefault="00000000" w:rsidRPr="00000000" w14:paraId="000000E1">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Vitreous clear since D5</w:t>
            </w:r>
          </w:p>
        </w:tc>
        <w:tc>
          <w:tcPr/>
          <w:p w:rsidR="00000000" w:rsidDel="00000000" w:rsidP="00000000" w:rsidRDefault="00000000" w:rsidRPr="00000000" w14:paraId="000000E2">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Around the graft and scrape area</w:t>
            </w:r>
          </w:p>
        </w:tc>
        <w:tc>
          <w:tcPr/>
          <w:p w:rsidR="00000000" w:rsidDel="00000000" w:rsidP="00000000" w:rsidRDefault="00000000" w:rsidRPr="00000000" w14:paraId="000000E3">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w:t>
            </w:r>
          </w:p>
        </w:tc>
        <w:tc>
          <w:tcPr/>
          <w:p w:rsidR="00000000" w:rsidDel="00000000" w:rsidP="00000000" w:rsidRDefault="00000000" w:rsidRPr="00000000" w14:paraId="000000E4">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Stable</w:t>
            </w:r>
          </w:p>
        </w:tc>
        <w:tc>
          <w:tcPr/>
          <w:p w:rsidR="00000000" w:rsidDel="00000000" w:rsidP="00000000" w:rsidRDefault="00000000" w:rsidRPr="00000000" w14:paraId="000000E5">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w:t>
            </w:r>
          </w:p>
        </w:tc>
        <w:tc>
          <w:tcPr/>
          <w:p w:rsidR="00000000" w:rsidDel="00000000" w:rsidP="00000000" w:rsidRDefault="00000000" w:rsidRPr="00000000" w14:paraId="000000E6">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Yes, obvious</w:t>
            </w:r>
          </w:p>
        </w:tc>
        <w:tc>
          <w:tcPr/>
          <w:p w:rsidR="00000000" w:rsidDel="00000000" w:rsidP="00000000" w:rsidRDefault="00000000" w:rsidRPr="00000000" w14:paraId="000000E7">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1/2 ELM continuous, ONL became obvious thinner.</w:t>
            </w:r>
          </w:p>
        </w:tc>
      </w:tr>
      <w:tr>
        <w:trPr>
          <w:trHeight w:val="534" w:hRule="atLeast"/>
        </w:trPr>
        <w:tc>
          <w:tcPr/>
          <w:p w:rsidR="00000000" w:rsidDel="00000000" w:rsidP="00000000" w:rsidRDefault="00000000" w:rsidRPr="00000000" w14:paraId="000000E8">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Favorable</w:t>
            </w:r>
          </w:p>
        </w:tc>
        <w:tc>
          <w:tcPr/>
          <w:p w:rsidR="00000000" w:rsidDel="00000000" w:rsidP="00000000" w:rsidRDefault="00000000" w:rsidRPr="00000000" w14:paraId="000000E9">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#10</w:t>
            </w:r>
          </w:p>
        </w:tc>
        <w:tc>
          <w:tcPr/>
          <w:p w:rsidR="00000000" w:rsidDel="00000000" w:rsidP="00000000" w:rsidRDefault="00000000" w:rsidRPr="00000000" w14:paraId="000000EA">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Vitreous clear since D5</w:t>
            </w:r>
          </w:p>
        </w:tc>
        <w:tc>
          <w:tcPr/>
          <w:p w:rsidR="00000000" w:rsidDel="00000000" w:rsidP="00000000" w:rsidRDefault="00000000" w:rsidRPr="00000000" w14:paraId="000000EB">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Around the graft and scrape area</w:t>
            </w:r>
          </w:p>
        </w:tc>
        <w:tc>
          <w:tcPr/>
          <w:p w:rsidR="00000000" w:rsidDel="00000000" w:rsidP="00000000" w:rsidRDefault="00000000" w:rsidRPr="00000000" w14:paraId="000000EC">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w:t>
            </w:r>
          </w:p>
        </w:tc>
        <w:tc>
          <w:tcPr/>
          <w:p w:rsidR="00000000" w:rsidDel="00000000" w:rsidP="00000000" w:rsidRDefault="00000000" w:rsidRPr="00000000" w14:paraId="000000ED">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Stable</w:t>
            </w:r>
          </w:p>
        </w:tc>
        <w:tc>
          <w:tcPr/>
          <w:p w:rsidR="00000000" w:rsidDel="00000000" w:rsidP="00000000" w:rsidRDefault="00000000" w:rsidRPr="00000000" w14:paraId="000000EE">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w:t>
            </w:r>
          </w:p>
        </w:tc>
        <w:tc>
          <w:tcPr/>
          <w:p w:rsidR="00000000" w:rsidDel="00000000" w:rsidP="00000000" w:rsidRDefault="00000000" w:rsidRPr="00000000" w14:paraId="000000EF">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 tiny scar</w:t>
            </w:r>
          </w:p>
        </w:tc>
        <w:tc>
          <w:tcPr/>
          <w:p w:rsidR="00000000" w:rsidDel="00000000" w:rsidP="00000000" w:rsidRDefault="00000000" w:rsidRPr="00000000" w14:paraId="000000F0">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ELM continuous, ONL become slightly thinner</w:t>
            </w:r>
          </w:p>
        </w:tc>
      </w:tr>
      <w:tr>
        <w:trPr>
          <w:trHeight w:val="1091" w:hRule="atLeast"/>
        </w:trPr>
        <w:tc>
          <w:tcPr/>
          <w:p w:rsidR="00000000" w:rsidDel="00000000" w:rsidP="00000000" w:rsidRDefault="00000000" w:rsidRPr="00000000" w14:paraId="000000F1">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Favorable</w:t>
            </w:r>
          </w:p>
        </w:tc>
        <w:tc>
          <w:tcPr/>
          <w:p w:rsidR="00000000" w:rsidDel="00000000" w:rsidP="00000000" w:rsidRDefault="00000000" w:rsidRPr="00000000" w14:paraId="000000F2">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#11</w:t>
            </w:r>
          </w:p>
        </w:tc>
        <w:tc>
          <w:tcPr/>
          <w:p w:rsidR="00000000" w:rsidDel="00000000" w:rsidP="00000000" w:rsidRDefault="00000000" w:rsidRPr="00000000" w14:paraId="000000F3">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Vitreous blur but able to capture grafts at D5, clear since D14</w:t>
            </w:r>
          </w:p>
        </w:tc>
        <w:tc>
          <w:tcPr/>
          <w:p w:rsidR="00000000" w:rsidDel="00000000" w:rsidP="00000000" w:rsidRDefault="00000000" w:rsidRPr="00000000" w14:paraId="000000F4">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Around the graft and scrape area</w:t>
            </w:r>
          </w:p>
        </w:tc>
        <w:tc>
          <w:tcPr/>
          <w:p w:rsidR="00000000" w:rsidDel="00000000" w:rsidP="00000000" w:rsidRDefault="00000000" w:rsidRPr="00000000" w14:paraId="000000F5">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w:t>
            </w:r>
          </w:p>
        </w:tc>
        <w:tc>
          <w:tcPr/>
          <w:p w:rsidR="00000000" w:rsidDel="00000000" w:rsidP="00000000" w:rsidRDefault="00000000" w:rsidRPr="00000000" w14:paraId="000000F6">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Stable</w:t>
            </w:r>
          </w:p>
        </w:tc>
        <w:tc>
          <w:tcPr/>
          <w:p w:rsidR="00000000" w:rsidDel="00000000" w:rsidP="00000000" w:rsidRDefault="00000000" w:rsidRPr="00000000" w14:paraId="000000F7">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w:t>
            </w:r>
          </w:p>
        </w:tc>
        <w:tc>
          <w:tcPr/>
          <w:p w:rsidR="00000000" w:rsidDel="00000000" w:rsidP="00000000" w:rsidRDefault="00000000" w:rsidRPr="00000000" w14:paraId="000000F8">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 tiny scar</w:t>
            </w:r>
          </w:p>
        </w:tc>
        <w:tc>
          <w:tcPr/>
          <w:p w:rsidR="00000000" w:rsidDel="00000000" w:rsidP="00000000" w:rsidRDefault="00000000" w:rsidRPr="00000000" w14:paraId="000000F9">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ELM continuous, ONL became obvious thinner.</w:t>
            </w:r>
          </w:p>
        </w:tc>
      </w:tr>
      <w:tr>
        <w:trPr>
          <w:trHeight w:val="1100" w:hRule="atLeast"/>
        </w:trPr>
        <w:tc>
          <w:tcPr/>
          <w:p w:rsidR="00000000" w:rsidDel="00000000" w:rsidP="00000000" w:rsidRDefault="00000000" w:rsidRPr="00000000" w14:paraId="000000FA">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Unfavorable</w:t>
            </w:r>
          </w:p>
        </w:tc>
        <w:tc>
          <w:tcPr/>
          <w:p w:rsidR="00000000" w:rsidDel="00000000" w:rsidP="00000000" w:rsidRDefault="00000000" w:rsidRPr="00000000" w14:paraId="000000FB">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#3</w:t>
            </w:r>
          </w:p>
        </w:tc>
        <w:tc>
          <w:tcPr/>
          <w:p w:rsidR="00000000" w:rsidDel="00000000" w:rsidP="00000000" w:rsidRDefault="00000000" w:rsidRPr="00000000" w14:paraId="000000FC">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Vitreous blur but able to capture grafts at D5, clear since D14</w:t>
            </w:r>
          </w:p>
        </w:tc>
        <w:tc>
          <w:tcPr/>
          <w:p w:rsidR="00000000" w:rsidDel="00000000" w:rsidP="00000000" w:rsidRDefault="00000000" w:rsidRPr="00000000" w14:paraId="000000FD">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Within bRD at D5, spread widely to entire AK at D14 and maintained till D28.</w:t>
            </w:r>
          </w:p>
        </w:tc>
        <w:tc>
          <w:tcPr/>
          <w:p w:rsidR="00000000" w:rsidDel="00000000" w:rsidP="00000000" w:rsidRDefault="00000000" w:rsidRPr="00000000" w14:paraId="000000FE">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Yes</w:t>
            </w:r>
          </w:p>
        </w:tc>
        <w:tc>
          <w:tcPr/>
          <w:p w:rsidR="00000000" w:rsidDel="00000000" w:rsidP="00000000" w:rsidRDefault="00000000" w:rsidRPr="00000000" w14:paraId="000000FF">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Stable</w:t>
            </w:r>
          </w:p>
        </w:tc>
        <w:tc>
          <w:tcPr/>
          <w:p w:rsidR="00000000" w:rsidDel="00000000" w:rsidP="00000000" w:rsidRDefault="00000000" w:rsidRPr="00000000" w14:paraId="00000100">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w:t>
            </w:r>
          </w:p>
        </w:tc>
        <w:tc>
          <w:tcPr/>
          <w:p w:rsidR="00000000" w:rsidDel="00000000" w:rsidP="00000000" w:rsidRDefault="00000000" w:rsidRPr="00000000" w14:paraId="00000101">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Yes, obvious</w:t>
            </w:r>
          </w:p>
        </w:tc>
        <w:tc>
          <w:tcPr/>
          <w:p w:rsidR="00000000" w:rsidDel="00000000" w:rsidP="00000000" w:rsidRDefault="00000000" w:rsidRPr="00000000" w14:paraId="00000102">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2/3 ELM continuous, ONL became obvious thinner.</w:t>
            </w:r>
          </w:p>
        </w:tc>
      </w:tr>
      <w:tr>
        <w:trPr>
          <w:trHeight w:val="1091" w:hRule="atLeast"/>
        </w:trPr>
        <w:tc>
          <w:tcPr/>
          <w:p w:rsidR="00000000" w:rsidDel="00000000" w:rsidP="00000000" w:rsidRDefault="00000000" w:rsidRPr="00000000" w14:paraId="00000103">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Unfavorable</w:t>
            </w:r>
          </w:p>
        </w:tc>
        <w:tc>
          <w:tcPr/>
          <w:p w:rsidR="00000000" w:rsidDel="00000000" w:rsidP="00000000" w:rsidRDefault="00000000" w:rsidRPr="00000000" w14:paraId="00000104">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#5</w:t>
            </w:r>
          </w:p>
        </w:tc>
        <w:tc>
          <w:tcPr/>
          <w:p w:rsidR="00000000" w:rsidDel="00000000" w:rsidP="00000000" w:rsidRDefault="00000000" w:rsidRPr="00000000" w14:paraId="00000105">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Vitreous clear since D5</w:t>
            </w:r>
          </w:p>
        </w:tc>
        <w:tc>
          <w:tcPr/>
          <w:p w:rsidR="00000000" w:rsidDel="00000000" w:rsidP="00000000" w:rsidRDefault="00000000" w:rsidRPr="00000000" w14:paraId="00000106">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Within bRD at D5, massive defect beyond AK, across optic disc since D14 and progress sever till D28.</w:t>
            </w:r>
          </w:p>
        </w:tc>
        <w:tc>
          <w:tcPr/>
          <w:p w:rsidR="00000000" w:rsidDel="00000000" w:rsidP="00000000" w:rsidRDefault="00000000" w:rsidRPr="00000000" w14:paraId="00000107">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Yes</w:t>
            </w:r>
          </w:p>
        </w:tc>
        <w:tc>
          <w:tcPr/>
          <w:p w:rsidR="00000000" w:rsidDel="00000000" w:rsidP="00000000" w:rsidRDefault="00000000" w:rsidRPr="00000000" w14:paraId="00000108">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Stable</w:t>
            </w:r>
          </w:p>
        </w:tc>
        <w:tc>
          <w:tcPr/>
          <w:p w:rsidR="00000000" w:rsidDel="00000000" w:rsidP="00000000" w:rsidRDefault="00000000" w:rsidRPr="00000000" w14:paraId="00000109">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Minimum under implant</w:t>
            </w:r>
          </w:p>
        </w:tc>
        <w:tc>
          <w:tcPr/>
          <w:p w:rsidR="00000000" w:rsidDel="00000000" w:rsidP="00000000" w:rsidRDefault="00000000" w:rsidRPr="00000000" w14:paraId="0000010A">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Yes, obvious</w:t>
            </w:r>
          </w:p>
        </w:tc>
        <w:tc>
          <w:tcPr/>
          <w:p w:rsidR="00000000" w:rsidDel="00000000" w:rsidP="00000000" w:rsidRDefault="00000000" w:rsidRPr="00000000" w14:paraId="0000010B">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ELM discontinuous, ONL became very thin, partially disappear</w:t>
            </w:r>
          </w:p>
        </w:tc>
      </w:tr>
      <w:tr>
        <w:trPr>
          <w:trHeight w:val="543" w:hRule="atLeast"/>
        </w:trPr>
        <w:tc>
          <w:tcPr/>
          <w:p w:rsidR="00000000" w:rsidDel="00000000" w:rsidP="00000000" w:rsidRDefault="00000000" w:rsidRPr="00000000" w14:paraId="0000010C">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Unfavorable</w:t>
            </w:r>
          </w:p>
        </w:tc>
        <w:tc>
          <w:tcPr/>
          <w:p w:rsidR="00000000" w:rsidDel="00000000" w:rsidP="00000000" w:rsidRDefault="00000000" w:rsidRPr="00000000" w14:paraId="0000010D">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#6</w:t>
            </w:r>
          </w:p>
        </w:tc>
        <w:tc>
          <w:tcPr/>
          <w:p w:rsidR="00000000" w:rsidDel="00000000" w:rsidP="00000000" w:rsidRDefault="00000000" w:rsidRPr="00000000" w14:paraId="0000010E">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Vitreous clear since D5</w:t>
            </w:r>
          </w:p>
        </w:tc>
        <w:tc>
          <w:tcPr/>
          <w:p w:rsidR="00000000" w:rsidDel="00000000" w:rsidP="00000000" w:rsidRDefault="00000000" w:rsidRPr="00000000" w14:paraId="0000010F">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Within bRD at D5, spread 1/4 AK till D28.</w:t>
            </w:r>
          </w:p>
        </w:tc>
        <w:tc>
          <w:tcPr/>
          <w:p w:rsidR="00000000" w:rsidDel="00000000" w:rsidP="00000000" w:rsidRDefault="00000000" w:rsidRPr="00000000" w14:paraId="00000110">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Yes</w:t>
            </w:r>
          </w:p>
        </w:tc>
        <w:tc>
          <w:tcPr/>
          <w:p w:rsidR="00000000" w:rsidDel="00000000" w:rsidP="00000000" w:rsidRDefault="00000000" w:rsidRPr="00000000" w14:paraId="00000111">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Stable</w:t>
            </w:r>
          </w:p>
        </w:tc>
        <w:tc>
          <w:tcPr/>
          <w:p w:rsidR="00000000" w:rsidDel="00000000" w:rsidP="00000000" w:rsidRDefault="00000000" w:rsidRPr="00000000" w14:paraId="00000112">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w:t>
            </w:r>
          </w:p>
        </w:tc>
        <w:tc>
          <w:tcPr/>
          <w:p w:rsidR="00000000" w:rsidDel="00000000" w:rsidP="00000000" w:rsidRDefault="00000000" w:rsidRPr="00000000" w14:paraId="00000113">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 tiny scar</w:t>
            </w:r>
          </w:p>
        </w:tc>
        <w:tc>
          <w:tcPr/>
          <w:p w:rsidR="00000000" w:rsidDel="00000000" w:rsidP="00000000" w:rsidRDefault="00000000" w:rsidRPr="00000000" w14:paraId="00000114">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ELM continuous, ONL become slightly thinner</w:t>
            </w:r>
          </w:p>
        </w:tc>
      </w:tr>
      <w:tr>
        <w:trPr>
          <w:trHeight w:val="1082" w:hRule="atLeast"/>
        </w:trPr>
        <w:tc>
          <w:tcPr/>
          <w:p w:rsidR="00000000" w:rsidDel="00000000" w:rsidP="00000000" w:rsidRDefault="00000000" w:rsidRPr="00000000" w14:paraId="00000115">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Unfavorable</w:t>
            </w:r>
          </w:p>
        </w:tc>
        <w:tc>
          <w:tcPr/>
          <w:p w:rsidR="00000000" w:rsidDel="00000000" w:rsidP="00000000" w:rsidRDefault="00000000" w:rsidRPr="00000000" w14:paraId="00000116">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#12</w:t>
            </w:r>
          </w:p>
        </w:tc>
        <w:tc>
          <w:tcPr/>
          <w:p w:rsidR="00000000" w:rsidDel="00000000" w:rsidP="00000000" w:rsidRDefault="00000000" w:rsidRPr="00000000" w14:paraId="00000117">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Vitreous blur but able to capture grafts at D5, clear since D14</w:t>
            </w:r>
          </w:p>
        </w:tc>
        <w:tc>
          <w:tcPr/>
          <w:p w:rsidR="00000000" w:rsidDel="00000000" w:rsidP="00000000" w:rsidRDefault="00000000" w:rsidRPr="00000000" w14:paraId="00000118">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Massive beyond AK, across optic disc since D5.</w:t>
            </w:r>
          </w:p>
        </w:tc>
        <w:tc>
          <w:tcPr/>
          <w:p w:rsidR="00000000" w:rsidDel="00000000" w:rsidP="00000000" w:rsidRDefault="00000000" w:rsidRPr="00000000" w14:paraId="00000119">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w:t>
            </w:r>
          </w:p>
        </w:tc>
        <w:tc>
          <w:tcPr/>
          <w:p w:rsidR="00000000" w:rsidDel="00000000" w:rsidP="00000000" w:rsidRDefault="00000000" w:rsidRPr="00000000" w14:paraId="0000011A">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Stable</w:t>
            </w:r>
          </w:p>
        </w:tc>
        <w:tc>
          <w:tcPr/>
          <w:p w:rsidR="00000000" w:rsidDel="00000000" w:rsidP="00000000" w:rsidRDefault="00000000" w:rsidRPr="00000000" w14:paraId="0000011B">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Minimum above implant</w:t>
            </w:r>
          </w:p>
        </w:tc>
        <w:tc>
          <w:tcPr/>
          <w:p w:rsidR="00000000" w:rsidDel="00000000" w:rsidP="00000000" w:rsidRDefault="00000000" w:rsidRPr="00000000" w14:paraId="0000011C">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Yes, obvious</w:t>
            </w:r>
          </w:p>
        </w:tc>
        <w:tc>
          <w:tcPr/>
          <w:p w:rsidR="00000000" w:rsidDel="00000000" w:rsidP="00000000" w:rsidRDefault="00000000" w:rsidRPr="00000000" w14:paraId="0000011D">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ELM continuous, ONL become obvious thinner. Cell deris can be seen at PRs layer.</w:t>
            </w:r>
          </w:p>
        </w:tc>
      </w:tr>
      <w:tr>
        <w:trPr>
          <w:trHeight w:val="488" w:hRule="atLeast"/>
        </w:trPr>
        <w:tc>
          <w:tcPr>
            <w:tcBorders>
              <w:bottom w:color="000000" w:space="0" w:sz="4" w:val="single"/>
            </w:tcBorders>
          </w:tcPr>
          <w:p w:rsidR="00000000" w:rsidDel="00000000" w:rsidP="00000000" w:rsidRDefault="00000000" w:rsidRPr="00000000" w14:paraId="0000011E">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Unfavorable (transition case)</w:t>
            </w:r>
          </w:p>
        </w:tc>
        <w:tc>
          <w:tcPr>
            <w:tcBorders>
              <w:bottom w:color="000000" w:space="0" w:sz="4" w:val="single"/>
            </w:tcBorders>
          </w:tcPr>
          <w:p w:rsidR="00000000" w:rsidDel="00000000" w:rsidP="00000000" w:rsidRDefault="00000000" w:rsidRPr="00000000" w14:paraId="0000011F">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#13</w:t>
            </w:r>
          </w:p>
        </w:tc>
        <w:tc>
          <w:tcPr>
            <w:tcBorders>
              <w:bottom w:color="000000" w:space="0" w:sz="4" w:val="single"/>
            </w:tcBorders>
          </w:tcPr>
          <w:p w:rsidR="00000000" w:rsidDel="00000000" w:rsidP="00000000" w:rsidRDefault="00000000" w:rsidRPr="00000000" w14:paraId="00000120">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Vitreous clear since day 5</w:t>
            </w:r>
          </w:p>
        </w:tc>
        <w:tc>
          <w:tcPr>
            <w:tcBorders>
              <w:bottom w:color="000000" w:space="0" w:sz="4" w:val="single"/>
            </w:tcBorders>
          </w:tcPr>
          <w:p w:rsidR="00000000" w:rsidDel="00000000" w:rsidP="00000000" w:rsidRDefault="00000000" w:rsidRPr="00000000" w14:paraId="00000121">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Around the graft and scrape area</w:t>
            </w:r>
          </w:p>
        </w:tc>
        <w:tc>
          <w:tcPr>
            <w:tcBorders>
              <w:bottom w:color="000000" w:space="0" w:sz="4" w:val="single"/>
            </w:tcBorders>
          </w:tcPr>
          <w:p w:rsidR="00000000" w:rsidDel="00000000" w:rsidP="00000000" w:rsidRDefault="00000000" w:rsidRPr="00000000" w14:paraId="00000122">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No</w:t>
            </w:r>
          </w:p>
        </w:tc>
        <w:tc>
          <w:tcPr>
            <w:tcBorders>
              <w:bottom w:color="000000" w:space="0" w:sz="4" w:val="single"/>
            </w:tcBorders>
          </w:tcPr>
          <w:p w:rsidR="00000000" w:rsidDel="00000000" w:rsidP="00000000" w:rsidRDefault="00000000" w:rsidRPr="00000000" w14:paraId="00000123">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Stable</w:t>
            </w:r>
          </w:p>
        </w:tc>
        <w:tc>
          <w:tcPr>
            <w:tcBorders>
              <w:bottom w:color="000000" w:space="0" w:sz="4" w:val="single"/>
            </w:tcBorders>
          </w:tcPr>
          <w:p w:rsidR="00000000" w:rsidDel="00000000" w:rsidP="00000000" w:rsidRDefault="00000000" w:rsidRPr="00000000" w14:paraId="00000124">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Minimum above implant</w:t>
            </w:r>
          </w:p>
        </w:tc>
        <w:tc>
          <w:tcPr>
            <w:tcBorders>
              <w:bottom w:color="000000" w:space="0" w:sz="4" w:val="single"/>
            </w:tcBorders>
          </w:tcPr>
          <w:p w:rsidR="00000000" w:rsidDel="00000000" w:rsidP="00000000" w:rsidRDefault="00000000" w:rsidRPr="00000000" w14:paraId="00000125">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Yes, obvious</w:t>
            </w:r>
          </w:p>
        </w:tc>
        <w:tc>
          <w:tcPr>
            <w:tcBorders>
              <w:bottom w:color="000000" w:space="0" w:sz="4" w:val="single"/>
            </w:tcBorders>
          </w:tcPr>
          <w:p w:rsidR="00000000" w:rsidDel="00000000" w:rsidP="00000000" w:rsidRDefault="00000000" w:rsidRPr="00000000" w14:paraId="00000126">
            <w:pPr>
              <w:spacing w:line="360" w:lineRule="auto"/>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ELM continuous, ONL became obvious thinner.</w:t>
            </w:r>
          </w:p>
        </w:tc>
      </w:tr>
    </w:tbl>
    <w:p w:rsidR="00000000" w:rsidDel="00000000" w:rsidP="00000000" w:rsidRDefault="00000000" w:rsidRPr="00000000" w14:paraId="00000127">
      <w:pPr>
        <w:ind w:right="-15840"/>
        <w:rPr>
          <w:rFonts w:ascii="Times New Roman" w:cs="Times New Roman" w:eastAsia="Times New Roman" w:hAnsi="Times New Roman"/>
          <w:color w:val="1e4d78"/>
          <w:sz w:val="24"/>
          <w:szCs w:val="24"/>
        </w:rPr>
        <w:sectPr>
          <w:type w:val="nextPage"/>
          <w:pgSz w:h="16838" w:w="11906" w:orient="portrait"/>
          <w:pgMar w:bottom="1417" w:top="1418" w:left="992" w:right="1134" w:header="709" w:footer="709"/>
        </w:sectPr>
      </w:pPr>
      <w:r w:rsidDel="00000000" w:rsidR="00000000" w:rsidRPr="00000000">
        <w:rPr>
          <w:rtl w:val="0"/>
        </w:rPr>
      </w:r>
    </w:p>
    <w:p w:rsidR="00000000" w:rsidDel="00000000" w:rsidP="00000000" w:rsidRDefault="00000000" w:rsidRPr="00000000" w14:paraId="00000128">
      <w:pPr>
        <w:pStyle w:val="Heading1"/>
        <w:ind w:right="288"/>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Supplementary Videos</w:t>
      </w:r>
    </w:p>
    <w:p w:rsidR="00000000" w:rsidDel="00000000" w:rsidP="00000000" w:rsidRDefault="00000000" w:rsidRPr="00000000" w14:paraId="00000129">
      <w:pPr>
        <w:pStyle w:val="Heading2"/>
        <w:ind w:right="288"/>
        <w:rPr>
          <w:rFonts w:ascii="Times New Roman" w:cs="Times New Roman" w:eastAsia="Times New Roman" w:hAnsi="Times New Roman"/>
          <w:color w:val="000000"/>
          <w:sz w:val="22"/>
          <w:szCs w:val="22"/>
        </w:rPr>
      </w:pPr>
      <w:bookmarkStart w:colFirst="0" w:colLast="0" w:name="_heading=h.2s8eyo1" w:id="1"/>
      <w:bookmarkEnd w:id="1"/>
      <w:r w:rsidDel="00000000" w:rsidR="00000000" w:rsidRPr="00000000">
        <w:rPr>
          <w:rFonts w:ascii="Times New Roman" w:cs="Times New Roman" w:eastAsia="Times New Roman" w:hAnsi="Times New Roman"/>
          <w:color w:val="000000"/>
          <w:sz w:val="22"/>
          <w:szCs w:val="22"/>
          <w:rtl w:val="0"/>
        </w:rPr>
        <w:t xml:space="preserve">Video S1</w:t>
      </w:r>
    </w:p>
    <w:bookmarkStart w:colFirst="0" w:colLast="0" w:name="bookmark=id.1mrcu09" w:id="2"/>
    <w:bookmarkEnd w:id="2"/>
    <w:bookmarkStart w:colFirst="0" w:colLast="0" w:name="bookmark=id.46r0co2" w:id="3"/>
    <w:bookmarkEnd w:id="3"/>
    <w:p w:rsidR="00000000" w:rsidDel="00000000" w:rsidP="00000000" w:rsidRDefault="00000000" w:rsidRPr="00000000" w14:paraId="0000012A">
      <w:pPr>
        <w:ind w:right="288"/>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Key steps of submacular transplantation of hESC-RPE graft in a surgical removal naïve RPE model in non-human primates. </w:t>
      </w:r>
    </w:p>
    <w:p w:rsidR="00000000" w:rsidDel="00000000" w:rsidP="00000000" w:rsidRDefault="00000000" w:rsidRPr="00000000" w14:paraId="0000012B">
      <w:pPr>
        <w:numPr>
          <w:ilvl w:val="0"/>
          <w:numId w:val="1"/>
        </w:numPr>
        <w:pBdr>
          <w:top w:space="0" w:sz="0" w:val="nil"/>
          <w:left w:space="0" w:sz="0" w:val="nil"/>
          <w:bottom w:space="0" w:sz="0" w:val="nil"/>
          <w:right w:space="0" w:sz="0" w:val="nil"/>
          <w:between w:space="0" w:sz="0" w:val="nil"/>
        </w:pBdr>
        <w:spacing w:after="0" w:lineRule="auto"/>
        <w:ind w:left="720" w:right="288"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Create posterior vitreous detachment</w:t>
      </w:r>
    </w:p>
    <w:p w:rsidR="00000000" w:rsidDel="00000000" w:rsidP="00000000" w:rsidRDefault="00000000" w:rsidRPr="00000000" w14:paraId="0000012C">
      <w:pPr>
        <w:numPr>
          <w:ilvl w:val="0"/>
          <w:numId w:val="1"/>
        </w:numPr>
        <w:pBdr>
          <w:top w:space="0" w:sz="0" w:val="nil"/>
          <w:left w:space="0" w:sz="0" w:val="nil"/>
          <w:bottom w:space="0" w:sz="0" w:val="nil"/>
          <w:right w:space="0" w:sz="0" w:val="nil"/>
          <w:between w:space="0" w:sz="0" w:val="nil"/>
        </w:pBdr>
        <w:spacing w:after="0" w:lineRule="auto"/>
        <w:ind w:left="720" w:right="288"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Detach fovea guided by miOCT</w:t>
      </w:r>
    </w:p>
    <w:p w:rsidR="00000000" w:rsidDel="00000000" w:rsidP="00000000" w:rsidRDefault="00000000" w:rsidRPr="00000000" w14:paraId="0000012D">
      <w:pPr>
        <w:numPr>
          <w:ilvl w:val="0"/>
          <w:numId w:val="1"/>
        </w:numPr>
        <w:pBdr>
          <w:top w:space="0" w:sz="0" w:val="nil"/>
          <w:left w:space="0" w:sz="0" w:val="nil"/>
          <w:bottom w:space="0" w:sz="0" w:val="nil"/>
          <w:right w:space="0" w:sz="0" w:val="nil"/>
          <w:between w:space="0" w:sz="0" w:val="nil"/>
        </w:pBdr>
        <w:spacing w:after="0" w:lineRule="auto"/>
        <w:ind w:left="720" w:right="288"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Perform retinotomy</w:t>
      </w:r>
    </w:p>
    <w:p w:rsidR="00000000" w:rsidDel="00000000" w:rsidP="00000000" w:rsidRDefault="00000000" w:rsidRPr="00000000" w14:paraId="0000012E">
      <w:pPr>
        <w:numPr>
          <w:ilvl w:val="0"/>
          <w:numId w:val="1"/>
        </w:numPr>
        <w:pBdr>
          <w:top w:space="0" w:sz="0" w:val="nil"/>
          <w:left w:space="0" w:sz="0" w:val="nil"/>
          <w:bottom w:space="0" w:sz="0" w:val="nil"/>
          <w:right w:space="0" w:sz="0" w:val="nil"/>
          <w:between w:space="0" w:sz="0" w:val="nil"/>
        </w:pBdr>
        <w:spacing w:after="0" w:lineRule="auto"/>
        <w:ind w:left="720" w:right="288"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Scrape na</w:t>
      </w:r>
      <w:bookmarkStart w:colFirst="0" w:colLast="0" w:name="bookmark=id.111kx3o" w:id="4"/>
      <w:bookmarkEnd w:id="4"/>
      <w:bookmarkStart w:colFirst="0" w:colLast="0" w:name="bookmark=id.2lwamvv" w:id="5"/>
      <w:bookmarkEnd w:id="5"/>
      <w:bookmarkStart w:colFirst="0" w:colLast="0" w:name="bookmark=id.3l18frh" w:id="6"/>
      <w:bookmarkEnd w:id="6"/>
      <w:r w:rsidDel="00000000" w:rsidR="00000000" w:rsidRPr="00000000">
        <w:rPr>
          <w:rFonts w:ascii="Times New Roman" w:cs="Times New Roman" w:eastAsia="Times New Roman" w:hAnsi="Times New Roman"/>
          <w:color w:val="000000"/>
          <w:rtl w:val="0"/>
        </w:rPr>
        <w:t xml:space="preserve">ïve RPE</w:t>
      </w:r>
    </w:p>
    <w:p w:rsidR="00000000" w:rsidDel="00000000" w:rsidP="00000000" w:rsidRDefault="00000000" w:rsidRPr="00000000" w14:paraId="0000012F">
      <w:pPr>
        <w:numPr>
          <w:ilvl w:val="0"/>
          <w:numId w:val="1"/>
        </w:numPr>
        <w:pBdr>
          <w:top w:space="0" w:sz="0" w:val="nil"/>
          <w:left w:space="0" w:sz="0" w:val="nil"/>
          <w:bottom w:space="0" w:sz="0" w:val="nil"/>
          <w:right w:space="0" w:sz="0" w:val="nil"/>
          <w:between w:space="0" w:sz="0" w:val="nil"/>
        </w:pBdr>
        <w:spacing w:after="0" w:lineRule="auto"/>
        <w:ind w:left="720" w:right="288"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Transplant hESC-RPE/ PET graft</w:t>
      </w:r>
    </w:p>
    <w:p w:rsidR="00000000" w:rsidDel="00000000" w:rsidP="00000000" w:rsidRDefault="00000000" w:rsidRPr="00000000" w14:paraId="00000130">
      <w:pPr>
        <w:numPr>
          <w:ilvl w:val="0"/>
          <w:numId w:val="1"/>
        </w:numPr>
        <w:pBdr>
          <w:top w:space="0" w:sz="0" w:val="nil"/>
          <w:left w:space="0" w:sz="0" w:val="nil"/>
          <w:bottom w:space="0" w:sz="0" w:val="nil"/>
          <w:right w:space="0" w:sz="0" w:val="nil"/>
          <w:between w:space="0" w:sz="0" w:val="nil"/>
        </w:pBdr>
        <w:spacing w:after="0" w:lineRule="auto"/>
        <w:ind w:left="720" w:right="288"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Adjust position guided by miOCT</w:t>
      </w:r>
    </w:p>
    <w:p w:rsidR="00000000" w:rsidDel="00000000" w:rsidP="00000000" w:rsidRDefault="00000000" w:rsidRPr="00000000" w14:paraId="00000131">
      <w:pPr>
        <w:numPr>
          <w:ilvl w:val="0"/>
          <w:numId w:val="1"/>
        </w:numPr>
        <w:pBdr>
          <w:top w:space="0" w:sz="0" w:val="nil"/>
          <w:left w:space="0" w:sz="0" w:val="nil"/>
          <w:bottom w:space="0" w:sz="0" w:val="nil"/>
          <w:right w:space="0" w:sz="0" w:val="nil"/>
          <w:between w:space="0" w:sz="0" w:val="nil"/>
        </w:pBdr>
        <w:spacing w:after="0" w:lineRule="auto"/>
        <w:ind w:left="720" w:right="288"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Drain subretinal fluid under miOCT</w:t>
      </w:r>
    </w:p>
    <w:p w:rsidR="00000000" w:rsidDel="00000000" w:rsidP="00000000" w:rsidRDefault="00000000" w:rsidRPr="00000000" w14:paraId="00000132">
      <w:pPr>
        <w:pBdr>
          <w:top w:space="0" w:sz="0" w:val="nil"/>
          <w:left w:space="0" w:sz="0" w:val="nil"/>
          <w:bottom w:space="0" w:sz="0" w:val="nil"/>
          <w:right w:space="0" w:sz="0" w:val="nil"/>
          <w:between w:space="0" w:sz="0" w:val="nil"/>
        </w:pBdr>
        <w:spacing w:after="0" w:lineRule="auto"/>
        <w:ind w:right="288"/>
        <w:rPr>
          <w:rFonts w:ascii="Times New Roman" w:cs="Times New Roman" w:eastAsia="Times New Roman" w:hAnsi="Times New Roman"/>
          <w:color w:val="000000"/>
        </w:rPr>
      </w:pPr>
      <w:r w:rsidDel="00000000" w:rsidR="00000000" w:rsidRPr="00000000">
        <w:rPr>
          <w:rtl w:val="0"/>
        </w:rPr>
      </w:r>
    </w:p>
    <w:sectPr>
      <w:type w:val="nextPage"/>
      <w:pgSz w:h="16838" w:w="11906" w:orient="portrait"/>
      <w:pgMar w:bottom="1440" w:top="1440" w:left="1440" w:right="1440"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480"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line="360" w:lineRule="auto"/>
    </w:pPr>
    <w:rPr>
      <w:b w:val="1"/>
      <w:color w:val="2f5496"/>
      <w:sz w:val="28"/>
      <w:szCs w:val="28"/>
    </w:rPr>
  </w:style>
  <w:style w:type="paragraph" w:styleId="Heading2">
    <w:name w:val="heading 2"/>
    <w:basedOn w:val="Normal"/>
    <w:next w:val="Normal"/>
    <w:pPr>
      <w:keepNext w:val="1"/>
      <w:keepLines w:val="1"/>
      <w:spacing w:after="120" w:before="240" w:line="360" w:lineRule="auto"/>
    </w:pPr>
    <w:rPr>
      <w:color w:val="2f5496"/>
      <w:sz w:val="24"/>
      <w:szCs w:val="24"/>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0" w:before="40" w:lineRule="auto"/>
    </w:pPr>
    <w:rPr>
      <w:rFonts w:ascii="Calibri" w:cs="Calibri" w:eastAsia="Calibri" w:hAnsi="Calibri"/>
      <w:i w:val="1"/>
      <w:color w:val="2f5496"/>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FC709D"/>
    <w:rPr>
      <w:rFonts w:eastAsia="SimSun"/>
      <w:lang w:bidi="th-TH" w:eastAsia="en-GB"/>
    </w:rPr>
  </w:style>
  <w:style w:type="paragraph" w:styleId="Heading1">
    <w:name w:val="heading 1"/>
    <w:basedOn w:val="Normal"/>
    <w:next w:val="Normal"/>
    <w:link w:val="Heading1Char"/>
    <w:uiPriority w:val="9"/>
    <w:qFormat w:val="1"/>
    <w:rsid w:val="00FC709D"/>
    <w:pPr>
      <w:keepNext w:val="1"/>
      <w:keepLines w:val="1"/>
      <w:spacing w:after="0" w:line="360" w:lineRule="auto"/>
      <w:outlineLvl w:val="0"/>
    </w:pPr>
    <w:rPr>
      <w:rFonts w:cstheme="majorBidi" w:eastAsiaTheme="majorEastAsia"/>
      <w:b w:val="1"/>
      <w:color w:val="2f5496" w:themeColor="accent1" w:themeShade="0000BF"/>
      <w:sz w:val="28"/>
      <w:szCs w:val="32"/>
    </w:rPr>
  </w:style>
  <w:style w:type="paragraph" w:styleId="Heading2">
    <w:name w:val="heading 2"/>
    <w:basedOn w:val="Normal"/>
    <w:next w:val="Normal"/>
    <w:link w:val="Heading2Char"/>
    <w:uiPriority w:val="9"/>
    <w:unhideWhenUsed w:val="1"/>
    <w:qFormat w:val="1"/>
    <w:rsid w:val="00FC709D"/>
    <w:pPr>
      <w:keepNext w:val="1"/>
      <w:keepLines w:val="1"/>
      <w:spacing w:after="120" w:before="240" w:line="360" w:lineRule="auto"/>
      <w:outlineLvl w:val="1"/>
    </w:pPr>
    <w:rPr>
      <w:rFonts w:cstheme="majorBidi" w:eastAsiaTheme="majorEastAsia"/>
      <w:color w:val="2f5496" w:themeColor="accent1" w:themeShade="0000BF"/>
      <w:sz w:val="24"/>
      <w:szCs w:val="26"/>
    </w:rPr>
  </w:style>
  <w:style w:type="paragraph" w:styleId="Heading3">
    <w:name w:val="heading 3"/>
    <w:basedOn w:val="Normal"/>
    <w:next w:val="Normal"/>
    <w:link w:val="Heading3Char"/>
    <w:uiPriority w:val="9"/>
    <w:unhideWhenUsed w:val="1"/>
    <w:qFormat w:val="1"/>
    <w:rsid w:val="00090CF7"/>
    <w:pPr>
      <w:keepNext w:val="1"/>
      <w:keepLines w:val="1"/>
      <w:spacing w:after="0" w:before="40"/>
      <w:outlineLvl w:val="2"/>
    </w:pPr>
    <w:rPr>
      <w:rFonts w:cs="Angsana New" w:asciiTheme="majorHAnsi" w:eastAsiaTheme="majorEastAsia" w:hAnsiTheme="majorHAnsi"/>
      <w:color w:val="1f3763" w:themeColor="accent1" w:themeShade="00007F"/>
      <w:sz w:val="24"/>
      <w:szCs w:val="30"/>
    </w:rPr>
  </w:style>
  <w:style w:type="paragraph" w:styleId="Heading4">
    <w:name w:val="heading 4"/>
    <w:basedOn w:val="Normal"/>
    <w:next w:val="Normal"/>
    <w:link w:val="Heading4Char"/>
    <w:uiPriority w:val="9"/>
    <w:unhideWhenUsed w:val="1"/>
    <w:qFormat w:val="1"/>
    <w:rsid w:val="00FC709D"/>
    <w:pPr>
      <w:keepNext w:val="1"/>
      <w:keepLines w:val="1"/>
      <w:spacing w:after="0" w:before="40"/>
      <w:outlineLvl w:val="3"/>
    </w:pPr>
    <w:rPr>
      <w:rFonts w:asciiTheme="majorHAnsi" w:cstheme="majorBidi" w:eastAsiaTheme="majorEastAsia" w:hAnsiTheme="majorHAnsi"/>
      <w:i w:val="1"/>
      <w:iCs w:val="1"/>
      <w:color w:val="2f5496" w:themeColor="accent1" w:themeShade="0000BF"/>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character" w:styleId="Heading1Char" w:customStyle="1">
    <w:name w:val="Heading 1 Char"/>
    <w:basedOn w:val="DefaultParagraphFont"/>
    <w:link w:val="Heading1"/>
    <w:uiPriority w:val="9"/>
    <w:rsid w:val="00FC709D"/>
    <w:rPr>
      <w:rFonts w:ascii="Calibri" w:hAnsi="Calibri" w:cstheme="majorBidi" w:eastAsiaTheme="majorEastAsia"/>
      <w:b w:val="1"/>
      <w:color w:val="2f5496" w:themeColor="accent1" w:themeShade="0000BF"/>
      <w:sz w:val="28"/>
      <w:szCs w:val="32"/>
      <w:lang w:bidi="th-TH" w:eastAsia="en-GB"/>
    </w:rPr>
  </w:style>
  <w:style w:type="character" w:styleId="Heading2Char" w:customStyle="1">
    <w:name w:val="Heading 2 Char"/>
    <w:basedOn w:val="DefaultParagraphFont"/>
    <w:link w:val="Heading2"/>
    <w:uiPriority w:val="9"/>
    <w:rsid w:val="00FC709D"/>
    <w:rPr>
      <w:rFonts w:ascii="Calibri" w:hAnsi="Calibri" w:cstheme="majorBidi" w:eastAsiaTheme="majorEastAsia"/>
      <w:color w:val="2f5496" w:themeColor="accent1" w:themeShade="0000BF"/>
      <w:szCs w:val="26"/>
      <w:lang w:bidi="th-TH" w:eastAsia="en-GB"/>
    </w:rPr>
  </w:style>
  <w:style w:type="character" w:styleId="Heading4Char" w:customStyle="1">
    <w:name w:val="Heading 4 Char"/>
    <w:basedOn w:val="DefaultParagraphFont"/>
    <w:link w:val="Heading4"/>
    <w:uiPriority w:val="9"/>
    <w:rsid w:val="00FC709D"/>
    <w:rPr>
      <w:rFonts w:asciiTheme="majorHAnsi" w:cstheme="majorBidi" w:eastAsiaTheme="majorEastAsia" w:hAnsiTheme="majorHAnsi"/>
      <w:i w:val="1"/>
      <w:iCs w:val="1"/>
      <w:color w:val="2f5496" w:themeColor="accent1" w:themeShade="0000BF"/>
      <w:sz w:val="22"/>
      <w:szCs w:val="22"/>
      <w:lang w:bidi="th-TH" w:eastAsia="en-GB"/>
    </w:rPr>
  </w:style>
  <w:style w:type="character" w:styleId="Heading3Char" w:customStyle="1">
    <w:name w:val="Heading 3 Char"/>
    <w:basedOn w:val="DefaultParagraphFont"/>
    <w:link w:val="Heading3"/>
    <w:uiPriority w:val="9"/>
    <w:semiHidden w:val="1"/>
    <w:rsid w:val="00090CF7"/>
    <w:rPr>
      <w:rFonts w:cs="Angsana New" w:asciiTheme="majorHAnsi" w:eastAsiaTheme="majorEastAsia" w:hAnsiTheme="majorHAnsi"/>
      <w:color w:val="1f3763" w:themeColor="accent1" w:themeShade="00007F"/>
      <w:szCs w:val="30"/>
      <w:lang w:bidi="th-TH" w:eastAsia="en-GB"/>
    </w:rPr>
  </w:style>
  <w:style w:type="paragraph" w:styleId="EndNoteBibliographyTitle" w:customStyle="1">
    <w:name w:val="EndNote Bibliography Title"/>
    <w:basedOn w:val="Normal"/>
    <w:link w:val="EndNoteBibliographyTitleChar"/>
    <w:rsid w:val="00090CF7"/>
    <w:pPr>
      <w:spacing w:after="0"/>
      <w:jc w:val="center"/>
    </w:pPr>
    <w:rPr>
      <w:lang w:val="en-GB"/>
    </w:rPr>
  </w:style>
  <w:style w:type="character" w:styleId="EndNoteBibliographyTitleChar" w:customStyle="1">
    <w:name w:val="EndNote Bibliography Title Char"/>
    <w:basedOn w:val="Heading3Char"/>
    <w:link w:val="EndNoteBibliographyTitle"/>
    <w:rsid w:val="00090CF7"/>
    <w:rPr>
      <w:rFonts w:ascii="Calibri" w:cs="Calibri" w:eastAsia="SimSun" w:hAnsi="Calibri"/>
      <w:color w:val="1f3763" w:themeColor="accent1" w:themeShade="00007F"/>
      <w:sz w:val="22"/>
      <w:szCs w:val="22"/>
      <w:lang w:bidi="th-TH" w:eastAsia="en-GB" w:val="en-GB"/>
    </w:rPr>
  </w:style>
  <w:style w:type="paragraph" w:styleId="EndNoteBibliography" w:customStyle="1">
    <w:name w:val="EndNote Bibliography"/>
    <w:basedOn w:val="Normal"/>
    <w:link w:val="EndNoteBibliographyChar"/>
    <w:rsid w:val="00090CF7"/>
    <w:pPr>
      <w:spacing w:line="240" w:lineRule="auto"/>
    </w:pPr>
    <w:rPr>
      <w:lang w:val="en-GB"/>
    </w:rPr>
  </w:style>
  <w:style w:type="character" w:styleId="EndNoteBibliographyChar" w:customStyle="1">
    <w:name w:val="EndNote Bibliography Char"/>
    <w:basedOn w:val="Heading3Char"/>
    <w:link w:val="EndNoteBibliography"/>
    <w:rsid w:val="00090CF7"/>
    <w:rPr>
      <w:rFonts w:ascii="Calibri" w:cs="Calibri" w:eastAsia="SimSun" w:hAnsi="Calibri"/>
      <w:color w:val="1f3763" w:themeColor="accent1" w:themeShade="00007F"/>
      <w:sz w:val="22"/>
      <w:szCs w:val="22"/>
      <w:lang w:bidi="th-TH" w:eastAsia="en-GB" w:val="en-GB"/>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jpg"/><Relationship Id="rId10" Type="http://schemas.openxmlformats.org/officeDocument/2006/relationships/image" Target="media/image4.png"/><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7Swkqyz869EqtN0UrHS89k2QkDA==">AMUW2mWI82mG+hl1O2JrJ4o+ZXrMsAGXmb+EJv5w/BBP44vxX0j9/RsnvPGFKG1fMYrVR/VtDRalu5cMfjW0QRjkMf5hGudCUcU/tlGSGNXGBokMUNFSM54MtMt3ZuS2xLxAJPa666uIitdvd2JyqF7447YZQ0mAuzwsFxLN/DnoCRayl4KTlwjLmn9A/qQBb1l3VHn6OF4yBZ1UnaNgOprzGpFsr8dzJg==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2020-12-20T04:03:00Z</dcterms:created>
  <dc:creator>Liu Zengping</dc:creator>
</cp:coreProperties>
</file>