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4C561" w14:textId="77777777" w:rsidR="005808F6" w:rsidRDefault="005808F6" w:rsidP="005808F6">
      <w:pPr>
        <w:jc w:val="center"/>
        <w:rPr>
          <w:b/>
          <w:color w:val="000000"/>
        </w:rPr>
      </w:pPr>
      <w:r>
        <w:rPr>
          <w:b/>
          <w:color w:val="000000"/>
        </w:rPr>
        <w:t>Supplemental Figures</w:t>
      </w:r>
    </w:p>
    <w:p w14:paraId="1D24D1D6" w14:textId="77777777" w:rsidR="005808F6" w:rsidRDefault="005808F6" w:rsidP="005808F6">
      <w:pPr>
        <w:jc w:val="center"/>
        <w:rPr>
          <w:b/>
        </w:rPr>
      </w:pPr>
    </w:p>
    <w:p w14:paraId="2892D00B" w14:textId="77777777" w:rsidR="005808F6" w:rsidRDefault="005808F6" w:rsidP="005808F6">
      <w:pPr>
        <w:jc w:val="center"/>
        <w:rPr>
          <w:b/>
          <w:color w:val="000000"/>
        </w:rPr>
      </w:pPr>
    </w:p>
    <w:p w14:paraId="2343EC8C" w14:textId="77777777" w:rsidR="005808F6" w:rsidRDefault="005808F6" w:rsidP="005808F6">
      <w:pPr>
        <w:jc w:val="both"/>
        <w:rPr>
          <w:b/>
          <w:color w:val="000000"/>
        </w:rPr>
      </w:pPr>
      <w:r>
        <w:rPr>
          <w:b/>
          <w:color w:val="000000"/>
        </w:rPr>
        <w:t>Supplemental figure 1</w:t>
      </w:r>
    </w:p>
    <w:p w14:paraId="7FD67353" w14:textId="77777777" w:rsidR="005808F6" w:rsidRDefault="005808F6" w:rsidP="005808F6">
      <w:pPr>
        <w:jc w:val="center"/>
        <w:rPr>
          <w:b/>
        </w:rPr>
      </w:pPr>
    </w:p>
    <w:p w14:paraId="61132765" w14:textId="77777777" w:rsidR="005808F6" w:rsidRDefault="005808F6" w:rsidP="005808F6">
      <w:pPr>
        <w:pBdr>
          <w:top w:val="nil"/>
          <w:left w:val="nil"/>
          <w:bottom w:val="nil"/>
          <w:right w:val="nil"/>
          <w:between w:val="nil"/>
        </w:pBdr>
        <w:spacing w:before="8"/>
        <w:jc w:val="both"/>
        <w:rPr>
          <w:color w:val="000000"/>
        </w:rPr>
      </w:pPr>
      <w:r>
        <w:rPr>
          <w:b/>
          <w:noProof/>
          <w:color w:val="000000"/>
        </w:rPr>
        <w:drawing>
          <wp:inline distT="0" distB="0" distL="0" distR="0" wp14:anchorId="3953DB4B" wp14:editId="6110A0D7">
            <wp:extent cx="4390076" cy="5686930"/>
            <wp:effectExtent l="0" t="0" r="0" b="0"/>
            <wp:docPr id="1633967474"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4"/>
                    <a:srcRect/>
                    <a:stretch>
                      <a:fillRect/>
                    </a:stretch>
                  </pic:blipFill>
                  <pic:spPr>
                    <a:xfrm>
                      <a:off x="0" y="0"/>
                      <a:ext cx="4390076" cy="5686930"/>
                    </a:xfrm>
                    <a:prstGeom prst="rect">
                      <a:avLst/>
                    </a:prstGeom>
                    <a:ln/>
                  </pic:spPr>
                </pic:pic>
              </a:graphicData>
            </a:graphic>
          </wp:inline>
        </w:drawing>
      </w:r>
    </w:p>
    <w:p w14:paraId="36DB2B6D" w14:textId="77777777" w:rsidR="005808F6" w:rsidRDefault="005808F6" w:rsidP="005808F6">
      <w:pPr>
        <w:pBdr>
          <w:top w:val="nil"/>
          <w:left w:val="nil"/>
          <w:bottom w:val="nil"/>
          <w:right w:val="nil"/>
          <w:between w:val="nil"/>
        </w:pBdr>
        <w:jc w:val="both"/>
        <w:rPr>
          <w:b/>
          <w:color w:val="000000"/>
        </w:rPr>
      </w:pPr>
    </w:p>
    <w:p w14:paraId="111DD75B" w14:textId="77777777" w:rsidR="005808F6" w:rsidRDefault="005808F6" w:rsidP="005808F6">
      <w:pPr>
        <w:pBdr>
          <w:top w:val="nil"/>
          <w:left w:val="nil"/>
          <w:bottom w:val="nil"/>
          <w:right w:val="nil"/>
          <w:between w:val="nil"/>
        </w:pBdr>
        <w:jc w:val="both"/>
        <w:rPr>
          <w:b/>
          <w:color w:val="000000"/>
        </w:rPr>
      </w:pPr>
    </w:p>
    <w:p w14:paraId="40DB80F8" w14:textId="77777777" w:rsidR="005808F6" w:rsidRDefault="005808F6" w:rsidP="005808F6">
      <w:pPr>
        <w:pBdr>
          <w:top w:val="nil"/>
          <w:left w:val="nil"/>
          <w:bottom w:val="nil"/>
          <w:right w:val="nil"/>
          <w:between w:val="nil"/>
        </w:pBdr>
        <w:jc w:val="both"/>
        <w:rPr>
          <w:color w:val="000000"/>
        </w:rPr>
      </w:pPr>
      <w:r>
        <w:rPr>
          <w:b/>
          <w:color w:val="000000"/>
        </w:rPr>
        <w:t>Supplemental figure 1</w:t>
      </w:r>
      <w:r>
        <w:rPr>
          <w:color w:val="000000"/>
        </w:rPr>
        <w:t xml:space="preserve">.  </w:t>
      </w:r>
      <w:r>
        <w:rPr>
          <w:b/>
          <w:color w:val="000000"/>
        </w:rPr>
        <w:t>Graphical summary of the methodology. (A)</w:t>
      </w:r>
      <w:r>
        <w:rPr>
          <w:color w:val="000000"/>
        </w:rPr>
        <w:t xml:space="preserve"> Behavioural experimental methods and timeline. </w:t>
      </w:r>
      <w:r>
        <w:rPr>
          <w:b/>
          <w:color w:val="000000"/>
        </w:rPr>
        <w:t>(B)</w:t>
      </w:r>
      <w:r>
        <w:rPr>
          <w:color w:val="000000"/>
        </w:rPr>
        <w:t xml:space="preserve"> Experimental methods for slicing and tissue punching. </w:t>
      </w:r>
      <w:r>
        <w:rPr>
          <w:b/>
          <w:color w:val="000000"/>
        </w:rPr>
        <w:t>(C)</w:t>
      </w:r>
      <w:r>
        <w:rPr>
          <w:color w:val="000000"/>
        </w:rPr>
        <w:t xml:space="preserve"> Experimental methods for RNA isolation, quality control and sequencing.</w:t>
      </w:r>
    </w:p>
    <w:p w14:paraId="3FEF8BCD" w14:textId="77777777" w:rsidR="005808F6" w:rsidRDefault="005808F6" w:rsidP="005808F6">
      <w:pPr>
        <w:pBdr>
          <w:top w:val="nil"/>
          <w:left w:val="nil"/>
          <w:bottom w:val="nil"/>
          <w:right w:val="nil"/>
          <w:between w:val="nil"/>
        </w:pBdr>
        <w:jc w:val="both"/>
        <w:rPr>
          <w:color w:val="000000"/>
        </w:rPr>
      </w:pPr>
    </w:p>
    <w:p w14:paraId="63D30BEA" w14:textId="77777777" w:rsidR="005808F6" w:rsidRDefault="005808F6" w:rsidP="005808F6">
      <w:pPr>
        <w:pBdr>
          <w:top w:val="nil"/>
          <w:left w:val="nil"/>
          <w:bottom w:val="nil"/>
          <w:right w:val="nil"/>
          <w:between w:val="nil"/>
        </w:pBdr>
        <w:jc w:val="both"/>
        <w:rPr>
          <w:color w:val="000000"/>
        </w:rPr>
      </w:pPr>
    </w:p>
    <w:p w14:paraId="327D050C" w14:textId="77777777" w:rsidR="005808F6" w:rsidRDefault="005808F6" w:rsidP="005808F6">
      <w:pPr>
        <w:pBdr>
          <w:top w:val="nil"/>
          <w:left w:val="nil"/>
          <w:bottom w:val="nil"/>
          <w:right w:val="nil"/>
          <w:between w:val="nil"/>
        </w:pBdr>
        <w:spacing w:before="2"/>
        <w:jc w:val="both"/>
        <w:rPr>
          <w:b/>
          <w:color w:val="000000"/>
        </w:rPr>
      </w:pPr>
    </w:p>
    <w:p w14:paraId="01376C90" w14:textId="77777777" w:rsidR="005808F6" w:rsidRDefault="005808F6" w:rsidP="005808F6">
      <w:pPr>
        <w:rPr>
          <w:b/>
          <w:color w:val="000000"/>
        </w:rPr>
      </w:pPr>
      <w:r>
        <w:rPr>
          <w:b/>
          <w:color w:val="000000"/>
        </w:rPr>
        <w:br w:type="page"/>
      </w:r>
    </w:p>
    <w:p w14:paraId="464C8390" w14:textId="77777777" w:rsidR="005808F6" w:rsidRDefault="005808F6" w:rsidP="005808F6">
      <w:pPr>
        <w:pBdr>
          <w:top w:val="nil"/>
          <w:left w:val="nil"/>
          <w:bottom w:val="nil"/>
          <w:right w:val="nil"/>
          <w:between w:val="nil"/>
        </w:pBdr>
        <w:spacing w:before="2"/>
        <w:jc w:val="both"/>
        <w:rPr>
          <w:b/>
          <w:color w:val="000000"/>
        </w:rPr>
      </w:pPr>
      <w:r>
        <w:rPr>
          <w:b/>
          <w:color w:val="000000"/>
        </w:rPr>
        <w:lastRenderedPageBreak/>
        <w:t xml:space="preserve">Supplemental figure 2 </w:t>
      </w:r>
    </w:p>
    <w:p w14:paraId="00600E73" w14:textId="77777777" w:rsidR="005808F6" w:rsidRDefault="005808F6" w:rsidP="005808F6">
      <w:pPr>
        <w:pBdr>
          <w:top w:val="nil"/>
          <w:left w:val="nil"/>
          <w:bottom w:val="nil"/>
          <w:right w:val="nil"/>
          <w:between w:val="nil"/>
        </w:pBdr>
        <w:spacing w:before="2"/>
        <w:jc w:val="both"/>
        <w:rPr>
          <w:b/>
          <w:color w:val="000000"/>
        </w:rPr>
      </w:pPr>
    </w:p>
    <w:p w14:paraId="0016F646" w14:textId="77777777" w:rsidR="005808F6" w:rsidRDefault="005808F6" w:rsidP="005808F6">
      <w:pPr>
        <w:pBdr>
          <w:top w:val="nil"/>
          <w:left w:val="nil"/>
          <w:bottom w:val="nil"/>
          <w:right w:val="nil"/>
          <w:between w:val="nil"/>
        </w:pBdr>
        <w:spacing w:before="2"/>
        <w:jc w:val="both"/>
        <w:rPr>
          <w:color w:val="000000"/>
        </w:rPr>
      </w:pPr>
    </w:p>
    <w:p w14:paraId="0BF27A28" w14:textId="77777777" w:rsidR="005808F6" w:rsidRDefault="005808F6" w:rsidP="005808F6">
      <w:pPr>
        <w:spacing w:after="240"/>
      </w:pPr>
      <w:r w:rsidRPr="00C53C41">
        <w:rPr>
          <w:noProof/>
        </w:rPr>
        <w:drawing>
          <wp:inline distT="0" distB="0" distL="0" distR="0" wp14:anchorId="55F734B7" wp14:editId="07AE3DCE">
            <wp:extent cx="4462943" cy="4137278"/>
            <wp:effectExtent l="0" t="0" r="0" b="3175"/>
            <wp:docPr id="5978540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854014" name=""/>
                    <pic:cNvPicPr/>
                  </pic:nvPicPr>
                  <pic:blipFill rotWithShape="1">
                    <a:blip r:embed="rId5"/>
                    <a:srcRect t="61638" r="13065"/>
                    <a:stretch/>
                  </pic:blipFill>
                  <pic:spPr bwMode="auto">
                    <a:xfrm>
                      <a:off x="0" y="0"/>
                      <a:ext cx="4494578" cy="4166605"/>
                    </a:xfrm>
                    <a:prstGeom prst="rect">
                      <a:avLst/>
                    </a:prstGeom>
                    <a:ln>
                      <a:noFill/>
                    </a:ln>
                    <a:extLst>
                      <a:ext uri="{53640926-AAD7-44D8-BBD7-CCE9431645EC}">
                        <a14:shadowObscured xmlns:a14="http://schemas.microsoft.com/office/drawing/2010/main"/>
                      </a:ext>
                    </a:extLst>
                  </pic:spPr>
                </pic:pic>
              </a:graphicData>
            </a:graphic>
          </wp:inline>
        </w:drawing>
      </w:r>
    </w:p>
    <w:p w14:paraId="7044FE26" w14:textId="77777777" w:rsidR="005808F6" w:rsidRPr="005727B8" w:rsidRDefault="005808F6" w:rsidP="005808F6">
      <w:pPr>
        <w:spacing w:before="2"/>
        <w:jc w:val="both"/>
        <w:rPr>
          <w:color w:val="4472C4" w:themeColor="accent1"/>
        </w:rPr>
      </w:pPr>
      <w:r>
        <w:rPr>
          <w:b/>
        </w:rPr>
        <w:t>Supplemental Figure 2</w:t>
      </w:r>
      <w:r>
        <w:t xml:space="preserve">.  </w:t>
      </w:r>
      <w:r w:rsidRPr="00FE3532">
        <w:rPr>
          <w:b/>
          <w:bCs/>
        </w:rPr>
        <w:t>Quality control and clustering.</w:t>
      </w:r>
      <w:r>
        <w:t xml:space="preserve"> (A) Heatmap of canonical marker genes in the SCN and Hb. Normalized gene expression (variance stabilizing log2-transformed counts) across samples for reported marker genes specific to SCN, LHb and MHb </w:t>
      </w:r>
      <w:r w:rsidRPr="00116DB2">
        <w:fldChar w:fldCharType="begin"/>
      </w:r>
      <w:r>
        <w:instrText xml:space="preserve"> ADDIN ZOTERO_ITEM CSL_CITATION {"citationID":"NPEhdvPV","properties":{"formattedCitation":"\\super 49,50\\nosupersub{}","plainCitation":"49,50","noteIndex":0},"citationItems":[{"id":13299,"uris":["http://zotero.org/users/6492432/items/VEKA6IIW"],"itemData":{"id":13299,"type":"article-journal","abstract":"The lateral habenula (LHb) is an epithalamic brain structure critical for processing and adapting to negative action outcomes. However, despite the importance of LHb to behavior and the clear anatomical and molecular diversity of LHb neurons, the neuron types of the habenula remain unknown. Here, we use high-throughput single-cell transcriptional profiling, monosynaptic retrograde tracing, and multiplexed FISH to characterize the cells of the mouse habenula. We find five subtypes of neurons in the medial habenula (MHb) that are organized into anatomical subregions. In the LHb, we describe four neuronal subtypes and show that they differentially target dopaminergic and GABAergic cells in the ventral tegmental area (VTA). These data provide a valuable resource for future study of habenular function and dysfunction and demonstrate neuronal subtype specificity in the LHb-VTA circuit.","container-title":"eLife","DOI":"10.7554/eLife.51271","ISSN":"2050-084X","language":"en","page":"e51271","source":"DOI.org (Crossref)","title":"Anatomical and single-cell transcriptional profiling of the murine habenular complex","URL":"https://elifesciences.org/articles/51271","volume":"9","author":[{"family":"Wallace","given":"Michael L"},{"family":"Huang","given":"Kee Wui"},{"family":"Hochbaum","given":"Daniel"},{"family":"Hyun","given":"Minsuk"},{"family":"Radeljic","given":"Gianna"},{"family":"Sabatini","given":"Bernardo L"}],"accessed":{"date-parts":[["2023",9,27]]},"issued":{"date-parts":[["2020",2,11]]}}},{"id":13334,"uris":["http://zotero.org/users/6492432/items/GAVKL49X"],"itemData":{"id":13334,"type":"article-journal","container-title":"Nature Neuroscience","DOI":"10.1038/s41593-020-0586-x","ISSN":"1097-6256, 1546-1726","issue":"3","journalAbbreviation":"Nat Neurosci","language":"en","page":"456-467","source":"DOI.org (Crossref)","title":"Spatiotemporal single-cell analysis of gene expression in the mouse suprachiasmatic nucleus","URL":"https://www.nature.com/articles/s41593-020-0586-x","volume":"23","author":[{"family":"Wen","given":"Shao’ang"},{"family":"Ma","given":"Danyi"},{"family":"Zhao","given":"Meng"},{"family":"Xie","given":"Lucheng"},{"family":"Wu","given":"Qingqin"},{"family":"Gou","given":"Lingfeng"},{"family":"Zhu","given":"Chuanzhen"},{"family":"Fan","given":"Yuqi"},{"family":"Wang","given":"Haifang"},{"family":"Yan","given":"Jun"}],"accessed":{"date-parts":[["2023",9,28]]},"issued":{"date-parts":[["2020",3]]}}}],"schema":"https://github.com/citation-style-language/schema/raw/master/csl-citation.json"} </w:instrText>
      </w:r>
      <w:r w:rsidRPr="00116DB2">
        <w:fldChar w:fldCharType="separate"/>
      </w:r>
      <w:r w:rsidRPr="0025331D">
        <w:rPr>
          <w:vertAlign w:val="superscript"/>
        </w:rPr>
        <w:t>49,50</w:t>
      </w:r>
      <w:r w:rsidRPr="00116DB2">
        <w:fldChar w:fldCharType="end"/>
      </w:r>
      <w:r>
        <w:t xml:space="preserve"> . </w:t>
      </w:r>
      <w:r w:rsidRPr="005727B8">
        <w:rPr>
          <w:color w:val="4472C4" w:themeColor="accent1"/>
        </w:rPr>
        <w:t>(B) Sample clustering based on overall gene-expression and similarity-derived Euclidean distance. (C) Sample clustering based on 2000 most variable genes and similarity-derived Euclidean distance.  (D) PCA plots showing clear separation between SCN and Hb samples. First principal component represents the regional identity of the samples and explains 82% of data variability.</w:t>
      </w:r>
    </w:p>
    <w:p w14:paraId="21D6E30A" w14:textId="77777777" w:rsidR="005808F6" w:rsidRDefault="005808F6" w:rsidP="005808F6">
      <w:pPr>
        <w:pBdr>
          <w:top w:val="nil"/>
          <w:left w:val="nil"/>
          <w:bottom w:val="nil"/>
          <w:right w:val="nil"/>
          <w:between w:val="nil"/>
        </w:pBdr>
        <w:jc w:val="both"/>
        <w:rPr>
          <w:color w:val="000000"/>
        </w:rPr>
      </w:pPr>
    </w:p>
    <w:p w14:paraId="4BD0B6B2" w14:textId="77777777" w:rsidR="005808F6" w:rsidRDefault="005808F6" w:rsidP="005808F6">
      <w:pPr>
        <w:rPr>
          <w:b/>
          <w:color w:val="000000"/>
        </w:rPr>
      </w:pPr>
      <w:r>
        <w:rPr>
          <w:b/>
          <w:color w:val="000000"/>
        </w:rPr>
        <w:br w:type="page"/>
      </w:r>
    </w:p>
    <w:p w14:paraId="20FDB01F" w14:textId="77777777" w:rsidR="005808F6" w:rsidRDefault="005808F6" w:rsidP="005808F6">
      <w:pPr>
        <w:pBdr>
          <w:top w:val="nil"/>
          <w:left w:val="nil"/>
          <w:bottom w:val="nil"/>
          <w:right w:val="nil"/>
          <w:between w:val="nil"/>
        </w:pBdr>
        <w:rPr>
          <w:b/>
          <w:color w:val="000000"/>
        </w:rPr>
      </w:pPr>
      <w:r>
        <w:rPr>
          <w:b/>
          <w:color w:val="000000"/>
        </w:rPr>
        <w:lastRenderedPageBreak/>
        <w:t>Supplemental figure 3</w:t>
      </w:r>
      <w:r>
        <w:rPr>
          <w:b/>
          <w:color w:val="000000"/>
        </w:rPr>
        <w:br/>
      </w:r>
    </w:p>
    <w:p w14:paraId="3F5A467D" w14:textId="77777777" w:rsidR="005808F6" w:rsidRDefault="005808F6" w:rsidP="005808F6"/>
    <w:p w14:paraId="054F1037" w14:textId="77777777" w:rsidR="005808F6" w:rsidRPr="00944E6D" w:rsidRDefault="005808F6" w:rsidP="005808F6">
      <w:pPr>
        <w:pBdr>
          <w:top w:val="nil"/>
          <w:left w:val="nil"/>
          <w:bottom w:val="nil"/>
          <w:right w:val="nil"/>
          <w:between w:val="nil"/>
        </w:pBdr>
        <w:spacing w:before="2"/>
        <w:jc w:val="both"/>
        <w:rPr>
          <w:color w:val="000000"/>
        </w:rPr>
      </w:pPr>
      <w:r>
        <w:rPr>
          <w:noProof/>
        </w:rPr>
        <w:drawing>
          <wp:inline distT="0" distB="0" distL="0" distR="0" wp14:anchorId="4285BBD6" wp14:editId="1F83DCD5">
            <wp:extent cx="4876800" cy="5563511"/>
            <wp:effectExtent l="0" t="0" r="0" b="0"/>
            <wp:docPr id="14555139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513919" name=""/>
                    <pic:cNvPicPr/>
                  </pic:nvPicPr>
                  <pic:blipFill>
                    <a:blip r:embed="rId6"/>
                    <a:stretch>
                      <a:fillRect/>
                    </a:stretch>
                  </pic:blipFill>
                  <pic:spPr>
                    <a:xfrm>
                      <a:off x="0" y="0"/>
                      <a:ext cx="4879092" cy="5566126"/>
                    </a:xfrm>
                    <a:prstGeom prst="rect">
                      <a:avLst/>
                    </a:prstGeom>
                  </pic:spPr>
                </pic:pic>
              </a:graphicData>
            </a:graphic>
          </wp:inline>
        </w:drawing>
      </w:r>
    </w:p>
    <w:p w14:paraId="452DC98C" w14:textId="77777777" w:rsidR="005808F6" w:rsidRDefault="005808F6" w:rsidP="005808F6">
      <w:pPr>
        <w:pBdr>
          <w:top w:val="nil"/>
          <w:left w:val="nil"/>
          <w:bottom w:val="nil"/>
          <w:right w:val="nil"/>
          <w:between w:val="nil"/>
        </w:pBdr>
        <w:spacing w:before="2"/>
        <w:jc w:val="both"/>
        <w:rPr>
          <w:color w:val="000000"/>
        </w:rPr>
      </w:pPr>
      <w:r>
        <w:rPr>
          <w:b/>
          <w:color w:val="000000"/>
        </w:rPr>
        <w:t>Supplemental Figure 3</w:t>
      </w:r>
      <w:r>
        <w:rPr>
          <w:color w:val="000000"/>
        </w:rPr>
        <w:t xml:space="preserve">. </w:t>
      </w:r>
      <w:r>
        <w:rPr>
          <w:b/>
          <w:color w:val="000000"/>
        </w:rPr>
        <w:t>Behavioural measures. (A)</w:t>
      </w:r>
      <w:r>
        <w:rPr>
          <w:color w:val="000000"/>
        </w:rPr>
        <w:t xml:space="preserve"> One-way ANOVA revealed significant variation in SI scores (F(2,120) = 63.3, p &lt; .001). Tukey’s post hoc comparison revealed significant differences between controls and susceptible mice (p &lt; .001, 95% C.I. = [65.4, 106.8]), and resilient and susceptible mice (p &lt; .001, 95% C.I. = [58.9, 94.9]). Stress-naïve and resilient mice did not differ in SI scores (p = .44, 95% C.I. = [-8.6, 26.9]). </w:t>
      </w:r>
      <w:r>
        <w:rPr>
          <w:b/>
          <w:color w:val="000000"/>
        </w:rPr>
        <w:t>(B)</w:t>
      </w:r>
      <w:r>
        <w:rPr>
          <w:color w:val="000000"/>
        </w:rPr>
        <w:t xml:space="preserve"> One-way ANOVA revealed significant variation in SI scores of sequenced mice (F(2,45) = 45.3, p &lt; .001). Tukey’s post hoc comparison revealed significant differences between sequenced control and susceptible mice (p &lt; .001, 95% C.I. = [67.8, 128.6]), and resilient and susceptible mice (p &lt; .001, 95% C.I. = [77.9, 138.4]). Stress-naïve and resilient mice did not differ in SI scores (p = .72, 95% C.I. = [-40.2, 20.6]). </w:t>
      </w:r>
      <w:r>
        <w:rPr>
          <w:b/>
          <w:color w:val="000000"/>
        </w:rPr>
        <w:t>(C)</w:t>
      </w:r>
      <w:r>
        <w:rPr>
          <w:color w:val="000000"/>
        </w:rPr>
        <w:t xml:space="preserve"> Same-phenotype mice (within-phenotype) sacrificed at the four time points (between-time point) did not significantly differ in their SI scores. </w:t>
      </w:r>
      <w:r>
        <w:rPr>
          <w:b/>
          <w:color w:val="000000"/>
        </w:rPr>
        <w:t>(</w:t>
      </w:r>
      <w:r>
        <w:rPr>
          <w:b/>
        </w:rPr>
        <w:t>D</w:t>
      </w:r>
      <w:r>
        <w:rPr>
          <w:b/>
          <w:color w:val="000000"/>
        </w:rPr>
        <w:t>)</w:t>
      </w:r>
      <w:r>
        <w:rPr>
          <w:color w:val="000000"/>
        </w:rPr>
        <w:t xml:space="preserve"> One-way ANOVA for total distance travelled for all mice used in the experiments was significant </w:t>
      </w:r>
      <w:r>
        <w:rPr>
          <w:i/>
          <w:color w:val="000000"/>
        </w:rPr>
        <w:t>(F</w:t>
      </w:r>
      <w:r>
        <w:rPr>
          <w:color w:val="000000"/>
        </w:rPr>
        <w:t xml:space="preserve">(2,120) = 23.3, </w:t>
      </w:r>
      <w:r>
        <w:rPr>
          <w:i/>
          <w:color w:val="000000"/>
        </w:rPr>
        <w:t xml:space="preserve">p </w:t>
      </w:r>
      <w:r>
        <w:rPr>
          <w:color w:val="000000"/>
        </w:rPr>
        <w:t xml:space="preserve">&lt; .001). The </w:t>
      </w:r>
      <w:r>
        <w:rPr>
          <w:color w:val="000000"/>
        </w:rPr>
        <w:lastRenderedPageBreak/>
        <w:t>observed differences were significant between control and susceptible mice (</w:t>
      </w:r>
      <w:r>
        <w:rPr>
          <w:i/>
          <w:color w:val="000000"/>
        </w:rPr>
        <w:t xml:space="preserve">p </w:t>
      </w:r>
      <w:r>
        <w:rPr>
          <w:color w:val="000000"/>
        </w:rPr>
        <w:t>&lt; .001, 95% C.I. = [1624, 4059]), and control and resilient mice (</w:t>
      </w:r>
      <w:r>
        <w:rPr>
          <w:i/>
          <w:color w:val="000000"/>
        </w:rPr>
        <w:t xml:space="preserve">p </w:t>
      </w:r>
      <w:r>
        <w:rPr>
          <w:color w:val="000000"/>
        </w:rPr>
        <w:t xml:space="preserve">&lt; .001, 95% C.I. = [1796, 3889]) (Fig.1C). </w:t>
      </w:r>
      <w:r>
        <w:rPr>
          <w:b/>
          <w:color w:val="000000"/>
        </w:rPr>
        <w:t>(</w:t>
      </w:r>
      <w:r>
        <w:rPr>
          <w:b/>
        </w:rPr>
        <w:t>E</w:t>
      </w:r>
      <w:r>
        <w:rPr>
          <w:b/>
          <w:color w:val="000000"/>
        </w:rPr>
        <w:t>)</w:t>
      </w:r>
      <w:r>
        <w:rPr>
          <w:color w:val="000000"/>
        </w:rPr>
        <w:t xml:space="preserve"> One-way ANOVA for average velocity travelled</w:t>
      </w:r>
      <w:r w:rsidRPr="00944E6D">
        <w:rPr>
          <w:color w:val="000000"/>
        </w:rPr>
        <w:t xml:space="preserve"> </w:t>
      </w:r>
      <w:r>
        <w:rPr>
          <w:color w:val="000000"/>
        </w:rPr>
        <w:t>in all mice used in the experiments was significant (</w:t>
      </w:r>
      <w:r>
        <w:rPr>
          <w:i/>
          <w:color w:val="000000"/>
        </w:rPr>
        <w:t>F</w:t>
      </w:r>
      <w:r>
        <w:rPr>
          <w:color w:val="000000"/>
        </w:rPr>
        <w:t xml:space="preserve">(2,120) = 24.2, </w:t>
      </w:r>
      <w:r>
        <w:rPr>
          <w:i/>
          <w:color w:val="000000"/>
        </w:rPr>
        <w:t xml:space="preserve">p </w:t>
      </w:r>
      <w:r>
        <w:rPr>
          <w:color w:val="000000"/>
        </w:rPr>
        <w:t>&lt; .001). There were significant differences in average velocity between control and susceptible mice (</w:t>
      </w:r>
      <w:r>
        <w:rPr>
          <w:i/>
          <w:color w:val="000000"/>
        </w:rPr>
        <w:t xml:space="preserve">p </w:t>
      </w:r>
      <w:r>
        <w:rPr>
          <w:color w:val="000000"/>
        </w:rPr>
        <w:t>&lt; .001, 95% C.I. = [10.8, 27]), and control and resilient mice (</w:t>
      </w:r>
      <w:r>
        <w:rPr>
          <w:i/>
          <w:color w:val="000000"/>
        </w:rPr>
        <w:t xml:space="preserve">p </w:t>
      </w:r>
      <w:r>
        <w:rPr>
          <w:color w:val="000000"/>
        </w:rPr>
        <w:t xml:space="preserve">&lt; .001, 95% C.I. = [12.5, 26.4]).  All values and bar plots are reported as mean±SEM. The box plots were generated using Tukey method. Significance levels: ** </w:t>
      </w:r>
      <w:r>
        <w:rPr>
          <w:i/>
          <w:color w:val="000000"/>
        </w:rPr>
        <w:t xml:space="preserve">p </w:t>
      </w:r>
      <w:r>
        <w:rPr>
          <w:color w:val="000000"/>
        </w:rPr>
        <w:t xml:space="preserve">&lt; .01, *** </w:t>
      </w:r>
      <w:r>
        <w:rPr>
          <w:i/>
          <w:color w:val="000000"/>
        </w:rPr>
        <w:t xml:space="preserve">p </w:t>
      </w:r>
      <w:r>
        <w:rPr>
          <w:color w:val="000000"/>
        </w:rPr>
        <w:t xml:space="preserve">&lt; .001, **** </w:t>
      </w:r>
      <w:r>
        <w:rPr>
          <w:i/>
          <w:color w:val="000000"/>
        </w:rPr>
        <w:t xml:space="preserve">p </w:t>
      </w:r>
      <w:r>
        <w:rPr>
          <w:color w:val="000000"/>
        </w:rPr>
        <w:t>&lt; .0001.</w:t>
      </w:r>
    </w:p>
    <w:p w14:paraId="0899E936" w14:textId="77777777" w:rsidR="005808F6" w:rsidRDefault="005808F6" w:rsidP="005808F6"/>
    <w:p w14:paraId="13947EEF" w14:textId="77777777" w:rsidR="005808F6" w:rsidRDefault="005808F6" w:rsidP="005808F6"/>
    <w:p w14:paraId="42D640C9" w14:textId="77777777" w:rsidR="005808F6" w:rsidRDefault="005808F6" w:rsidP="005808F6"/>
    <w:p w14:paraId="30802E12" w14:textId="77777777" w:rsidR="005808F6" w:rsidRDefault="005808F6" w:rsidP="005808F6"/>
    <w:p w14:paraId="40743438" w14:textId="77777777" w:rsidR="005808F6" w:rsidRDefault="005808F6" w:rsidP="005808F6"/>
    <w:p w14:paraId="45040D5A" w14:textId="77777777" w:rsidR="005808F6" w:rsidRDefault="005808F6" w:rsidP="005808F6"/>
    <w:p w14:paraId="47811AB3" w14:textId="77777777" w:rsidR="005808F6" w:rsidRDefault="005808F6" w:rsidP="005808F6"/>
    <w:p w14:paraId="3EEA192C" w14:textId="77777777" w:rsidR="005808F6" w:rsidRDefault="005808F6" w:rsidP="005808F6"/>
    <w:p w14:paraId="35D48626" w14:textId="77777777" w:rsidR="005808F6" w:rsidRDefault="005808F6" w:rsidP="005808F6">
      <w:pPr>
        <w:pBdr>
          <w:top w:val="nil"/>
          <w:left w:val="nil"/>
          <w:bottom w:val="nil"/>
          <w:right w:val="nil"/>
          <w:between w:val="nil"/>
        </w:pBdr>
        <w:rPr>
          <w:b/>
          <w:color w:val="000000"/>
        </w:rPr>
      </w:pPr>
    </w:p>
    <w:p w14:paraId="352B3F7D" w14:textId="77777777" w:rsidR="005808F6" w:rsidRDefault="005808F6" w:rsidP="005808F6">
      <w:pPr>
        <w:pBdr>
          <w:top w:val="nil"/>
          <w:left w:val="nil"/>
          <w:bottom w:val="nil"/>
          <w:right w:val="nil"/>
          <w:between w:val="nil"/>
        </w:pBdr>
        <w:rPr>
          <w:b/>
          <w:color w:val="000000"/>
        </w:rPr>
      </w:pPr>
    </w:p>
    <w:p w14:paraId="572F7686" w14:textId="77777777" w:rsidR="005808F6" w:rsidRDefault="005808F6" w:rsidP="005808F6">
      <w:pPr>
        <w:pBdr>
          <w:top w:val="nil"/>
          <w:left w:val="nil"/>
          <w:bottom w:val="nil"/>
          <w:right w:val="nil"/>
          <w:between w:val="nil"/>
        </w:pBdr>
        <w:rPr>
          <w:b/>
          <w:color w:val="000000"/>
        </w:rPr>
      </w:pPr>
    </w:p>
    <w:p w14:paraId="52E2E3E5" w14:textId="77777777" w:rsidR="005808F6" w:rsidRDefault="005808F6" w:rsidP="005808F6">
      <w:pPr>
        <w:pBdr>
          <w:top w:val="nil"/>
          <w:left w:val="nil"/>
          <w:bottom w:val="nil"/>
          <w:right w:val="nil"/>
          <w:between w:val="nil"/>
        </w:pBdr>
        <w:rPr>
          <w:b/>
          <w:color w:val="000000"/>
        </w:rPr>
      </w:pPr>
    </w:p>
    <w:p w14:paraId="654DB3A3" w14:textId="77777777" w:rsidR="005808F6" w:rsidRDefault="005808F6" w:rsidP="005808F6">
      <w:pPr>
        <w:pBdr>
          <w:top w:val="nil"/>
          <w:left w:val="nil"/>
          <w:bottom w:val="nil"/>
          <w:right w:val="nil"/>
          <w:between w:val="nil"/>
        </w:pBdr>
        <w:rPr>
          <w:b/>
          <w:color w:val="000000"/>
        </w:rPr>
      </w:pPr>
    </w:p>
    <w:p w14:paraId="70F1602F" w14:textId="77777777" w:rsidR="005808F6" w:rsidRDefault="005808F6" w:rsidP="005808F6">
      <w:pPr>
        <w:pBdr>
          <w:top w:val="nil"/>
          <w:left w:val="nil"/>
          <w:bottom w:val="nil"/>
          <w:right w:val="nil"/>
          <w:between w:val="nil"/>
        </w:pBdr>
        <w:rPr>
          <w:b/>
          <w:color w:val="000000"/>
        </w:rPr>
      </w:pPr>
    </w:p>
    <w:p w14:paraId="7703E175" w14:textId="77777777" w:rsidR="005808F6" w:rsidRDefault="005808F6" w:rsidP="005808F6">
      <w:pPr>
        <w:pBdr>
          <w:top w:val="nil"/>
          <w:left w:val="nil"/>
          <w:bottom w:val="nil"/>
          <w:right w:val="nil"/>
          <w:between w:val="nil"/>
        </w:pBdr>
        <w:rPr>
          <w:b/>
          <w:color w:val="000000"/>
        </w:rPr>
      </w:pPr>
    </w:p>
    <w:p w14:paraId="6AED4567" w14:textId="77777777" w:rsidR="005808F6" w:rsidRDefault="005808F6" w:rsidP="005808F6">
      <w:pPr>
        <w:pBdr>
          <w:top w:val="nil"/>
          <w:left w:val="nil"/>
          <w:bottom w:val="nil"/>
          <w:right w:val="nil"/>
          <w:between w:val="nil"/>
        </w:pBdr>
        <w:rPr>
          <w:b/>
          <w:color w:val="000000"/>
        </w:rPr>
      </w:pPr>
    </w:p>
    <w:p w14:paraId="2B8C8305" w14:textId="77777777" w:rsidR="005808F6" w:rsidRDefault="005808F6" w:rsidP="005808F6">
      <w:pPr>
        <w:pBdr>
          <w:top w:val="nil"/>
          <w:left w:val="nil"/>
          <w:bottom w:val="nil"/>
          <w:right w:val="nil"/>
          <w:between w:val="nil"/>
        </w:pBdr>
        <w:rPr>
          <w:b/>
          <w:color w:val="000000"/>
        </w:rPr>
      </w:pPr>
    </w:p>
    <w:p w14:paraId="488B215F" w14:textId="77777777" w:rsidR="005808F6" w:rsidRDefault="005808F6" w:rsidP="005808F6">
      <w:pPr>
        <w:pBdr>
          <w:top w:val="nil"/>
          <w:left w:val="nil"/>
          <w:bottom w:val="nil"/>
          <w:right w:val="nil"/>
          <w:between w:val="nil"/>
        </w:pBdr>
        <w:rPr>
          <w:b/>
          <w:color w:val="000000"/>
        </w:rPr>
      </w:pPr>
    </w:p>
    <w:p w14:paraId="1C8C0917" w14:textId="77777777" w:rsidR="005808F6" w:rsidRDefault="005808F6" w:rsidP="005808F6">
      <w:pPr>
        <w:pBdr>
          <w:top w:val="nil"/>
          <w:left w:val="nil"/>
          <w:bottom w:val="nil"/>
          <w:right w:val="nil"/>
          <w:between w:val="nil"/>
        </w:pBdr>
        <w:rPr>
          <w:b/>
          <w:color w:val="000000"/>
        </w:rPr>
      </w:pPr>
    </w:p>
    <w:p w14:paraId="43456716" w14:textId="77777777" w:rsidR="005808F6" w:rsidRDefault="005808F6" w:rsidP="005808F6">
      <w:pPr>
        <w:pBdr>
          <w:top w:val="nil"/>
          <w:left w:val="nil"/>
          <w:bottom w:val="nil"/>
          <w:right w:val="nil"/>
          <w:between w:val="nil"/>
        </w:pBdr>
        <w:rPr>
          <w:b/>
          <w:color w:val="000000"/>
        </w:rPr>
      </w:pPr>
    </w:p>
    <w:p w14:paraId="58908584" w14:textId="77777777" w:rsidR="005808F6" w:rsidRDefault="005808F6" w:rsidP="005808F6">
      <w:pPr>
        <w:pBdr>
          <w:top w:val="nil"/>
          <w:left w:val="nil"/>
          <w:bottom w:val="nil"/>
          <w:right w:val="nil"/>
          <w:between w:val="nil"/>
        </w:pBdr>
        <w:rPr>
          <w:b/>
          <w:color w:val="000000"/>
        </w:rPr>
      </w:pPr>
    </w:p>
    <w:p w14:paraId="3B5F0094" w14:textId="77777777" w:rsidR="005808F6" w:rsidRDefault="005808F6" w:rsidP="005808F6">
      <w:pPr>
        <w:pBdr>
          <w:top w:val="nil"/>
          <w:left w:val="nil"/>
          <w:bottom w:val="nil"/>
          <w:right w:val="nil"/>
          <w:between w:val="nil"/>
        </w:pBdr>
        <w:rPr>
          <w:b/>
          <w:color w:val="000000"/>
        </w:rPr>
      </w:pPr>
    </w:p>
    <w:p w14:paraId="46A60F9F" w14:textId="77777777" w:rsidR="005808F6" w:rsidRDefault="005808F6" w:rsidP="005808F6">
      <w:pPr>
        <w:pBdr>
          <w:top w:val="nil"/>
          <w:left w:val="nil"/>
          <w:bottom w:val="nil"/>
          <w:right w:val="nil"/>
          <w:between w:val="nil"/>
        </w:pBdr>
        <w:rPr>
          <w:b/>
          <w:color w:val="000000"/>
        </w:rPr>
      </w:pPr>
    </w:p>
    <w:p w14:paraId="6BB22924" w14:textId="77777777" w:rsidR="005808F6" w:rsidRDefault="005808F6" w:rsidP="005808F6">
      <w:pPr>
        <w:pBdr>
          <w:top w:val="nil"/>
          <w:left w:val="nil"/>
          <w:bottom w:val="nil"/>
          <w:right w:val="nil"/>
          <w:between w:val="nil"/>
        </w:pBdr>
        <w:rPr>
          <w:b/>
          <w:color w:val="000000"/>
        </w:rPr>
      </w:pPr>
    </w:p>
    <w:p w14:paraId="2CE136E0" w14:textId="77777777" w:rsidR="005808F6" w:rsidRDefault="005808F6" w:rsidP="005808F6">
      <w:pPr>
        <w:pBdr>
          <w:top w:val="nil"/>
          <w:left w:val="nil"/>
          <w:bottom w:val="nil"/>
          <w:right w:val="nil"/>
          <w:between w:val="nil"/>
        </w:pBdr>
        <w:rPr>
          <w:b/>
          <w:color w:val="000000"/>
        </w:rPr>
      </w:pPr>
    </w:p>
    <w:p w14:paraId="5702FF53" w14:textId="77777777" w:rsidR="005808F6" w:rsidRDefault="005808F6" w:rsidP="005808F6">
      <w:pPr>
        <w:pBdr>
          <w:top w:val="nil"/>
          <w:left w:val="nil"/>
          <w:bottom w:val="nil"/>
          <w:right w:val="nil"/>
          <w:between w:val="nil"/>
        </w:pBdr>
        <w:rPr>
          <w:b/>
          <w:color w:val="000000"/>
        </w:rPr>
      </w:pPr>
    </w:p>
    <w:p w14:paraId="2909E5BA" w14:textId="77777777" w:rsidR="005808F6" w:rsidRDefault="005808F6" w:rsidP="005808F6">
      <w:pPr>
        <w:pBdr>
          <w:top w:val="nil"/>
          <w:left w:val="nil"/>
          <w:bottom w:val="nil"/>
          <w:right w:val="nil"/>
          <w:between w:val="nil"/>
        </w:pBdr>
        <w:rPr>
          <w:b/>
          <w:color w:val="000000"/>
        </w:rPr>
      </w:pPr>
    </w:p>
    <w:p w14:paraId="7BBECA7D" w14:textId="77777777" w:rsidR="005808F6" w:rsidRDefault="005808F6" w:rsidP="005808F6">
      <w:pPr>
        <w:pBdr>
          <w:top w:val="nil"/>
          <w:left w:val="nil"/>
          <w:bottom w:val="nil"/>
          <w:right w:val="nil"/>
          <w:between w:val="nil"/>
        </w:pBdr>
        <w:rPr>
          <w:b/>
          <w:color w:val="000000"/>
        </w:rPr>
      </w:pPr>
    </w:p>
    <w:p w14:paraId="616B06E8" w14:textId="77777777" w:rsidR="005808F6" w:rsidRDefault="005808F6" w:rsidP="005808F6">
      <w:pPr>
        <w:pBdr>
          <w:top w:val="nil"/>
          <w:left w:val="nil"/>
          <w:bottom w:val="nil"/>
          <w:right w:val="nil"/>
          <w:between w:val="nil"/>
        </w:pBdr>
        <w:rPr>
          <w:b/>
          <w:color w:val="000000"/>
        </w:rPr>
      </w:pPr>
    </w:p>
    <w:p w14:paraId="61F4E8E4" w14:textId="77777777" w:rsidR="005808F6" w:rsidRDefault="005808F6" w:rsidP="005808F6">
      <w:pPr>
        <w:pBdr>
          <w:top w:val="nil"/>
          <w:left w:val="nil"/>
          <w:bottom w:val="nil"/>
          <w:right w:val="nil"/>
          <w:between w:val="nil"/>
        </w:pBdr>
        <w:rPr>
          <w:b/>
          <w:color w:val="000000"/>
        </w:rPr>
      </w:pPr>
    </w:p>
    <w:p w14:paraId="0B976147" w14:textId="77777777" w:rsidR="005808F6" w:rsidRDefault="005808F6" w:rsidP="005808F6">
      <w:pPr>
        <w:pBdr>
          <w:top w:val="nil"/>
          <w:left w:val="nil"/>
          <w:bottom w:val="nil"/>
          <w:right w:val="nil"/>
          <w:between w:val="nil"/>
        </w:pBdr>
        <w:rPr>
          <w:b/>
          <w:color w:val="000000"/>
        </w:rPr>
      </w:pPr>
    </w:p>
    <w:p w14:paraId="497B8A3A" w14:textId="77777777" w:rsidR="005808F6" w:rsidRDefault="005808F6" w:rsidP="005808F6">
      <w:pPr>
        <w:pBdr>
          <w:top w:val="nil"/>
          <w:left w:val="nil"/>
          <w:bottom w:val="nil"/>
          <w:right w:val="nil"/>
          <w:between w:val="nil"/>
        </w:pBdr>
        <w:rPr>
          <w:b/>
          <w:color w:val="000000"/>
        </w:rPr>
      </w:pPr>
    </w:p>
    <w:p w14:paraId="2372BE12" w14:textId="77777777" w:rsidR="005808F6" w:rsidRDefault="005808F6" w:rsidP="005808F6">
      <w:pPr>
        <w:pBdr>
          <w:top w:val="nil"/>
          <w:left w:val="nil"/>
          <w:bottom w:val="nil"/>
          <w:right w:val="nil"/>
          <w:between w:val="nil"/>
        </w:pBdr>
        <w:rPr>
          <w:b/>
          <w:color w:val="000000"/>
        </w:rPr>
      </w:pPr>
    </w:p>
    <w:p w14:paraId="03F27AB4" w14:textId="77777777" w:rsidR="005808F6" w:rsidRDefault="005808F6" w:rsidP="005808F6">
      <w:pPr>
        <w:pBdr>
          <w:top w:val="nil"/>
          <w:left w:val="nil"/>
          <w:bottom w:val="nil"/>
          <w:right w:val="nil"/>
          <w:between w:val="nil"/>
        </w:pBdr>
        <w:rPr>
          <w:b/>
          <w:color w:val="000000"/>
        </w:rPr>
      </w:pPr>
    </w:p>
    <w:p w14:paraId="085A0DC8" w14:textId="77777777" w:rsidR="005808F6" w:rsidRDefault="005808F6" w:rsidP="005808F6">
      <w:pPr>
        <w:pBdr>
          <w:top w:val="nil"/>
          <w:left w:val="nil"/>
          <w:bottom w:val="nil"/>
          <w:right w:val="nil"/>
          <w:between w:val="nil"/>
        </w:pBdr>
        <w:rPr>
          <w:b/>
          <w:color w:val="000000"/>
        </w:rPr>
      </w:pPr>
    </w:p>
    <w:p w14:paraId="01CF6297" w14:textId="77777777" w:rsidR="005808F6" w:rsidRDefault="005808F6" w:rsidP="005808F6">
      <w:pPr>
        <w:pBdr>
          <w:top w:val="nil"/>
          <w:left w:val="nil"/>
          <w:bottom w:val="nil"/>
          <w:right w:val="nil"/>
          <w:between w:val="nil"/>
        </w:pBdr>
        <w:rPr>
          <w:b/>
          <w:color w:val="000000"/>
        </w:rPr>
      </w:pPr>
    </w:p>
    <w:p w14:paraId="0C05DF6D" w14:textId="77777777" w:rsidR="005808F6" w:rsidRDefault="005808F6" w:rsidP="005808F6">
      <w:pPr>
        <w:pBdr>
          <w:top w:val="nil"/>
          <w:left w:val="nil"/>
          <w:bottom w:val="nil"/>
          <w:right w:val="nil"/>
          <w:between w:val="nil"/>
        </w:pBdr>
        <w:rPr>
          <w:b/>
          <w:color w:val="000000"/>
        </w:rPr>
      </w:pPr>
    </w:p>
    <w:p w14:paraId="5858FE4A" w14:textId="77777777" w:rsidR="005808F6" w:rsidRDefault="005808F6" w:rsidP="005808F6">
      <w:pPr>
        <w:pBdr>
          <w:top w:val="nil"/>
          <w:left w:val="nil"/>
          <w:bottom w:val="nil"/>
          <w:right w:val="nil"/>
          <w:between w:val="nil"/>
        </w:pBdr>
        <w:rPr>
          <w:b/>
          <w:color w:val="000000"/>
        </w:rPr>
      </w:pPr>
      <w:r>
        <w:rPr>
          <w:noProof/>
        </w:rPr>
        <w:lastRenderedPageBreak/>
        <mc:AlternateContent>
          <mc:Choice Requires="wps">
            <w:drawing>
              <wp:anchor distT="0" distB="0" distL="114300" distR="114300" simplePos="0" relativeHeight="251660288" behindDoc="0" locked="0" layoutInCell="1" allowOverlap="1" wp14:anchorId="20BB93EC" wp14:editId="57269595">
                <wp:simplePos x="0" y="0"/>
                <wp:positionH relativeFrom="column">
                  <wp:posOffset>2755131</wp:posOffset>
                </wp:positionH>
                <wp:positionV relativeFrom="paragraph">
                  <wp:posOffset>259715</wp:posOffset>
                </wp:positionV>
                <wp:extent cx="427390" cy="260058"/>
                <wp:effectExtent l="0" t="0" r="4445" b="0"/>
                <wp:wrapNone/>
                <wp:docPr id="161715108" name="Text Box 3"/>
                <wp:cNvGraphicFramePr/>
                <a:graphic xmlns:a="http://schemas.openxmlformats.org/drawingml/2006/main">
                  <a:graphicData uri="http://schemas.microsoft.com/office/word/2010/wordprocessingShape">
                    <wps:wsp>
                      <wps:cNvSpPr txBox="1"/>
                      <wps:spPr>
                        <a:xfrm>
                          <a:off x="0" y="0"/>
                          <a:ext cx="427390" cy="260058"/>
                        </a:xfrm>
                        <a:prstGeom prst="rect">
                          <a:avLst/>
                        </a:prstGeom>
                        <a:solidFill>
                          <a:schemeClr val="lt1"/>
                        </a:solidFill>
                        <a:ln w="6350">
                          <a:noFill/>
                        </a:ln>
                      </wps:spPr>
                      <wps:txbx>
                        <w:txbxContent>
                          <w:p w14:paraId="1524022D" w14:textId="77777777" w:rsidR="005808F6" w:rsidRPr="009D4A99" w:rsidRDefault="005808F6" w:rsidP="005808F6">
                            <w:pPr>
                              <w:rPr>
                                <w:b/>
                                <w:bCs/>
                                <w:lang w:val="en-US"/>
                              </w:rPr>
                            </w:pPr>
                            <w:r>
                              <w:rPr>
                                <w:b/>
                                <w:bCs/>
                                <w:lang w:val="en-U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BB93EC" id="_x0000_t202" coordsize="21600,21600" o:spt="202" path="m,l,21600r21600,l21600,xe">
                <v:stroke joinstyle="miter"/>
                <v:path gradientshapeok="t" o:connecttype="rect"/>
              </v:shapetype>
              <v:shape id="Text Box 3" o:spid="_x0000_s1026" type="#_x0000_t202" style="position:absolute;margin-left:216.95pt;margin-top:20.45pt;width:33.65pt;height: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" fillcolor="white [3201]" stroked="f" strokeweight=".5pt">
                <v:textbox>
                  <w:txbxContent>
                    <w:p w14:paraId="1524022D" w14:textId="77777777" w:rsidR="005808F6" w:rsidRPr="009D4A99" w:rsidRDefault="005808F6" w:rsidP="005808F6">
                      <w:pPr>
                        <w:rPr>
                          <w:b/>
                          <w:bCs/>
                          <w:lang w:val="en-US"/>
                        </w:rPr>
                      </w:pPr>
                      <w:r>
                        <w:rPr>
                          <w:b/>
                          <w:bCs/>
                          <w:lang w:val="en-US"/>
                        </w:rPr>
                        <w:t>B</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7E454E97" wp14:editId="43E4F26A">
                <wp:simplePos x="0" y="0"/>
                <wp:positionH relativeFrom="column">
                  <wp:posOffset>38601</wp:posOffset>
                </wp:positionH>
                <wp:positionV relativeFrom="paragraph">
                  <wp:posOffset>267970</wp:posOffset>
                </wp:positionV>
                <wp:extent cx="427390" cy="260058"/>
                <wp:effectExtent l="0" t="0" r="4445" b="0"/>
                <wp:wrapNone/>
                <wp:docPr id="1556697351" name="Text Box 3"/>
                <wp:cNvGraphicFramePr/>
                <a:graphic xmlns:a="http://schemas.openxmlformats.org/drawingml/2006/main">
                  <a:graphicData uri="http://schemas.microsoft.com/office/word/2010/wordprocessingShape">
                    <wps:wsp>
                      <wps:cNvSpPr txBox="1"/>
                      <wps:spPr>
                        <a:xfrm>
                          <a:off x="0" y="0"/>
                          <a:ext cx="427390" cy="260058"/>
                        </a:xfrm>
                        <a:prstGeom prst="rect">
                          <a:avLst/>
                        </a:prstGeom>
                        <a:solidFill>
                          <a:schemeClr val="lt1"/>
                        </a:solidFill>
                        <a:ln w="6350">
                          <a:noFill/>
                        </a:ln>
                      </wps:spPr>
                      <wps:txbx>
                        <w:txbxContent>
                          <w:p w14:paraId="7F5ABF7D" w14:textId="77777777" w:rsidR="005808F6" w:rsidRPr="009D4A99" w:rsidRDefault="005808F6" w:rsidP="005808F6">
                            <w:pPr>
                              <w:rPr>
                                <w:b/>
                                <w:bCs/>
                                <w:lang w:val="en-US"/>
                              </w:rPr>
                            </w:pPr>
                            <w:r w:rsidRPr="009D4A99">
                              <w:rPr>
                                <w:b/>
                                <w:bCs/>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454E97" id="_x0000_s1027" type="#_x0000_t202" style="position:absolute;margin-left:3.05pt;margin-top:21.1pt;width:33.65pt;height:2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" fillcolor="white [3201]" stroked="f" strokeweight=".5pt">
                <v:textbox>
                  <w:txbxContent>
                    <w:p w14:paraId="7F5ABF7D" w14:textId="77777777" w:rsidR="005808F6" w:rsidRPr="009D4A99" w:rsidRDefault="005808F6" w:rsidP="005808F6">
                      <w:pPr>
                        <w:rPr>
                          <w:b/>
                          <w:bCs/>
                          <w:lang w:val="en-US"/>
                        </w:rPr>
                      </w:pPr>
                      <w:r w:rsidRPr="009D4A99">
                        <w:rPr>
                          <w:b/>
                          <w:bCs/>
                          <w:lang w:val="en-US"/>
                        </w:rPr>
                        <w:t>A</w:t>
                      </w:r>
                    </w:p>
                  </w:txbxContent>
                </v:textbox>
              </v:shape>
            </w:pict>
          </mc:Fallback>
        </mc:AlternateContent>
      </w:r>
      <w:r>
        <w:rPr>
          <w:b/>
          <w:color w:val="000000"/>
        </w:rPr>
        <w:t xml:space="preserve">Supplemental figure </w:t>
      </w:r>
      <w:r>
        <w:rPr>
          <w:b/>
          <w:color w:val="000000"/>
          <w:lang w:val="en-US"/>
        </w:rPr>
        <w:t>4</w:t>
      </w:r>
      <w:r>
        <w:rPr>
          <w:b/>
          <w:color w:val="000000"/>
        </w:rPr>
        <w:br/>
      </w:r>
    </w:p>
    <w:p w14:paraId="6920355D" w14:textId="77777777" w:rsidR="005808F6" w:rsidRDefault="005808F6" w:rsidP="005808F6"/>
    <w:p w14:paraId="13AC0F33" w14:textId="77777777" w:rsidR="005808F6" w:rsidRDefault="005808F6" w:rsidP="005808F6">
      <w:pPr>
        <w:jc w:val="both"/>
        <w:rPr>
          <w:rStyle w:val="CommentReference"/>
        </w:rPr>
      </w:pPr>
      <w:r w:rsidRPr="001C4024">
        <w:rPr>
          <w:rStyle w:val="CommentReference"/>
          <w:noProof/>
        </w:rPr>
        <w:drawing>
          <wp:inline distT="0" distB="0" distL="0" distR="0" wp14:anchorId="41349437" wp14:editId="1926D54E">
            <wp:extent cx="5943600" cy="5884545"/>
            <wp:effectExtent l="0" t="0" r="0" b="0"/>
            <wp:docPr id="14052022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202207" name=""/>
                    <pic:cNvPicPr/>
                  </pic:nvPicPr>
                  <pic:blipFill>
                    <a:blip r:embed="rId7"/>
                    <a:stretch>
                      <a:fillRect/>
                    </a:stretch>
                  </pic:blipFill>
                  <pic:spPr>
                    <a:xfrm>
                      <a:off x="0" y="0"/>
                      <a:ext cx="5943600" cy="5884545"/>
                    </a:xfrm>
                    <a:prstGeom prst="rect">
                      <a:avLst/>
                    </a:prstGeom>
                  </pic:spPr>
                </pic:pic>
              </a:graphicData>
            </a:graphic>
          </wp:inline>
        </w:drawing>
      </w:r>
    </w:p>
    <w:p w14:paraId="4ACFC5E8" w14:textId="77777777" w:rsidR="005808F6" w:rsidRDefault="005808F6" w:rsidP="005808F6">
      <w:pPr>
        <w:jc w:val="both"/>
        <w:rPr>
          <w:rStyle w:val="CommentReference"/>
        </w:rPr>
      </w:pPr>
    </w:p>
    <w:p w14:paraId="1FE83FD5" w14:textId="77777777" w:rsidR="005808F6" w:rsidRDefault="005808F6" w:rsidP="005808F6">
      <w:pPr>
        <w:jc w:val="both"/>
        <w:rPr>
          <w:rStyle w:val="CommentReference"/>
        </w:rPr>
      </w:pPr>
    </w:p>
    <w:p w14:paraId="2BE58D18" w14:textId="77777777" w:rsidR="005808F6" w:rsidRPr="005727B8" w:rsidRDefault="005808F6" w:rsidP="005808F6">
      <w:pPr>
        <w:jc w:val="both"/>
        <w:rPr>
          <w:color w:val="4472C4" w:themeColor="accent1"/>
        </w:rPr>
      </w:pPr>
      <w:r w:rsidRPr="005727B8">
        <w:rPr>
          <w:b/>
          <w:bCs/>
          <w:color w:val="4472C4" w:themeColor="accent1"/>
        </w:rPr>
        <w:t>Supplemental Figure 4. Transcription family enrichment estimation at ZT16 between resilient and stress-naïve mice.</w:t>
      </w:r>
      <w:r w:rsidRPr="005727B8">
        <w:rPr>
          <w:color w:val="4472C4" w:themeColor="accent1"/>
        </w:rPr>
        <w:t xml:space="preserve"> (A) TF family binding patterns in the SCN. Estimated number of enriched TF families was 43 (7 TFs associated with upregulated, 36 with downregulated DEGs). (B) TF family binding patterns in the Hb. Estimated number of enriched TF families was 74 (28 TFs associated with upregulated, 46 with downregulated DEGs). (A-B) Overall, there were 8 TF families unique to the SCN and 39 TF families unique to Hb. The two regions showed enrichment of 35 common TF families.</w:t>
      </w:r>
    </w:p>
    <w:p w14:paraId="2062ACD5" w14:textId="77777777" w:rsidR="005808F6" w:rsidRDefault="005808F6" w:rsidP="005808F6">
      <w:pPr>
        <w:jc w:val="both"/>
        <w:rPr>
          <w:b/>
        </w:rPr>
      </w:pPr>
    </w:p>
    <w:p w14:paraId="048D3C6D" w14:textId="77777777" w:rsidR="005808F6" w:rsidRDefault="005808F6" w:rsidP="005808F6">
      <w:pPr>
        <w:jc w:val="both"/>
        <w:rPr>
          <w:b/>
        </w:rPr>
      </w:pPr>
    </w:p>
    <w:p w14:paraId="67B9F3F8" w14:textId="77777777" w:rsidR="00F553FF" w:rsidRDefault="00F553FF"/>
    <w:sectPr w:rsidR="00F553FF" w:rsidSect="00B66525">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8F6"/>
    <w:rsid w:val="003C2EF4"/>
    <w:rsid w:val="005808F6"/>
    <w:rsid w:val="00B66525"/>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86B95"/>
  <w15:chartTrackingRefBased/>
  <w15:docId w15:val="{056F2555-B3BD-4043-919D-2380B1F3A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8F6"/>
    <w:pPr>
      <w:spacing w:after="0" w:line="240" w:lineRule="auto"/>
    </w:pPr>
    <w:rPr>
      <w:rFonts w:ascii="Times New Roman" w:eastAsia="Times New Roman" w:hAnsi="Times New Roman" w:cs="Times New Roman"/>
      <w:kern w:val="0"/>
      <w:sz w:val="24"/>
      <w:szCs w:val="24"/>
      <w:lang w:val="en-AE" w:eastAsia="sr-Cyrl-ME"/>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808F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944</Words>
  <Characters>5387</Characters>
  <Application>Microsoft Office Word</Application>
  <DocSecurity>0</DocSecurity>
  <Lines>44</Lines>
  <Paragraphs>12</Paragraphs>
  <ScaleCrop>false</ScaleCrop>
  <Company>Springer Nature</Company>
  <LinksUpToDate>false</LinksUpToDate>
  <CharactersWithSpaces>6319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2024-03-18T07:19:00Z</dcterms:created>
  <dcterms:modified xsi:type="dcterms:W3CDTF">2024-03-18T07:19:00Z</dcterms:modified>
</cp:coreProperties>
</file>