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3BDC"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Supplementary materials: </w:t>
      </w:r>
    </w:p>
    <w:p w:rsidR="00A73BDC" w:rsidRDefault="00A73BDC">
      <w:pPr>
        <w:jc w:val="both"/>
        <w:rPr>
          <w:rFonts w:ascii="Times New Roman" w:eastAsia="Times New Roman" w:hAnsi="Times New Roman" w:cs="Times New Roman"/>
          <w:b/>
          <w:sz w:val="28"/>
          <w:szCs w:val="28"/>
        </w:rPr>
      </w:pPr>
    </w:p>
    <w:p w:rsidR="00A73BDC" w:rsidRDefault="00000000">
      <w:pPr>
        <w:jc w:val="both"/>
        <w:rPr>
          <w:rFonts w:ascii="Times New Roman" w:eastAsia="Times New Roman" w:hAnsi="Times New Roman" w:cs="Times New Roman"/>
        </w:rPr>
      </w:pPr>
      <w:r>
        <w:rPr>
          <w:rFonts w:ascii="Times New Roman" w:eastAsia="Times New Roman" w:hAnsi="Times New Roman" w:cs="Times New Roman"/>
          <w:b/>
          <w:sz w:val="28"/>
          <w:szCs w:val="28"/>
        </w:rPr>
        <w:t>Atmospheric CO</w:t>
      </w:r>
      <w:r>
        <w:rPr>
          <w:rFonts w:ascii="Times New Roman" w:eastAsia="Times New Roman" w:hAnsi="Times New Roman" w:cs="Times New Roman"/>
          <w:b/>
          <w:sz w:val="28"/>
          <w:szCs w:val="28"/>
          <w:vertAlign w:val="subscript"/>
        </w:rPr>
        <w:t>2</w:t>
      </w:r>
      <w:r>
        <w:rPr>
          <w:rFonts w:ascii="Times New Roman" w:eastAsia="Times New Roman" w:hAnsi="Times New Roman" w:cs="Times New Roman"/>
          <w:b/>
          <w:sz w:val="28"/>
          <w:szCs w:val="28"/>
        </w:rPr>
        <w:t xml:space="preserve"> inversion models overestimate northern extratropical land and ocean carbon uptake as assessed at background in-situ sites</w:t>
      </w:r>
    </w:p>
    <w:p w:rsidR="00A73BDC" w:rsidRDefault="00A73BDC">
      <w:pPr>
        <w:jc w:val="both"/>
        <w:rPr>
          <w:rFonts w:ascii="Times New Roman" w:eastAsia="Times New Roman" w:hAnsi="Times New Roman" w:cs="Times New Roman"/>
        </w:rPr>
      </w:pPr>
    </w:p>
    <w:p w:rsidR="00A73BDC" w:rsidRDefault="00000000">
      <w:pPr>
        <w:jc w:val="both"/>
        <w:rPr>
          <w:rFonts w:ascii="Times New Roman" w:eastAsia="Times New Roman" w:hAnsi="Times New Roman" w:cs="Times New Roman"/>
          <w:vertAlign w:val="superscript"/>
        </w:rPr>
      </w:pPr>
      <w:r>
        <w:rPr>
          <w:rFonts w:ascii="Times New Roman" w:eastAsia="Times New Roman" w:hAnsi="Times New Roman" w:cs="Times New Roman"/>
        </w:rPr>
        <w:t>Suman Maity</w:t>
      </w:r>
      <w:proofErr w:type="gramStart"/>
      <w:r>
        <w:rPr>
          <w:rFonts w:ascii="Times New Roman" w:eastAsia="Times New Roman" w:hAnsi="Times New Roman" w:cs="Times New Roman"/>
          <w:vertAlign w:val="superscript"/>
        </w:rPr>
        <w:t>1</w:t>
      </w:r>
      <w:r w:rsidR="00F05479">
        <w:rPr>
          <w:rFonts w:ascii="Times New Roman" w:eastAsia="Times New Roman" w:hAnsi="Times New Roman" w:cs="Times New Roman"/>
          <w:vertAlign w:val="superscript"/>
        </w:rPr>
        <w:t>,*</w:t>
      </w:r>
      <w:proofErr w:type="gramEnd"/>
      <w:r>
        <w:rPr>
          <w:rFonts w:ascii="Times New Roman" w:eastAsia="Times New Roman" w:hAnsi="Times New Roman" w:cs="Times New Roman"/>
        </w:rPr>
        <w:t>, Prabir K. Patra</w:t>
      </w:r>
      <w:r>
        <w:rPr>
          <w:rFonts w:ascii="Times New Roman" w:eastAsia="Times New Roman" w:hAnsi="Times New Roman" w:cs="Times New Roman"/>
          <w:vertAlign w:val="superscript"/>
        </w:rPr>
        <w:t>1,2</w:t>
      </w:r>
      <w:r w:rsidR="00F05479">
        <w:rPr>
          <w:rFonts w:ascii="Times New Roman" w:eastAsia="Times New Roman" w:hAnsi="Times New Roman" w:cs="Times New Roman"/>
          <w:vertAlign w:val="superscript"/>
        </w:rPr>
        <w:t>,*</w:t>
      </w:r>
      <w:r>
        <w:rPr>
          <w:rFonts w:ascii="Times New Roman" w:eastAsia="Times New Roman" w:hAnsi="Times New Roman" w:cs="Times New Roman"/>
        </w:rPr>
        <w:t>, Naveen Chandra</w:t>
      </w:r>
      <w:r>
        <w:rPr>
          <w:rFonts w:ascii="Times New Roman" w:eastAsia="Times New Roman" w:hAnsi="Times New Roman" w:cs="Times New Roman"/>
          <w:vertAlign w:val="superscript"/>
        </w:rPr>
        <w:t>1</w:t>
      </w:r>
      <w:r>
        <w:rPr>
          <w:rFonts w:ascii="Times New Roman" w:eastAsia="Times New Roman" w:hAnsi="Times New Roman" w:cs="Times New Roman"/>
        </w:rPr>
        <w:t>, Britton B. Stephens</w:t>
      </w:r>
      <w:r>
        <w:rPr>
          <w:rFonts w:ascii="Times New Roman" w:eastAsia="Times New Roman" w:hAnsi="Times New Roman" w:cs="Times New Roman"/>
          <w:vertAlign w:val="superscript"/>
        </w:rPr>
        <w:t>3</w:t>
      </w:r>
      <w:r>
        <w:rPr>
          <w:rFonts w:ascii="Times New Roman" w:eastAsia="Times New Roman" w:hAnsi="Times New Roman" w:cs="Times New Roman"/>
        </w:rPr>
        <w:t>, Frederic Chevallier</w:t>
      </w:r>
      <w:r>
        <w:rPr>
          <w:rFonts w:ascii="Times New Roman" w:eastAsia="Times New Roman" w:hAnsi="Times New Roman" w:cs="Times New Roman"/>
          <w:vertAlign w:val="superscript"/>
        </w:rPr>
        <w:t>4</w:t>
      </w:r>
      <w:r>
        <w:rPr>
          <w:rFonts w:ascii="Times New Roman" w:eastAsia="Times New Roman" w:hAnsi="Times New Roman" w:cs="Times New Roman"/>
        </w:rPr>
        <w:t>, Scot M. Miller</w:t>
      </w:r>
      <w:r>
        <w:rPr>
          <w:rFonts w:ascii="Times New Roman" w:eastAsia="Times New Roman" w:hAnsi="Times New Roman" w:cs="Times New Roman"/>
          <w:vertAlign w:val="superscript"/>
        </w:rPr>
        <w:t>5</w:t>
      </w:r>
      <w:r>
        <w:rPr>
          <w:rFonts w:ascii="Times New Roman" w:eastAsia="Times New Roman" w:hAnsi="Times New Roman" w:cs="Times New Roman"/>
        </w:rPr>
        <w:t>, Benjamin Gaubert</w:t>
      </w:r>
      <w:r>
        <w:rPr>
          <w:rFonts w:ascii="Times New Roman" w:eastAsia="Times New Roman" w:hAnsi="Times New Roman" w:cs="Times New Roman"/>
          <w:vertAlign w:val="superscript"/>
        </w:rPr>
        <w:t>3</w:t>
      </w:r>
      <w:r>
        <w:rPr>
          <w:rFonts w:ascii="Times New Roman" w:eastAsia="Times New Roman" w:hAnsi="Times New Roman" w:cs="Times New Roman"/>
        </w:rPr>
        <w:t>, Sudhanshu Pandey</w:t>
      </w:r>
      <w:r>
        <w:rPr>
          <w:rFonts w:ascii="Times New Roman" w:eastAsia="Times New Roman" w:hAnsi="Times New Roman" w:cs="Times New Roman"/>
          <w:vertAlign w:val="superscript"/>
        </w:rPr>
        <w:t>6</w:t>
      </w:r>
      <w:r>
        <w:rPr>
          <w:rFonts w:ascii="Times New Roman" w:eastAsia="Times New Roman" w:hAnsi="Times New Roman" w:cs="Times New Roman"/>
        </w:rPr>
        <w:t>, Shamil Maksyutov</w:t>
      </w:r>
      <w:r>
        <w:rPr>
          <w:rFonts w:ascii="Times New Roman" w:eastAsia="Times New Roman" w:hAnsi="Times New Roman" w:cs="Times New Roman"/>
          <w:vertAlign w:val="superscript"/>
        </w:rPr>
        <w:t>7</w:t>
      </w:r>
      <w:r>
        <w:rPr>
          <w:rFonts w:ascii="Times New Roman" w:eastAsia="Times New Roman" w:hAnsi="Times New Roman" w:cs="Times New Roman"/>
        </w:rPr>
        <w:t>, Matthew S. Johnson</w:t>
      </w:r>
      <w:r>
        <w:rPr>
          <w:rFonts w:ascii="Times New Roman" w:eastAsia="Times New Roman" w:hAnsi="Times New Roman" w:cs="Times New Roman"/>
          <w:vertAlign w:val="superscript"/>
        </w:rPr>
        <w:t>8</w:t>
      </w:r>
      <w:r>
        <w:rPr>
          <w:rFonts w:ascii="Times New Roman" w:eastAsia="Times New Roman" w:hAnsi="Times New Roman" w:cs="Times New Roman"/>
        </w:rPr>
        <w:t>, David Baker</w:t>
      </w:r>
      <w:r>
        <w:rPr>
          <w:rFonts w:ascii="Times New Roman" w:eastAsia="Times New Roman" w:hAnsi="Times New Roman" w:cs="Times New Roman"/>
          <w:vertAlign w:val="superscript"/>
        </w:rPr>
        <w:t>9</w:t>
      </w:r>
      <w:r>
        <w:rPr>
          <w:rFonts w:ascii="Times New Roman" w:eastAsia="Times New Roman" w:hAnsi="Times New Roman" w:cs="Times New Roman"/>
        </w:rPr>
        <w:t xml:space="preserve">, </w:t>
      </w:r>
      <w:proofErr w:type="spellStart"/>
      <w:r>
        <w:rPr>
          <w:rFonts w:ascii="Times New Roman" w:eastAsia="Times New Roman" w:hAnsi="Times New Roman" w:cs="Times New Roman"/>
        </w:rPr>
        <w:t>Junjie</w:t>
      </w:r>
      <w:proofErr w:type="spellEnd"/>
      <w:r>
        <w:rPr>
          <w:rFonts w:ascii="Times New Roman" w:eastAsia="Times New Roman" w:hAnsi="Times New Roman" w:cs="Times New Roman"/>
        </w:rPr>
        <w:t xml:space="preserve"> Liu</w:t>
      </w:r>
      <w:r>
        <w:rPr>
          <w:rFonts w:ascii="Times New Roman" w:eastAsia="Times New Roman" w:hAnsi="Times New Roman" w:cs="Times New Roman"/>
          <w:vertAlign w:val="superscript"/>
        </w:rPr>
        <w:t>6</w:t>
      </w:r>
      <w:r>
        <w:rPr>
          <w:rFonts w:ascii="Times New Roman" w:eastAsia="Times New Roman" w:hAnsi="Times New Roman" w:cs="Times New Roman"/>
        </w:rPr>
        <w:t xml:space="preserve">, </w:t>
      </w:r>
      <w:proofErr w:type="spellStart"/>
      <w:r>
        <w:rPr>
          <w:rFonts w:ascii="Times New Roman" w:eastAsia="Times New Roman" w:hAnsi="Times New Roman" w:cs="Times New Roman"/>
        </w:rPr>
        <w:t>Zhiqiang</w:t>
      </w:r>
      <w:proofErr w:type="spellEnd"/>
      <w:r>
        <w:rPr>
          <w:rFonts w:ascii="Times New Roman" w:eastAsia="Times New Roman" w:hAnsi="Times New Roman" w:cs="Times New Roman"/>
        </w:rPr>
        <w:t xml:space="preserve"> Liu</w:t>
      </w:r>
      <w:r>
        <w:rPr>
          <w:rFonts w:ascii="Times New Roman" w:eastAsia="Times New Roman" w:hAnsi="Times New Roman" w:cs="Times New Roman"/>
          <w:vertAlign w:val="superscript"/>
        </w:rPr>
        <w:t>10</w:t>
      </w:r>
      <w:r>
        <w:rPr>
          <w:rFonts w:ascii="Times New Roman" w:eastAsia="Times New Roman" w:hAnsi="Times New Roman" w:cs="Times New Roman"/>
        </w:rPr>
        <w:t>, Andrew Schuh</w:t>
      </w:r>
      <w:r>
        <w:rPr>
          <w:rFonts w:ascii="Times New Roman" w:eastAsia="Times New Roman" w:hAnsi="Times New Roman" w:cs="Times New Roman"/>
          <w:vertAlign w:val="superscript"/>
        </w:rPr>
        <w:t>11</w:t>
      </w:r>
      <w:r>
        <w:rPr>
          <w:rFonts w:ascii="Times New Roman" w:eastAsia="Times New Roman" w:hAnsi="Times New Roman" w:cs="Times New Roman"/>
        </w:rPr>
        <w:t>, Sean Crowell</w:t>
      </w:r>
      <w:r>
        <w:rPr>
          <w:rFonts w:ascii="Times New Roman" w:eastAsia="Times New Roman" w:hAnsi="Times New Roman" w:cs="Times New Roman"/>
          <w:vertAlign w:val="superscript"/>
        </w:rPr>
        <w:t>12</w:t>
      </w:r>
      <w:r>
        <w:rPr>
          <w:rFonts w:ascii="Times New Roman" w:eastAsia="Times New Roman" w:hAnsi="Times New Roman" w:cs="Times New Roman"/>
        </w:rPr>
        <w:t>, Sourish Basu</w:t>
      </w:r>
      <w:r>
        <w:rPr>
          <w:rFonts w:ascii="Times New Roman" w:eastAsia="Times New Roman" w:hAnsi="Times New Roman" w:cs="Times New Roman"/>
          <w:vertAlign w:val="superscript"/>
        </w:rPr>
        <w:t>13,14</w:t>
      </w:r>
      <w:r>
        <w:rPr>
          <w:rFonts w:ascii="Times New Roman" w:eastAsia="Times New Roman" w:hAnsi="Times New Roman" w:cs="Times New Roman"/>
        </w:rPr>
        <w:t>, Masayuki Takigawa</w:t>
      </w:r>
      <w:r>
        <w:rPr>
          <w:rFonts w:ascii="Times New Roman" w:eastAsia="Times New Roman" w:hAnsi="Times New Roman" w:cs="Times New Roman"/>
          <w:vertAlign w:val="superscript"/>
        </w:rPr>
        <w:t>1</w:t>
      </w:r>
    </w:p>
    <w:p w:rsidR="00A73BDC" w:rsidRDefault="00000000">
      <w:pPr>
        <w:jc w:val="both"/>
        <w:rPr>
          <w:rFonts w:ascii="Times New Roman" w:eastAsia="Times New Roman" w:hAnsi="Times New Roman" w:cs="Times New Roman"/>
        </w:rPr>
      </w:pPr>
      <w:r>
        <w:rPr>
          <w:rFonts w:ascii="Times New Roman" w:eastAsia="Times New Roman" w:hAnsi="Times New Roman" w:cs="Times New Roman"/>
        </w:rPr>
        <w:t xml:space="preserve"> </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1. Research Institute for Global Change, JAMSTEC, Yokohama, Japan</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2. Research Institute for Humanity and Nature, Kyoto, Japan</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 xml:space="preserve">3. NSF National </w:t>
      </w:r>
      <w:proofErr w:type="spellStart"/>
      <w:r>
        <w:rPr>
          <w:rFonts w:ascii="Times New Roman" w:eastAsia="Times New Roman" w:hAnsi="Times New Roman" w:cs="Times New Roman"/>
          <w:i/>
        </w:rPr>
        <w:t>Center</w:t>
      </w:r>
      <w:proofErr w:type="spellEnd"/>
      <w:r>
        <w:rPr>
          <w:rFonts w:ascii="Times New Roman" w:eastAsia="Times New Roman" w:hAnsi="Times New Roman" w:cs="Times New Roman"/>
          <w:i/>
        </w:rPr>
        <w:t xml:space="preserve"> for Atmospheric Research, Boulder, CO,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 xml:space="preserve">4. </w:t>
      </w:r>
      <w:proofErr w:type="spellStart"/>
      <w:r>
        <w:rPr>
          <w:rFonts w:ascii="Times New Roman" w:eastAsia="Times New Roman" w:hAnsi="Times New Roman" w:cs="Times New Roman"/>
          <w:i/>
        </w:rPr>
        <w:t>Laboratoire</w:t>
      </w:r>
      <w:proofErr w:type="spellEnd"/>
      <w:r>
        <w:rPr>
          <w:rFonts w:ascii="Times New Roman" w:eastAsia="Times New Roman" w:hAnsi="Times New Roman" w:cs="Times New Roman"/>
          <w:i/>
        </w:rPr>
        <w:t xml:space="preserve"> des Sciences du </w:t>
      </w:r>
      <w:proofErr w:type="spellStart"/>
      <w:r>
        <w:rPr>
          <w:rFonts w:ascii="Times New Roman" w:eastAsia="Times New Roman" w:hAnsi="Times New Roman" w:cs="Times New Roman"/>
          <w:i/>
        </w:rPr>
        <w:t>Climat</w:t>
      </w:r>
      <w:proofErr w:type="spellEnd"/>
      <w:r>
        <w:rPr>
          <w:rFonts w:ascii="Times New Roman" w:eastAsia="Times New Roman" w:hAnsi="Times New Roman" w:cs="Times New Roman"/>
          <w:i/>
        </w:rPr>
        <w:t xml:space="preserve"> et de </w:t>
      </w:r>
      <w:proofErr w:type="spellStart"/>
      <w:r>
        <w:rPr>
          <w:rFonts w:ascii="Times New Roman" w:eastAsia="Times New Roman" w:hAnsi="Times New Roman" w:cs="Times New Roman"/>
          <w:i/>
        </w:rPr>
        <w:t>L’Environnement</w:t>
      </w:r>
      <w:proofErr w:type="spellEnd"/>
      <w:r>
        <w:rPr>
          <w:rFonts w:ascii="Times New Roman" w:eastAsia="Times New Roman" w:hAnsi="Times New Roman" w:cs="Times New Roman"/>
          <w:i/>
        </w:rPr>
        <w:t>, LSCE/IPSL, CEA-CNRS-UVSQ, Université Paris-</w:t>
      </w:r>
      <w:proofErr w:type="spellStart"/>
      <w:r>
        <w:rPr>
          <w:rFonts w:ascii="Times New Roman" w:eastAsia="Times New Roman" w:hAnsi="Times New Roman" w:cs="Times New Roman"/>
          <w:i/>
        </w:rPr>
        <w:t>Saclay</w:t>
      </w:r>
      <w:proofErr w:type="spellEnd"/>
      <w:r>
        <w:rPr>
          <w:rFonts w:ascii="Times New Roman" w:eastAsia="Times New Roman" w:hAnsi="Times New Roman" w:cs="Times New Roman"/>
          <w:i/>
        </w:rPr>
        <w:t>, 91191 Gif-sur-Yvette, France</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5. Department of Environmental Health and Engineering, Johns Hopkins University, Baltimore, MD 21218,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6. Jet Propulsion Laboratory, California Institute of Technology, Pasadena, CA,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7. Earth System Division, National Institute for Environmental Studies, Tsukuba, Japan</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 xml:space="preserve">8. Earth Science Division, NASA Ames Research </w:t>
      </w:r>
      <w:proofErr w:type="spellStart"/>
      <w:r>
        <w:rPr>
          <w:rFonts w:ascii="Times New Roman" w:eastAsia="Times New Roman" w:hAnsi="Times New Roman" w:cs="Times New Roman"/>
          <w:i/>
        </w:rPr>
        <w:t>Center</w:t>
      </w:r>
      <w:proofErr w:type="spellEnd"/>
      <w:r>
        <w:rPr>
          <w:rFonts w:ascii="Times New Roman" w:eastAsia="Times New Roman" w:hAnsi="Times New Roman" w:cs="Times New Roman"/>
          <w:i/>
        </w:rPr>
        <w:t>, Moffett Field, CA,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9. Cooperative Institute for Research in the Atmosphere, Colorado State University, Fort Collins, CO,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10. CMA Key Open Laboratory of Transforming Climate Resources to Economy, Chongqing Institute of Meteorological Sciences, Chongqing 401147, China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11. Colorado State University, Fort Collins, CO,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12. University of Oklahoma, Norman, OK,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 xml:space="preserve">13. NASA Goddard Space Flight </w:t>
      </w:r>
      <w:proofErr w:type="spellStart"/>
      <w:r>
        <w:rPr>
          <w:rFonts w:ascii="Times New Roman" w:eastAsia="Times New Roman" w:hAnsi="Times New Roman" w:cs="Times New Roman"/>
          <w:i/>
        </w:rPr>
        <w:t>Center</w:t>
      </w:r>
      <w:proofErr w:type="spellEnd"/>
      <w:r>
        <w:rPr>
          <w:rFonts w:ascii="Times New Roman" w:eastAsia="Times New Roman" w:hAnsi="Times New Roman" w:cs="Times New Roman"/>
          <w:i/>
        </w:rPr>
        <w:t xml:space="preserve">, Global </w:t>
      </w:r>
      <w:proofErr w:type="spellStart"/>
      <w:r>
        <w:rPr>
          <w:rFonts w:ascii="Times New Roman" w:eastAsia="Times New Roman" w:hAnsi="Times New Roman" w:cs="Times New Roman"/>
          <w:i/>
        </w:rPr>
        <w:t>Modeling</w:t>
      </w:r>
      <w:proofErr w:type="spellEnd"/>
      <w:r>
        <w:rPr>
          <w:rFonts w:ascii="Times New Roman" w:eastAsia="Times New Roman" w:hAnsi="Times New Roman" w:cs="Times New Roman"/>
          <w:i/>
        </w:rPr>
        <w:t xml:space="preserve"> and Assimilation Office, Greenbelt, MD, USA</w:t>
      </w:r>
    </w:p>
    <w:p w:rsidR="00A73BDC" w:rsidRDefault="00000000">
      <w:pPr>
        <w:jc w:val="both"/>
        <w:rPr>
          <w:rFonts w:ascii="Times New Roman" w:eastAsia="Times New Roman" w:hAnsi="Times New Roman" w:cs="Times New Roman"/>
          <w:i/>
        </w:rPr>
      </w:pPr>
      <w:r>
        <w:rPr>
          <w:rFonts w:ascii="Times New Roman" w:eastAsia="Times New Roman" w:hAnsi="Times New Roman" w:cs="Times New Roman"/>
          <w:i/>
        </w:rPr>
        <w:t xml:space="preserve">14. Earth System Science Interdisciplinary </w:t>
      </w:r>
      <w:proofErr w:type="spellStart"/>
      <w:r>
        <w:rPr>
          <w:rFonts w:ascii="Times New Roman" w:eastAsia="Times New Roman" w:hAnsi="Times New Roman" w:cs="Times New Roman"/>
          <w:i/>
        </w:rPr>
        <w:t>Center</w:t>
      </w:r>
      <w:proofErr w:type="spellEnd"/>
      <w:r>
        <w:rPr>
          <w:rFonts w:ascii="Times New Roman" w:eastAsia="Times New Roman" w:hAnsi="Times New Roman" w:cs="Times New Roman"/>
          <w:i/>
        </w:rPr>
        <w:t>, University of Maryland, College Park, MD, USA</w:t>
      </w:r>
    </w:p>
    <w:p w:rsidR="00A73BDC" w:rsidRDefault="00A73BDC">
      <w:pPr>
        <w:jc w:val="both"/>
        <w:rPr>
          <w:rFonts w:ascii="Times New Roman" w:eastAsia="Times New Roman" w:hAnsi="Times New Roman" w:cs="Times New Roman"/>
        </w:rPr>
      </w:pPr>
    </w:p>
    <w:p w:rsidR="00A73BDC" w:rsidRPr="009541DA" w:rsidRDefault="009541DA" w:rsidP="009541DA">
      <w:pPr>
        <w:ind w:left="285" w:hanging="285"/>
        <w:jc w:val="both"/>
        <w:rPr>
          <w:rFonts w:ascii="Times New Roman" w:eastAsia="Times New Roman" w:hAnsi="Times New Roman" w:cs="Times New Roman"/>
          <w:i/>
        </w:rPr>
      </w:pPr>
      <w:r w:rsidRPr="003E0DD5">
        <w:rPr>
          <w:rFonts w:ascii="Times New Roman" w:eastAsia="Times New Roman" w:hAnsi="Times New Roman" w:cs="Times New Roman"/>
          <w:i/>
          <w:vertAlign w:val="superscript"/>
        </w:rPr>
        <w:t>*</w:t>
      </w:r>
      <w:r>
        <w:rPr>
          <w:rFonts w:ascii="Times New Roman" w:eastAsia="Times New Roman" w:hAnsi="Times New Roman" w:cs="Times New Roman"/>
          <w:i/>
        </w:rPr>
        <w:t xml:space="preserve">Corresponding authors’ e-mail: </w:t>
      </w:r>
      <w:r w:rsidRPr="00A011F1">
        <w:rPr>
          <w:rFonts w:ascii="Times New Roman" w:eastAsia="Times New Roman" w:hAnsi="Times New Roman" w:cs="Times New Roman"/>
          <w:i/>
        </w:rPr>
        <w:t>suman.buie@gmail.com</w:t>
      </w:r>
      <w:r>
        <w:rPr>
          <w:rFonts w:ascii="Times New Roman" w:eastAsia="Times New Roman" w:hAnsi="Times New Roman" w:cs="Times New Roman"/>
          <w:i/>
        </w:rPr>
        <w:t>; prabir@jamstec.go.jp</w:t>
      </w: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b/>
        </w:rPr>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b/>
          <w:sz w:val="24"/>
          <w:szCs w:val="24"/>
        </w:rPr>
      </w:pPr>
      <w:r>
        <w:br w:type="page"/>
      </w:r>
    </w:p>
    <w:p w:rsidR="00A73BDC" w:rsidRDefault="00000000" w:rsidP="009C7C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b/>
          <w:sz w:val="24"/>
          <w:szCs w:val="24"/>
        </w:rPr>
        <w:lastRenderedPageBreak/>
        <w:t>Basic characteristics of global land and ocean fluxes</w:t>
      </w:r>
    </w:p>
    <w:p w:rsidR="00A73BDC" w:rsidRDefault="00000000" w:rsidP="009C7C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480" w:lineRule="auto"/>
        <w:jc w:val="both"/>
        <w:rPr>
          <w:rFonts w:ascii="Times New Roman" w:eastAsia="Times New Roman" w:hAnsi="Times New Roman" w:cs="Times New Roman"/>
        </w:rPr>
      </w:pPr>
      <w:r>
        <w:rPr>
          <w:rFonts w:ascii="Times New Roman" w:eastAsia="Times New Roman" w:hAnsi="Times New Roman" w:cs="Times New Roman"/>
        </w:rPr>
        <w:t>Figure S1 shows the annual variation in global total land and ocean fluxes estimated by OCO-2 v10 MIP (3 inversion types; IS (a), LNLG (b), LNLGIS (c) in addition to three types of MIROC4-ACTM inversions. The OCO-2 v10 MIP inversions using ocean glint (OG) data are not used in the analysis due to the issues in OCO-2 OG measurement biases (BB22). The global ocean fluxes are complementary to the global land fluxes, leading to the fairly consistent global total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fluxes. The mean global ocean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uptake (ensemble mean ± IAV: -2.28±0.10 PgC yr</w:t>
      </w:r>
      <w:r>
        <w:rPr>
          <w:rFonts w:ascii="Times New Roman" w:eastAsia="Times New Roman" w:hAnsi="Times New Roman" w:cs="Times New Roman"/>
          <w:vertAlign w:val="superscript"/>
        </w:rPr>
        <w:t>-1</w:t>
      </w:r>
      <w:r>
        <w:rPr>
          <w:rFonts w:ascii="Times New Roman" w:eastAsia="Times New Roman" w:hAnsi="Times New Roman" w:cs="Times New Roman"/>
        </w:rPr>
        <w:t>) is slightly greater than the land uptake (-2.15±0.62 PgC yr</w:t>
      </w:r>
      <w:r>
        <w:rPr>
          <w:rFonts w:ascii="Times New Roman" w:eastAsia="Times New Roman" w:hAnsi="Times New Roman" w:cs="Times New Roman"/>
          <w:vertAlign w:val="superscript"/>
        </w:rPr>
        <w:t>-1</w:t>
      </w:r>
      <w:r>
        <w:rPr>
          <w:rFonts w:ascii="Times New Roman" w:eastAsia="Times New Roman" w:hAnsi="Times New Roman" w:cs="Times New Roman"/>
        </w:rPr>
        <w:t>) by the OCO2_MIP IS inversions, which compare well with MIROC4-ACTM results of -1.56±0.09 (mean ± IAV) and -2.62±0.63 PgC yr</w:t>
      </w:r>
      <w:r>
        <w:rPr>
          <w:rFonts w:ascii="Times New Roman" w:eastAsia="Times New Roman" w:hAnsi="Times New Roman" w:cs="Times New Roman"/>
          <w:vertAlign w:val="superscript"/>
        </w:rPr>
        <w:t>-1</w:t>
      </w:r>
      <w:r>
        <w:rPr>
          <w:rFonts w:ascii="Times New Roman" w:eastAsia="Times New Roman" w:hAnsi="Times New Roman" w:cs="Times New Roman"/>
        </w:rPr>
        <w:t>, respectively (see Table S3, S4). The implied ocean storage change is larger, considering the riverine export correction, in the range of 0.4 to 0.7 PgC yr</w:t>
      </w:r>
      <w:r>
        <w:rPr>
          <w:rFonts w:ascii="Times New Roman" w:eastAsia="Times New Roman" w:hAnsi="Times New Roman" w:cs="Times New Roman"/>
          <w:vertAlign w:val="superscript"/>
        </w:rPr>
        <w:t>-1</w:t>
      </w:r>
      <w:r>
        <w:rPr>
          <w:rFonts w:ascii="Times New Roman" w:eastAsia="Times New Roman" w:hAnsi="Times New Roman" w:cs="Times New Roman"/>
        </w:rPr>
        <w:t>, and the implied land storage smaller by equal amount</w:t>
      </w:r>
      <w:r w:rsidR="00606E23">
        <w:rPr>
          <w:rFonts w:ascii="Times New Roman" w:eastAsia="Times New Roman" w:hAnsi="Times New Roman" w:cs="Times New Roman"/>
        </w:rPr>
        <w:fldChar w:fldCharType="begin"/>
      </w:r>
      <w:r w:rsidR="00606E23">
        <w:rPr>
          <w:rFonts w:ascii="Times New Roman" w:eastAsia="Times New Roman" w:hAnsi="Times New Roman" w:cs="Times New Roman"/>
        </w:rPr>
        <w:instrText xml:space="preserve"> ADDIN ZOTERO_ITEM CSL_CITATION {"citationID":"CTpochOo","properties":{"formattedCitation":"\\super 1\\nosupersub{}","plainCitation":"1","noteIndex":0},"citationItems":[{"id":131,"uris":["http://zotero.org/users/local/ihhrhKXJ/items/LH7SK7EK"],"itemData":{"id":131,"type":"chapter","container-title":"IPCC AR6 WGI, Final Government Distribution","page":"chapter 5","source":"HAL Archives Ouvertes","title":"Global Carbon and other Biogeochemical Cycles and Feedbacks","URL":"https://hal.science/hal-03336145","author":[{"family":"Canadell","given":"Josep G."},{"family":"Monteiro","given":"Pedro M.S."},{"family":"Costa","given":"Marcos H."},{"family":"Cunha","given":"Leticia Cotrim Da"},{"family":"Cox","given":"Peter M."},{"family":"Eliseev","given":"Alexey V."},{"family":"Henson","given":"Stephanie"},{"family":"Ishii","given":"Masao"},{"family":"Jaccard","given":"Samuel"},{"family":"Koven","given":"Charles"},{"family":"Lohila","given":"Annalea"},{"family":"Patra","given":"Prabir K."},{"family":"Piao","given":"Shilong"},{"family":"Syampungani","given":"Stephen"},{"family":"Zaehle","given":"Sönke"},{"family":"Zickfeld","given":"Kirsten"},{"family":"Alexandrov","given":"Georgii A."},{"family":"Bala","given":"Govindasamy"},{"family":"Bopp","given":"Laurent"},{"family":"Boysen","given":"Lena"},{"family":"Cao","given":"Long"},{"family":"Chandra","given":"Naveen"},{"family":"Ciais","given":"Philippe"},{"family":"Denisov","given":"Sergey N."},{"family":"Dentener","given":"Frank J."},{"family":"Douville","given":"Hervé"},{"family":"Fay","given":"Amanda"},{"family":"Forster","given":"Piers"},{"family":"Fox-Kemper","given":"Baylor"},{"family":"Friedlingstein","given":"Pierre"},{"family":"Fu","given":"Weiwei"},{"family":"Fuss","given":"Sabine"},{"family":"Garcon","given":"Veronique"},{"family":"Gier","given":"Bettina"},{"family":"Gillett","given":"Nathan P."},{"family":"Gregor","given":"Luke"},{"family":"Haustein","given":"Karsten"},{"family":"Haverd","given":"Vanessa"},{"family":"He","given":"Jian"},{"family":"Hewitt","given":"Helene T."},{"family":"Hoffman","given":"Forrest M."},{"family":"Ilyina","given":"Tatiana"},{"family":"Jackson","given":"Robert"},{"family":"Jones","given":"Christopher"},{"family":"Keller","given":"David P."},{"family":"Kwiatkowski","given":"Lester"},{"family":"Lamboll","given":"Robin D."},{"family":"Lan","given":"Xin"},{"family":"Laufkötter","given":"Charlotte"},{"family":"Quéré","given":"Corinne Le"},{"family":"Lenton","given":"Andrew"},{"family":"Lewis","given":"Jared"},{"family":"Liddicoat","given":"Spencer"},{"family":"Lorenzoni","given":"Laura"},{"family":"Lovenduski","given":"Nicole"},{"family":"Macdougall","given":"Andrew H."},{"family":"Mathesius","given":"Sabine"},{"family":"Matthews","given":"Damon H."},{"family":"Meinshausen","given":"Malte"},{"family":"Mokhov","given":"Igor I."},{"family":"Naik","given":"Vaishali"},{"family":"Nicholls","given":"Zebedee R. J."},{"family":"Nurhati","given":"Intan Suci"},{"family":"O'sullivan","given":"Michael"},{"family":"Peters","given":"Glen"},{"family":"Pongratz","given":"Julia"},{"family":"Poulter","given":"Benjamin"},{"family":"Sallée","given":"Jean-Baptiste"},{"family":"Saunois","given":"Marielle"},{"family":"Schuur","given":"Edward A.G."},{"family":"I.Seneviratne","given":"Sonia"},{"family":"Stavert","given":"Ann"},{"family":"Suntharalingam","given":"Parvadha"},{"family":"Tachiiri","given":"Kaoru"},{"family":"Terhaar","given":"Jens"},{"family":"Thompson","given":"Rona"},{"family":"Tian","given":"Hanqin"},{"family":"Turnbull","given":"Jocelyn"},{"family":"Vicente-Serrano","given":"Sergio M."},{"family":"Wang","given":"Xuhui"},{"family":"Wanninkhof","given":"Rik H."},{"family":"Williamson","given":"Phil"},{"family":"Brovkin","given":"Victor"},{"family":"Feely","given":"Richard A."},{"family":"Lebehot","given":"Alice D."}],"accessed":{"date-parts":[["2023",12,22]]},"issued":{"date-parts":[["2021"]]}}}],"schema":"https://github.com/citation-style-language/schema/raw/master/csl-citation.json"} </w:instrText>
      </w:r>
      <w:r w:rsidR="00606E23">
        <w:rPr>
          <w:rFonts w:ascii="Times New Roman" w:eastAsia="Times New Roman" w:hAnsi="Times New Roman" w:cs="Times New Roman"/>
        </w:rPr>
        <w:fldChar w:fldCharType="separate"/>
      </w:r>
      <w:r w:rsidR="00606E23" w:rsidRPr="00606E23">
        <w:rPr>
          <w:rFonts w:ascii="Times New Roman" w:hAnsi="Times New Roman" w:cs="Times New Roman"/>
          <w:vertAlign w:val="superscript"/>
          <w:lang w:val="en-US"/>
        </w:rPr>
        <w:t>1</w:t>
      </w:r>
      <w:r w:rsidR="00606E23">
        <w:rPr>
          <w:rFonts w:ascii="Times New Roman" w:eastAsia="Times New Roman" w:hAnsi="Times New Roman" w:cs="Times New Roman"/>
        </w:rPr>
        <w:fldChar w:fldCharType="end"/>
      </w:r>
      <w:r>
        <w:rPr>
          <w:rFonts w:ascii="Times New Roman" w:eastAsia="Times New Roman" w:hAnsi="Times New Roman" w:cs="Times New Roman"/>
        </w:rPr>
        <w:t>. The oceanic sink is strengthened when the OCO-2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data are used in the inversions, producing -2.51±0.11 PgC yr</w:t>
      </w:r>
      <w:r>
        <w:rPr>
          <w:rFonts w:ascii="Times New Roman" w:eastAsia="Times New Roman" w:hAnsi="Times New Roman" w:cs="Times New Roman"/>
          <w:vertAlign w:val="superscript"/>
        </w:rPr>
        <w:t>-1</w:t>
      </w:r>
      <w:r>
        <w:rPr>
          <w:rFonts w:ascii="Times New Roman" w:eastAsia="Times New Roman" w:hAnsi="Times New Roman" w:cs="Times New Roman"/>
        </w:rPr>
        <w:t xml:space="preserve"> and a land sink of -1.90±0.61 PgC yr</w:t>
      </w:r>
      <w:r>
        <w:rPr>
          <w:rFonts w:ascii="Times New Roman" w:eastAsia="Times New Roman" w:hAnsi="Times New Roman" w:cs="Times New Roman"/>
          <w:vertAlign w:val="superscript"/>
        </w:rPr>
        <w:t>-1</w:t>
      </w:r>
      <w:r>
        <w:rPr>
          <w:rFonts w:ascii="Times New Roman" w:eastAsia="Times New Roman" w:hAnsi="Times New Roman" w:cs="Times New Roman"/>
        </w:rPr>
        <w:t xml:space="preserve"> (middle column, Table S4 and S5). It is desired to reduce the range of global total land and ocean uptake estimation for better accounting of carbon sources and sinks.</w:t>
      </w: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734050" cy="3731676"/>
            <wp:effectExtent l="0" t="0" r="0" b="0"/>
            <wp:docPr id="4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t="2609" b="2476"/>
                    <a:stretch>
                      <a:fillRect/>
                    </a:stretch>
                  </pic:blipFill>
                  <pic:spPr>
                    <a:xfrm>
                      <a:off x="0" y="0"/>
                      <a:ext cx="5734050" cy="3731676"/>
                    </a:xfrm>
                    <a:prstGeom prst="rect">
                      <a:avLst/>
                    </a:prstGeom>
                    <a:ln/>
                  </pic:spPr>
                </pic:pic>
              </a:graphicData>
            </a:graphic>
          </wp:inline>
        </w:drawing>
      </w: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imes New Roman" w:hAnsi="Times New Roman" w:cs="Times New Roman"/>
        </w:rPr>
      </w:pPr>
    </w:p>
    <w:p w:rsidR="00A73BDC" w:rsidRDefault="00000000" w:rsidP="00832F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480" w:lineRule="auto"/>
        <w:jc w:val="both"/>
        <w:rPr>
          <w:rFonts w:ascii="Times New Roman" w:eastAsia="Times New Roman" w:hAnsi="Times New Roman" w:cs="Times New Roman"/>
        </w:rPr>
      </w:pPr>
      <w:r>
        <w:rPr>
          <w:rFonts w:ascii="Times New Roman" w:eastAsia="Times New Roman" w:hAnsi="Times New Roman" w:cs="Times New Roman"/>
          <w:b/>
        </w:rPr>
        <w:t>Figure S1:</w:t>
      </w:r>
      <w:r>
        <w:rPr>
          <w:rFonts w:ascii="Times New Roman" w:eastAsia="Times New Roman" w:hAnsi="Times New Roman" w:cs="Times New Roman"/>
        </w:rPr>
        <w:t xml:space="preserve"> Land-ocean partitioning of annual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flux estimated by the inversions using in-situ and </w:t>
      </w:r>
      <w:r>
        <w:rPr>
          <w:rFonts w:ascii="Times New Roman" w:eastAsia="Times New Roman" w:hAnsi="Times New Roman" w:cs="Times New Roman"/>
        </w:rPr>
        <w:lastRenderedPageBreak/>
        <w:t>OCO2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data. Upper (lower) row shows land (ocean) flux. Columns represent (a) IS, (b) LNLG and (c) LNLGIS inversions. All OCO-2 v10 MIP models are shown here for reference. The mean and median do not include NC22.</w:t>
      </w:r>
    </w:p>
    <w:p w:rsidR="00A73BDC" w:rsidRDefault="00000000"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Rationale for selecting IS and LNLG inversions (two extremes)</w:t>
      </w:r>
    </w:p>
    <w:p w:rsidR="00A73BDC" w:rsidRDefault="00000000"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480" w:lineRule="auto"/>
        <w:jc w:val="both"/>
        <w:rPr>
          <w:rFonts w:ascii="Times New Roman" w:eastAsia="Times New Roman" w:hAnsi="Times New Roman" w:cs="Times New Roman"/>
        </w:rPr>
      </w:pPr>
      <w:r>
        <w:rPr>
          <w:rFonts w:ascii="Times New Roman" w:eastAsia="Times New Roman" w:hAnsi="Times New Roman" w:cs="Times New Roman"/>
        </w:rPr>
        <w:t>Figure S2 and S3 are showing the regional sources and sinks of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over 15 land divisions and 11 ocean divisions, respectively, as estimated by OCO-2 v10 MIP inversions and prior fluxes in comparison with those from MIROC4-ACTM inversions. All the inversion fluxes for each of the land regions and global totals show much smaller 1-σ standard deviations compared to the prior flux differences. The inversions using surface measurements (IS case) show weaker sink/source with greater uncertainty over Brazil and Northern Africa compared to the inversions including OCO-2 data (LNLG, LNLGIS). The latter two inversions using OCO-2 data suggest a stronger source and with much smaller uncertainty over the tropical land regions, which are lacking IS observations.  </w:t>
      </w:r>
    </w:p>
    <w:p w:rsidR="00A73BDC" w:rsidRDefault="00000000" w:rsidP="0067428E">
      <w:pPr>
        <w:spacing w:line="480" w:lineRule="auto"/>
        <w:jc w:val="both"/>
        <w:rPr>
          <w:rFonts w:ascii="Times New Roman" w:eastAsia="Times New Roman" w:hAnsi="Times New Roman" w:cs="Times New Roman"/>
        </w:rPr>
      </w:pPr>
      <w:r>
        <w:rPr>
          <w:rFonts w:ascii="Times New Roman" w:eastAsia="Times New Roman" w:hAnsi="Times New Roman" w:cs="Times New Roman"/>
        </w:rPr>
        <w:t>NC22 fluxes show good agreement with BB22 results, except for Tropical America, Europe, Russia, Southeast Asia.</w:t>
      </w:r>
    </w:p>
    <w:p w:rsidR="00A73BDC" w:rsidRDefault="00A73BDC">
      <w:pPr>
        <w:spacing w:line="240" w:lineRule="auto"/>
        <w:jc w:val="both"/>
        <w:rPr>
          <w:rFonts w:ascii="Times New Roman" w:eastAsia="Times New Roman" w:hAnsi="Times New Roman" w:cs="Times New Roman"/>
        </w:rPr>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bookmarkStart w:id="0" w:name="_heading=h.gjdgxs" w:colFirst="0" w:colLast="0"/>
      <w:bookmarkEnd w:id="0"/>
      <w:r>
        <w:rPr>
          <w:rFonts w:ascii="Times New Roman" w:eastAsia="Times New Roman" w:hAnsi="Times New Roman" w:cs="Times New Roman"/>
          <w:noProof/>
        </w:rPr>
        <w:drawing>
          <wp:inline distT="114300" distB="114300" distL="114300" distR="114300">
            <wp:extent cx="5731200" cy="2794000"/>
            <wp:effectExtent l="0" t="0" r="0" b="0"/>
            <wp:docPr id="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731200" cy="2794000"/>
                    </a:xfrm>
                    <a:prstGeom prst="rect">
                      <a:avLst/>
                    </a:prstGeom>
                    <a:ln/>
                  </pic:spPr>
                </pic:pic>
              </a:graphicData>
            </a:graphic>
          </wp:inline>
        </w:drawing>
      </w:r>
      <w:bookmarkStart w:id="1" w:name="_heading=h.30j0zll" w:colFirst="0" w:colLast="0"/>
      <w:bookmarkEnd w:id="1"/>
    </w:p>
    <w:p w:rsidR="00A73BDC" w:rsidRDefault="00000000" w:rsidP="00832F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00" w:line="480" w:lineRule="auto"/>
        <w:jc w:val="both"/>
        <w:rPr>
          <w:rFonts w:ascii="Times New Roman" w:eastAsia="Times New Roman" w:hAnsi="Times New Roman" w:cs="Times New Roman"/>
        </w:rPr>
      </w:pPr>
      <w:r>
        <w:rPr>
          <w:rFonts w:ascii="Times New Roman" w:eastAsia="Times New Roman" w:hAnsi="Times New Roman" w:cs="Times New Roman"/>
          <w:b/>
        </w:rPr>
        <w:t xml:space="preserve">Figure S2: </w:t>
      </w:r>
      <w:r>
        <w:rPr>
          <w:rFonts w:ascii="Times New Roman" w:eastAsia="Times New Roman" w:hAnsi="Times New Roman" w:cs="Times New Roman"/>
        </w:rPr>
        <w:t xml:space="preserve">Comparison of </w:t>
      </w:r>
      <w:proofErr w:type="gramStart"/>
      <w:r>
        <w:rPr>
          <w:rFonts w:ascii="Times New Roman" w:eastAsia="Times New Roman" w:hAnsi="Times New Roman" w:cs="Times New Roman"/>
        </w:rPr>
        <w:t>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ocean</w:t>
      </w:r>
      <w:proofErr w:type="gramEnd"/>
      <w:r>
        <w:rPr>
          <w:rFonts w:ascii="Times New Roman" w:eastAsia="Times New Roman" w:hAnsi="Times New Roman" w:cs="Times New Roman"/>
        </w:rPr>
        <w:t xml:space="preserve"> fluxes estimated by OCO2 v10 -MIP inversions, i.e., BB22 [multi-model mean (bar chart) and 1-</w:t>
      </w:r>
      <w:r w:rsidR="00ED016D">
        <w:rPr>
          <w:rFonts w:ascii="Times New Roman" w:eastAsia="Times New Roman" w:hAnsi="Times New Roman" w:cs="Times New Roman"/>
        </w:rPr>
        <w:t>σ</w:t>
      </w:r>
      <w:r>
        <w:rPr>
          <w:rFonts w:ascii="Times New Roman" w:eastAsia="Times New Roman" w:hAnsi="Times New Roman" w:cs="Times New Roman"/>
        </w:rPr>
        <w:t xml:space="preserve"> standard deviation (error bar) in comparison with MIROC4-ACTM inversions, i.e., NC22 (symbols for 2 representative cases)] over 11 TransCom regions and global totals that are identified by the colour shading on the map. </w:t>
      </w:r>
    </w:p>
    <w:p w:rsidR="00A73BDC" w:rsidRDefault="00000000" w:rsidP="00832F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40"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When the fluxes are averaged over different inversion types for a given model (not shown), CAMS and TM5 show the weakest land sink, and OU and UT show the strongest sink. Only for Russia, all models under different inversion types result in a net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sink, and most regions in the northern temperate and high latitudes are most likely to be net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sink. Brazil and most of Africa are resulting in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sources to the atmosphere, whilst Tropical America, South Asia, Southeast Asia and Australia-NZ are appearing as neutral to a weak sink.</w:t>
      </w:r>
    </w:p>
    <w:p w:rsidR="00A73BDC" w:rsidRDefault="00000000" w:rsidP="00832F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40" w:line="480" w:lineRule="auto"/>
        <w:jc w:val="both"/>
        <w:rPr>
          <w:rFonts w:ascii="Times New Roman" w:eastAsia="Times New Roman" w:hAnsi="Times New Roman" w:cs="Times New Roman"/>
        </w:rPr>
      </w:pPr>
      <w:r>
        <w:rPr>
          <w:rFonts w:ascii="Times New Roman" w:eastAsia="Times New Roman" w:hAnsi="Times New Roman" w:cs="Times New Roman"/>
        </w:rPr>
        <w:t>By averaging all the models for a specific inversion type (Fig. S2), we find the inversion using all the OCO-2 data (case LNLGOG; not shown) produces a net source and some models using OG data also suggest global land as a source. Sinks over Temperate and Boreal North America are reduced and sources over Brazil and Northern Africa are increased when glint data OG data are used, with an exception to a large sink appearing in Central Africa. It is likely that the sun-glint OCO-2 data are biased low over both the in-land waters and ocean, as discussed already in BB22.</w:t>
      </w:r>
    </w:p>
    <w:p w:rsidR="00A73BDC" w:rsidRDefault="00000000" w:rsidP="00832F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731200" cy="2819400"/>
            <wp:effectExtent l="0" t="0" r="0" b="0"/>
            <wp:docPr id="4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731200" cy="2819400"/>
                    </a:xfrm>
                    <a:prstGeom prst="rect">
                      <a:avLst/>
                    </a:prstGeom>
                    <a:ln/>
                  </pic:spPr>
                </pic:pic>
              </a:graphicData>
            </a:graphic>
          </wp:inline>
        </w:drawing>
      </w:r>
    </w:p>
    <w:p w:rsidR="00A73BDC" w:rsidRDefault="00000000" w:rsidP="00832FBB">
      <w:pPr>
        <w:spacing w:after="240" w:line="480" w:lineRule="auto"/>
        <w:jc w:val="both"/>
        <w:rPr>
          <w:rFonts w:ascii="Times New Roman" w:eastAsia="Times New Roman" w:hAnsi="Times New Roman" w:cs="Times New Roman"/>
        </w:rPr>
      </w:pPr>
      <w:r>
        <w:rPr>
          <w:rFonts w:ascii="Times New Roman" w:eastAsia="Times New Roman" w:hAnsi="Times New Roman" w:cs="Times New Roman"/>
          <w:b/>
        </w:rPr>
        <w:t>Figure S3:</w:t>
      </w:r>
      <w:r>
        <w:rPr>
          <w:rFonts w:ascii="Times New Roman" w:eastAsia="Times New Roman" w:hAnsi="Times New Roman" w:cs="Times New Roman"/>
        </w:rPr>
        <w:t xml:space="preserve"> Comparison of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land fluxes estimated by OCO2 v10 MIP inversions, i.e., BB22 [multi-model </w:t>
      </w:r>
      <w:proofErr w:type="gramStart"/>
      <w:r>
        <w:rPr>
          <w:rFonts w:ascii="Times New Roman" w:eastAsia="Times New Roman" w:hAnsi="Times New Roman" w:cs="Times New Roman"/>
        </w:rPr>
        <w:t>mean</w:t>
      </w:r>
      <w:proofErr w:type="gramEnd"/>
      <w:r>
        <w:rPr>
          <w:rFonts w:ascii="Times New Roman" w:eastAsia="Times New Roman" w:hAnsi="Times New Roman" w:cs="Times New Roman"/>
        </w:rPr>
        <w:t xml:space="preserve"> (bar chart) and 1-</w:t>
      </w:r>
      <w:r w:rsidR="00EA7EEF">
        <w:rPr>
          <w:rFonts w:ascii="Times New Roman" w:eastAsia="Times New Roman" w:hAnsi="Times New Roman" w:cs="Times New Roman"/>
        </w:rPr>
        <w:t>σ</w:t>
      </w:r>
      <w:r>
        <w:rPr>
          <w:rFonts w:ascii="Times New Roman" w:eastAsia="Times New Roman" w:hAnsi="Times New Roman" w:cs="Times New Roman"/>
        </w:rPr>
        <w:t xml:space="preserve"> standard deviation (error bar) in comparison with MIROC4-ACTM inversions, i.e., NC22 (symbols for 2 representative cases)] over 15 land regions that are identified by the colour shading on the map.</w:t>
      </w:r>
    </w:p>
    <w:p w:rsidR="00A73BDC" w:rsidRDefault="00000000"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Among all the regions, only the Northern Ocean, North Pacific, South Indian and Southern Oceans </w:t>
      </w:r>
      <w:r>
        <w:rPr>
          <w:rFonts w:ascii="Times New Roman" w:eastAsia="Times New Roman" w:hAnsi="Times New Roman" w:cs="Times New Roman"/>
        </w:rPr>
        <w:lastRenderedPageBreak/>
        <w:t>show net sinks in all inversions (Fig. S3). The North and South Atlantic are also estimated to be sinks of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by most of the models. We find very large variabilities in the fluxes estimated by different inversion types by each of the models.</w:t>
      </w:r>
    </w:p>
    <w:p w:rsidR="00A73BDC" w:rsidRDefault="00000000"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Cleaner results are obtained for the different inversion types when averaged over all models (bottom figure), for the all regions in the cases of IS, LG, LN and LNLG inversions, i.e., without using the OG data. The North Atlantic sink is increased by the use of OCO-2, which is apparently a result of compensating the large source increase over the Northern Africa region. Three cases of MIROC4-ACTM inversions using in situ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data are shown in Fig. S2 and Fig. S3 as symbols, for comparison with the OCO-2 v10 MIP IS inversion results. </w:t>
      </w:r>
    </w:p>
    <w:p w:rsidR="00A73BDC" w:rsidRDefault="00000000"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We consider the IS and LNLG inversion fluxes as two extreme cases of among the 3 OCO-2 v10 MIP inversions considered in this study, and will sufficiently cover the full range of flux diversity for our analysis.</w:t>
      </w: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832FBB" w:rsidRPr="0067428E" w:rsidRDefault="00832FBB" w:rsidP="00674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A73BDC" w:rsidRDefault="00000000">
      <w:r>
        <w:rPr>
          <w:noProof/>
        </w:rPr>
        <w:lastRenderedPageBreak/>
        <w:drawing>
          <wp:inline distT="114300" distB="114300" distL="114300" distR="114300">
            <wp:extent cx="5562600" cy="2744339"/>
            <wp:effectExtent l="0" t="0" r="0" b="0"/>
            <wp:docPr id="3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b="8249"/>
                    <a:stretch>
                      <a:fillRect/>
                    </a:stretch>
                  </pic:blipFill>
                  <pic:spPr>
                    <a:xfrm>
                      <a:off x="0" y="0"/>
                      <a:ext cx="5562600" cy="2744339"/>
                    </a:xfrm>
                    <a:prstGeom prst="rect">
                      <a:avLst/>
                    </a:prstGeom>
                    <a:ln/>
                  </pic:spPr>
                </pic:pic>
              </a:graphicData>
            </a:graphic>
          </wp:inline>
        </w:drawing>
      </w:r>
    </w:p>
    <w:p w:rsidR="00A73BDC" w:rsidRDefault="00000000">
      <w:r>
        <w:rPr>
          <w:noProof/>
        </w:rPr>
        <w:drawing>
          <wp:inline distT="114300" distB="114300" distL="114300" distR="114300">
            <wp:extent cx="5731200" cy="3771900"/>
            <wp:effectExtent l="0" t="0" r="0" b="0"/>
            <wp:docPr id="4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31200" cy="3771900"/>
                    </a:xfrm>
                    <a:prstGeom prst="rect">
                      <a:avLst/>
                    </a:prstGeom>
                    <a:ln/>
                  </pic:spPr>
                </pic:pic>
              </a:graphicData>
            </a:graphic>
          </wp:inline>
        </w:drawing>
      </w:r>
    </w:p>
    <w:p w:rsidR="00A73BDC" w:rsidRDefault="00000000" w:rsidP="00832FBB">
      <w:pPr>
        <w:spacing w:after="240" w:line="480" w:lineRule="auto"/>
        <w:jc w:val="both"/>
        <w:rPr>
          <w:rFonts w:ascii="Times New Roman" w:eastAsia="Times New Roman" w:hAnsi="Times New Roman" w:cs="Times New Roman"/>
        </w:rPr>
      </w:pPr>
      <w:r>
        <w:rPr>
          <w:rFonts w:ascii="Times New Roman" w:eastAsia="Times New Roman" w:hAnsi="Times New Roman" w:cs="Times New Roman"/>
          <w:b/>
        </w:rPr>
        <w:t>Figure S4:</w:t>
      </w:r>
      <w:r>
        <w:rPr>
          <w:rFonts w:ascii="Times New Roman" w:eastAsia="Times New Roman" w:hAnsi="Times New Roman" w:cs="Times New Roman"/>
        </w:rPr>
        <w:t xml:space="preserve"> Global land-ocean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flux partitioning is shown for IS and LNLG inversions (top row; in the left and right column, respectively), which depicts a strong dipole with compact land-ocean flux anti-correlation. IPCC reference values and their STDEV are plotted as red circle with error bars, while BB22 and NC22 inversions are also depicted (legend at the bottom).</w:t>
      </w:r>
    </w:p>
    <w:p w:rsidR="00A73BDC" w:rsidRDefault="00000000" w:rsidP="00B43AFE">
      <w:pPr>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The middle (IS) and bottom (LNLG) rows show (land+ocean) flux dipoles for the northern vs southern hemisphere (left column), southern vs northern tropics (middle column), and northern extratropics vs </w:t>
      </w:r>
      <w:r>
        <w:rPr>
          <w:rFonts w:ascii="Times New Roman" w:eastAsia="Times New Roman" w:hAnsi="Times New Roman" w:cs="Times New Roman"/>
        </w:rPr>
        <w:lastRenderedPageBreak/>
        <w:t>tropics, for IS (top row) and LNLG (bottom row). The correlation between fluxes for other regional combinations are also checked, and found to have weaker correlations, as given below:</w:t>
      </w:r>
    </w:p>
    <w:p w:rsidR="00A73BDC" w:rsidRDefault="00000000" w:rsidP="00B43AFE">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 -90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vs. 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N (</w:t>
      </w:r>
      <w:r>
        <w:rPr>
          <w:rFonts w:ascii="Times New Roman" w:eastAsia="Times New Roman" w:hAnsi="Times New Roman" w:cs="Times New Roman"/>
          <w:i/>
          <w:sz w:val="20"/>
          <w:szCs w:val="20"/>
        </w:rPr>
        <w:t>y</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-2.21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(r=-0.31) (for IS);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-1.28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(r=-0.56) (for LNLG)</w:t>
      </w:r>
    </w:p>
    <w:p w:rsidR="00A73BDC" w:rsidRDefault="00000000" w:rsidP="00B43AFE">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N-90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N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vs.   0</w:t>
      </w:r>
      <w:r>
        <w:rPr>
          <w:rFonts w:ascii="Times New Roman" w:eastAsia="Times New Roman" w:hAnsi="Times New Roman" w:cs="Times New Roman"/>
          <w:sz w:val="16"/>
          <w:szCs w:val="16"/>
          <w:vertAlign w:val="superscript"/>
        </w:rPr>
        <w:t xml:space="preserve">o </w:t>
      </w:r>
      <w:r>
        <w:rPr>
          <w:rFonts w:ascii="Times New Roman" w:eastAsia="Times New Roman" w:hAnsi="Times New Roman" w:cs="Times New Roman"/>
          <w:sz w:val="20"/>
          <w:szCs w:val="20"/>
        </w:rPr>
        <w:t>- 30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N (</w:t>
      </w:r>
      <w:r>
        <w:rPr>
          <w:rFonts w:ascii="Times New Roman" w:eastAsia="Times New Roman" w:hAnsi="Times New Roman" w:cs="Times New Roman"/>
          <w:i/>
          <w:sz w:val="20"/>
          <w:szCs w:val="20"/>
        </w:rPr>
        <w:t>y</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-2.03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(r=-0.67) (for IS);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-2.29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(r=-0.56) (for LNLG)</w:t>
      </w:r>
    </w:p>
    <w:p w:rsidR="00A73BDC" w:rsidRDefault="00000000" w:rsidP="00B43AFE">
      <w:pPr>
        <w:spacing w:after="200" w:line="480" w:lineRule="auto"/>
        <w:jc w:val="both"/>
        <w:rPr>
          <w:rFonts w:ascii="Times New Roman" w:eastAsia="Times New Roman" w:hAnsi="Times New Roman" w:cs="Times New Roman"/>
          <w:b/>
        </w:rPr>
      </w:pPr>
      <w:r>
        <w:rPr>
          <w:rFonts w:ascii="Times New Roman" w:eastAsia="Times New Roman" w:hAnsi="Times New Roman" w:cs="Times New Roman"/>
          <w:sz w:val="20"/>
          <w:szCs w:val="20"/>
        </w:rPr>
        <w:t>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 -90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vs.   0</w:t>
      </w:r>
      <w:r>
        <w:rPr>
          <w:rFonts w:ascii="Times New Roman" w:eastAsia="Times New Roman" w:hAnsi="Times New Roman" w:cs="Times New Roman"/>
          <w:sz w:val="16"/>
          <w:szCs w:val="16"/>
          <w:vertAlign w:val="superscript"/>
        </w:rPr>
        <w:t xml:space="preserve">o </w:t>
      </w:r>
      <w:r>
        <w:rPr>
          <w:rFonts w:ascii="Times New Roman" w:eastAsia="Times New Roman" w:hAnsi="Times New Roman" w:cs="Times New Roman"/>
          <w:sz w:val="20"/>
          <w:szCs w:val="20"/>
        </w:rPr>
        <w:t>- 30</w:t>
      </w:r>
      <w:r>
        <w:rPr>
          <w:rFonts w:ascii="Times New Roman" w:eastAsia="Times New Roman" w:hAnsi="Times New Roman" w:cs="Times New Roman"/>
          <w:sz w:val="16"/>
          <w:szCs w:val="16"/>
          <w:vertAlign w:val="superscript"/>
        </w:rPr>
        <w:t>o</w:t>
      </w:r>
      <w:r>
        <w:rPr>
          <w:rFonts w:ascii="Times New Roman" w:eastAsia="Times New Roman" w:hAnsi="Times New Roman" w:cs="Times New Roman"/>
          <w:sz w:val="20"/>
          <w:szCs w:val="20"/>
        </w:rPr>
        <w:t>S (</w:t>
      </w:r>
      <w:r>
        <w:rPr>
          <w:rFonts w:ascii="Times New Roman" w:eastAsia="Times New Roman" w:hAnsi="Times New Roman" w:cs="Times New Roman"/>
          <w:i/>
          <w:sz w:val="20"/>
          <w:szCs w:val="20"/>
        </w:rPr>
        <w:t>y</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-3.38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(r=-0.61) (for IS);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 -1.96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(r=-0.35) (for LNLG)</w:t>
      </w:r>
    </w:p>
    <w:p w:rsidR="00A73BDC" w:rsidRDefault="00000000">
      <w:pPr>
        <w:jc w:val="both"/>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extent cx="5731200" cy="2997200"/>
            <wp:effectExtent l="0" t="0" r="0" b="0"/>
            <wp:docPr id="4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5731200" cy="2997200"/>
                    </a:xfrm>
                    <a:prstGeom prst="rect">
                      <a:avLst/>
                    </a:prstGeom>
                    <a:ln/>
                  </pic:spPr>
                </pic:pic>
              </a:graphicData>
            </a:graphic>
          </wp:inline>
        </w:drawing>
      </w:r>
    </w:p>
    <w:p w:rsidR="00A73BDC" w:rsidRDefault="00000000" w:rsidP="00832FBB">
      <w:pPr>
        <w:spacing w:after="240" w:line="480" w:lineRule="auto"/>
        <w:jc w:val="both"/>
        <w:rPr>
          <w:rFonts w:ascii="Times New Roman" w:eastAsia="Times New Roman" w:hAnsi="Times New Roman" w:cs="Times New Roman"/>
        </w:rPr>
      </w:pPr>
      <w:r>
        <w:rPr>
          <w:rFonts w:ascii="Times New Roman" w:eastAsia="Times New Roman" w:hAnsi="Times New Roman" w:cs="Times New Roman"/>
          <w:b/>
        </w:rPr>
        <w:t>Figure S5</w:t>
      </w:r>
      <w:r>
        <w:rPr>
          <w:rFonts w:ascii="Times New Roman" w:eastAsia="Times New Roman" w:hAnsi="Times New Roman" w:cs="Times New Roman"/>
        </w:rPr>
        <w:t xml:space="preserve">: Maps of multi-model means (left columns) and 1-sigma STDEVs (right column) of bias (model-observation) at fifty background sites. NOAA GML site code name of those sites </w:t>
      </w:r>
      <w:proofErr w:type="gramStart"/>
      <w:r>
        <w:rPr>
          <w:rFonts w:ascii="Times New Roman" w:eastAsia="Times New Roman" w:hAnsi="Times New Roman" w:cs="Times New Roman"/>
        </w:rPr>
        <w:t>are</w:t>
      </w:r>
      <w:proofErr w:type="gramEnd"/>
      <w:r>
        <w:rPr>
          <w:rFonts w:ascii="Times New Roman" w:eastAsia="Times New Roman" w:hAnsi="Times New Roman" w:cs="Times New Roman"/>
        </w:rPr>
        <w:t xml:space="preserve"> mentioned in blue </w:t>
      </w:r>
      <w:proofErr w:type="spellStart"/>
      <w:r>
        <w:rPr>
          <w:rFonts w:ascii="Times New Roman" w:eastAsia="Times New Roman" w:hAnsi="Times New Roman" w:cs="Times New Roman"/>
        </w:rPr>
        <w:t>color</w:t>
      </w:r>
      <w:proofErr w:type="spellEnd"/>
      <w:r>
        <w:rPr>
          <w:rFonts w:ascii="Times New Roman" w:eastAsia="Times New Roman" w:hAnsi="Times New Roman" w:cs="Times New Roman"/>
        </w:rPr>
        <w:t>). The figure shows large bias and variability at the sites within the 30-60</w:t>
      </w:r>
      <w:r>
        <w:rPr>
          <w:rFonts w:ascii="Times New Roman" w:eastAsia="Times New Roman" w:hAnsi="Times New Roman" w:cs="Times New Roman"/>
          <w:vertAlign w:val="superscript"/>
        </w:rPr>
        <w:t>o</w:t>
      </w:r>
      <w:r>
        <w:rPr>
          <w:rFonts w:ascii="Times New Roman" w:eastAsia="Times New Roman" w:hAnsi="Times New Roman" w:cs="Times New Roman"/>
        </w:rPr>
        <w:t>N latitude bands, both over the land and ocean. Marker symbols indicate the inversion while the colour represents +</w:t>
      </w:r>
      <w:proofErr w:type="spellStart"/>
      <w:r>
        <w:rPr>
          <w:rFonts w:ascii="Times New Roman" w:eastAsia="Times New Roman" w:hAnsi="Times New Roman" w:cs="Times New Roman"/>
        </w:rPr>
        <w:t>ve</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ve</w:t>
      </w:r>
      <w:proofErr w:type="spellEnd"/>
      <w:r>
        <w:rPr>
          <w:rFonts w:ascii="Times New Roman" w:eastAsia="Times New Roman" w:hAnsi="Times New Roman" w:cs="Times New Roman"/>
        </w:rPr>
        <w:t xml:space="preserve"> bias/spread. Marker size shows magnitude of the positive bias/spread (marker size is constant for negative biases). Maximum and minimum positive values are given in the legend of each subplot.</w:t>
      </w:r>
    </w:p>
    <w:p w:rsidR="00A73BDC" w:rsidRDefault="00000000" w:rsidP="007435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rPr>
          <w:rFonts w:ascii="Times New Roman" w:eastAsia="Times New Roman" w:hAnsi="Times New Roman" w:cs="Times New Roman"/>
        </w:rPr>
      </w:pPr>
      <w:r>
        <w:rPr>
          <w:rFonts w:ascii="Times New Roman" w:eastAsia="Times New Roman" w:hAnsi="Times New Roman" w:cs="Times New Roman"/>
          <w:b/>
        </w:rPr>
        <w:t>Basic checks of MIROC4-ACTM simulations: Comparisons of growth rates</w:t>
      </w:r>
    </w:p>
    <w:p w:rsidR="00A73BDC" w:rsidRDefault="00000000" w:rsidP="007435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Growth rate (GR) is an important sanity check and therefore it is calculated and evaluated separately from four different datasets viz., In-situ, TCCON, GOSAT and OCO-2 during 2015-2020 in this section (Fig. S6 and S7).</w:t>
      </w:r>
    </w:p>
    <w:p w:rsidR="00A73BDC" w:rsidRDefault="00000000" w:rsidP="007435F7">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TCCON data: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measurements from upward looking Total Carbon Column Observing Network (TCCON: http://www.tccon.caltech.edu/). Because these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retrievals are made from the measurements of direct sunlight, the accuracy is considered to be better than satellite </w:t>
      </w:r>
      <w:r>
        <w:rPr>
          <w:rFonts w:ascii="Times New Roman" w:eastAsia="Times New Roman" w:hAnsi="Times New Roman" w:cs="Times New Roman"/>
        </w:rPr>
        <w:lastRenderedPageBreak/>
        <w:t>measurements, which are based on reflected light from the Earth surface. TCCON measurements are used for calibration of satellite measurements.</w:t>
      </w:r>
    </w:p>
    <w:p w:rsidR="00A73BDC" w:rsidRDefault="00000000" w:rsidP="007435F7">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GOSAT data: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measurement from Greenhouse gases Observing Satellite (GOSAT: https://www.gosat.nies.go.jp/en/). GOSAT is the first dedicated satellite for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and CH4 measurements, but the data coverage and instrumental precision is slightly poorer when compared with the OCO-2 retrievals. </w:t>
      </w:r>
    </w:p>
    <w:p w:rsidR="00A73BDC" w:rsidRPr="00A764FE" w:rsidRDefault="00000000" w:rsidP="007435F7">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40" w:line="480" w:lineRule="auto"/>
        <w:jc w:val="both"/>
        <w:rPr>
          <w:rFonts w:ascii="Times New Roman" w:eastAsia="Times New Roman" w:hAnsi="Times New Roman" w:cs="Times New Roman"/>
        </w:rPr>
      </w:pPr>
      <w:r>
        <w:rPr>
          <w:rFonts w:ascii="Times New Roman" w:eastAsia="Times New Roman" w:hAnsi="Times New Roman" w:cs="Times New Roman"/>
        </w:rPr>
        <w:t>OCO2</w:t>
      </w:r>
      <w:r w:rsidR="00B8364A">
        <w:rPr>
          <w:rFonts w:ascii="Times New Roman" w:eastAsia="Times New Roman" w:hAnsi="Times New Roman" w:cs="Times New Roman"/>
        </w:rPr>
        <w:t xml:space="preserve"> </w:t>
      </w:r>
      <w:r>
        <w:rPr>
          <w:rFonts w:ascii="Times New Roman" w:eastAsia="Times New Roman" w:hAnsi="Times New Roman" w:cs="Times New Roman"/>
        </w:rPr>
        <w:t>data: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measurements from Orbiting Carbon Observatory-2 (OCO-2: https://ocov2.jpl.nasa.gov/), which has been providing high density and </w:t>
      </w:r>
      <w:r w:rsidR="007C73A1">
        <w:rPr>
          <w:rFonts w:ascii="Times New Roman" w:eastAsia="Times New Roman" w:hAnsi="Times New Roman" w:cs="Times New Roman"/>
        </w:rPr>
        <w:t>high-quality</w:t>
      </w:r>
      <w:r>
        <w:rPr>
          <w:rFonts w:ascii="Times New Roman" w:eastAsia="Times New Roman" w:hAnsi="Times New Roman" w:cs="Times New Roman"/>
        </w:rPr>
        <w:t xml:space="preserve"> retrievals of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since 2014.</w:t>
      </w:r>
    </w:p>
    <w:p w:rsidR="00A73BDC" w:rsidRDefault="00000000" w:rsidP="007435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In contrast to BB22, here GR is calculated considering interannual variability which is noticed as large STDEVs in each panel especially in-situ data (Fig. S6). It is noted that 2015 is a clear outlier, as an effect of the strong El Niño of 2014-2016, which leads to higher STDEV in the calculation of both observed and model GRs. Observed GR varies as 2.64±0.39 ppm year</w:t>
      </w:r>
      <w:r>
        <w:rPr>
          <w:rFonts w:ascii="Times New Roman" w:eastAsia="Times New Roman" w:hAnsi="Times New Roman" w:cs="Times New Roman"/>
          <w:vertAlign w:val="superscript"/>
        </w:rPr>
        <w:t>-1</w:t>
      </w:r>
      <w:r>
        <w:rPr>
          <w:rFonts w:ascii="Times New Roman" w:eastAsia="Times New Roman" w:hAnsi="Times New Roman" w:cs="Times New Roman"/>
        </w:rPr>
        <w:t>, 2.56±0.49 ppm year</w:t>
      </w:r>
      <w:r>
        <w:rPr>
          <w:rFonts w:ascii="Times New Roman" w:eastAsia="Times New Roman" w:hAnsi="Times New Roman" w:cs="Times New Roman"/>
          <w:vertAlign w:val="superscript"/>
        </w:rPr>
        <w:t>-1</w:t>
      </w:r>
      <w:r>
        <w:rPr>
          <w:rFonts w:ascii="Times New Roman" w:eastAsia="Times New Roman" w:hAnsi="Times New Roman" w:cs="Times New Roman"/>
        </w:rPr>
        <w:t>, 2.64±0.41 ppm year</w:t>
      </w:r>
      <w:r>
        <w:rPr>
          <w:rFonts w:ascii="Times New Roman" w:eastAsia="Times New Roman" w:hAnsi="Times New Roman" w:cs="Times New Roman"/>
          <w:vertAlign w:val="superscript"/>
        </w:rPr>
        <w:t>-1</w:t>
      </w:r>
      <w:r>
        <w:rPr>
          <w:rFonts w:ascii="Times New Roman" w:eastAsia="Times New Roman" w:hAnsi="Times New Roman" w:cs="Times New Roman"/>
        </w:rPr>
        <w:t>, 2.57±0.37 ppm year</w:t>
      </w:r>
      <w:r>
        <w:rPr>
          <w:rFonts w:ascii="Times New Roman" w:eastAsia="Times New Roman" w:hAnsi="Times New Roman" w:cs="Times New Roman"/>
          <w:vertAlign w:val="superscript"/>
        </w:rPr>
        <w:t>-1</w:t>
      </w:r>
      <w:r>
        <w:rPr>
          <w:rFonts w:ascii="Times New Roman" w:eastAsia="Times New Roman" w:hAnsi="Times New Roman" w:cs="Times New Roman"/>
        </w:rPr>
        <w:t xml:space="preserve"> for in-situ, TCCON, GOSAT and OCO-2 respectively. Model GRs are generally in agreement with the observed GR.</w:t>
      </w: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5731200" cy="5588000"/>
            <wp:effectExtent l="0" t="0" r="0" b="0"/>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5731200" cy="5588000"/>
                    </a:xfrm>
                    <a:prstGeom prst="rect">
                      <a:avLst/>
                    </a:prstGeom>
                    <a:ln/>
                  </pic:spPr>
                </pic:pic>
              </a:graphicData>
            </a:graphic>
          </wp:inline>
        </w:drawing>
      </w:r>
    </w:p>
    <w:p w:rsidR="00A73BDC" w:rsidRDefault="00000000" w:rsidP="00FD4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240" w:line="480" w:lineRule="auto"/>
        <w:jc w:val="both"/>
        <w:rPr>
          <w:rFonts w:ascii="Times New Roman" w:eastAsia="Times New Roman" w:hAnsi="Times New Roman" w:cs="Times New Roman"/>
        </w:rPr>
      </w:pPr>
      <w:r>
        <w:rPr>
          <w:rFonts w:ascii="Times New Roman" w:eastAsia="Times New Roman" w:hAnsi="Times New Roman" w:cs="Times New Roman"/>
          <w:b/>
        </w:rPr>
        <w:t>Figure S6:</w:t>
      </w:r>
      <w:r>
        <w:rPr>
          <w:rFonts w:ascii="Times New Roman" w:eastAsia="Times New Roman" w:hAnsi="Times New Roman" w:cs="Times New Roman"/>
        </w:rPr>
        <w:t xml:space="preserve"> Comparisons of observed (black circle) and simulated multi-model mean growth rates (GRs) for in-situ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(a), TCCON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(b), GOSAT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(c) and OCO-2 XCO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(d). Simulated growth rates are shown for IS (green bar), LNLG (brown bar) and LNLGIS (cyan bar). The error bars depict GR interannual variability, where the values for each year are marked as the open symbols (e.g., 2015 GR = 2016 - 2015 annual means). All models are sampled at the time and locations of surface, TCCON, GOSAT and OCO-2 observations separately and annual means are calculated. 13 OCO2-MIP models are averaged for annual mean growth rates (open symbols) while the box-whiskers plots are representing model ensemble results. Two independent MIROC4-ACTM inversion cases are shown individually (gc3t and gvjf). </w:t>
      </w:r>
    </w:p>
    <w:p w:rsidR="00A73BDC" w:rsidRDefault="00000000" w:rsidP="00FD4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In addition, we also calculated GR considering inter-model variation (Fig. S7). In comparison to the </w:t>
      </w:r>
      <w:r>
        <w:rPr>
          <w:rFonts w:ascii="Times New Roman" w:eastAsia="Times New Roman" w:hAnsi="Times New Roman" w:cs="Times New Roman"/>
        </w:rPr>
        <w:lastRenderedPageBreak/>
        <w:t>earlier GR figure (Fig. S6), this figure closely matches with that of BB23 with much smaller standard deviations. Irrespective of the inversions, model GRs usually vary in the range of 2.45-2.65 ppm year</w:t>
      </w:r>
      <w:r>
        <w:rPr>
          <w:rFonts w:ascii="Times New Roman" w:eastAsia="Times New Roman" w:hAnsi="Times New Roman" w:cs="Times New Roman"/>
          <w:vertAlign w:val="superscript"/>
        </w:rPr>
        <w:t>-1</w:t>
      </w:r>
      <w:r>
        <w:rPr>
          <w:rFonts w:ascii="Times New Roman" w:eastAsia="Times New Roman" w:hAnsi="Times New Roman" w:cs="Times New Roman"/>
        </w:rPr>
        <w:t>.</w:t>
      </w:r>
    </w:p>
    <w:p w:rsidR="00A73BDC" w:rsidRDefault="00000000" w:rsidP="00FD4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rPr>
        <w:t>The lower mean growth rate for GOSAT sampling of the models compared to the observed (Fig. S6c, Fig. S7c) partly arise from the greater tropical source sensitivity of GOSAT at the beginning of the analysis time period (note the high measured growth rate for 2015 by &gt;0.2 ppm/</w:t>
      </w:r>
      <w:proofErr w:type="spellStart"/>
      <w:r>
        <w:rPr>
          <w:rFonts w:ascii="Times New Roman" w:eastAsia="Times New Roman" w:hAnsi="Times New Roman" w:cs="Times New Roman"/>
        </w:rPr>
        <w:t>yr</w:t>
      </w:r>
      <w:proofErr w:type="spellEnd"/>
      <w:r>
        <w:rPr>
          <w:rFonts w:ascii="Times New Roman" w:eastAsia="Times New Roman" w:hAnsi="Times New Roman" w:cs="Times New Roman"/>
        </w:rPr>
        <w:t xml:space="preserve">, compared to the models). This indicates that partial sampling of all emissions and removals is still present, but it is not </w:t>
      </w:r>
      <w:proofErr w:type="spellStart"/>
      <w:r>
        <w:rPr>
          <w:rFonts w:ascii="Times New Roman" w:eastAsia="Times New Roman" w:hAnsi="Times New Roman" w:cs="Times New Roman"/>
        </w:rPr>
        <w:t>not</w:t>
      </w:r>
      <w:proofErr w:type="spellEnd"/>
      <w:r>
        <w:rPr>
          <w:rFonts w:ascii="Times New Roman" w:eastAsia="Times New Roman" w:hAnsi="Times New Roman" w:cs="Times New Roman"/>
        </w:rPr>
        <w:t xml:space="preserve"> clear why the other 3 data streams are in very good agreement. It is possible that the small network size of in situ and TCCON observations failed to capture the tropical emission signals due to the El Niño, and OCO-2 has greater high latitude coverage than GOSAT for moderating tropical emission signals in the annual means of 2016. </w:t>
      </w:r>
    </w:p>
    <w:p w:rsidR="00A73BDC" w:rsidRDefault="00A73BDC" w:rsidP="00FD4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p>
    <w:p w:rsidR="00A73BDC" w:rsidRPr="00DA7D34" w:rsidRDefault="00000000" w:rsidP="00DA7D3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5731200" cy="5588000"/>
            <wp:effectExtent l="0" t="0" r="0" b="0"/>
            <wp:docPr id="4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731200" cy="5588000"/>
                    </a:xfrm>
                    <a:prstGeom prst="rect">
                      <a:avLst/>
                    </a:prstGeom>
                    <a:ln/>
                  </pic:spPr>
                </pic:pic>
              </a:graphicData>
            </a:graphic>
          </wp:inline>
        </w:drawing>
      </w:r>
    </w:p>
    <w:p w:rsidR="00A73BDC" w:rsidRDefault="00000000" w:rsidP="00FD442B">
      <w:pPr>
        <w:spacing w:after="200" w:line="480" w:lineRule="auto"/>
        <w:jc w:val="both"/>
        <w:rPr>
          <w:rFonts w:ascii="Times New Roman" w:eastAsia="Times New Roman" w:hAnsi="Times New Roman" w:cs="Times New Roman"/>
        </w:rPr>
      </w:pPr>
      <w:r>
        <w:rPr>
          <w:rFonts w:ascii="Times New Roman" w:eastAsia="Times New Roman" w:hAnsi="Times New Roman" w:cs="Times New Roman"/>
          <w:b/>
        </w:rPr>
        <w:t>Figure S7:</w:t>
      </w:r>
      <w:r>
        <w:rPr>
          <w:rFonts w:ascii="Times New Roman" w:eastAsia="Times New Roman" w:hAnsi="Times New Roman" w:cs="Times New Roman"/>
        </w:rPr>
        <w:t xml:space="preserve"> Multi-model mean of 2015-2020 average GRs for observed and simulated CO</w:t>
      </w:r>
      <w:r>
        <w:rPr>
          <w:rFonts w:ascii="Times New Roman" w:eastAsia="Times New Roman" w:hAnsi="Times New Roman" w:cs="Times New Roman"/>
          <w:vertAlign w:val="subscript"/>
        </w:rPr>
        <w:t>2</w:t>
      </w:r>
      <w:r>
        <w:rPr>
          <w:rFonts w:ascii="Times New Roman" w:eastAsia="Times New Roman" w:hAnsi="Times New Roman" w:cs="Times New Roman"/>
        </w:rPr>
        <w:t xml:space="preserve"> concentrations; In-situ (a), TCCON (b), GOSAT (c), and OCO-2 (d). Each box-whisker is calculated considering GR from 13 OCO-2 v10 MIP models. MIROC4-ACTM is separately plotted (filled colour circle). In each panel, observed GR in each year is drawn with colored open circle and that for 2015-2020 average GR with a black filled circle. </w:t>
      </w: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5731200" cy="3136900"/>
            <wp:effectExtent l="0" t="0" r="0" b="0"/>
            <wp:docPr id="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5731200" cy="3136900"/>
                    </a:xfrm>
                    <a:prstGeom prst="rect">
                      <a:avLst/>
                    </a:prstGeom>
                    <a:ln/>
                  </pic:spPr>
                </pic:pic>
              </a:graphicData>
            </a:graphic>
          </wp:inline>
        </w:drawing>
      </w:r>
    </w:p>
    <w:p w:rsidR="00A73BDC" w:rsidRDefault="00000000" w:rsidP="00FD44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b/>
        </w:rPr>
        <w:t>Fig. S8:</w:t>
      </w:r>
      <w:r>
        <w:rPr>
          <w:rFonts w:ascii="Times New Roman" w:eastAsia="Times New Roman" w:hAnsi="Times New Roman" w:cs="Times New Roman"/>
        </w:rPr>
        <w:t xml:space="preserve"> Multi-model mean and 1-</w:t>
      </w:r>
      <w:r w:rsidR="00B8748A">
        <w:rPr>
          <w:rFonts w:ascii="Times New Roman" w:eastAsia="Times New Roman" w:hAnsi="Times New Roman" w:cs="Times New Roman"/>
        </w:rPr>
        <w:t>σ</w:t>
      </w:r>
      <w:r>
        <w:rPr>
          <w:rFonts w:ascii="Times New Roman" w:eastAsia="Times New Roman" w:hAnsi="Times New Roman" w:cs="Times New Roman"/>
        </w:rPr>
        <w:t xml:space="preserve"> spread of the bias (model - observation) for each of the 50 background sites. This information is embedded in Figure 3, but is difficult to read. Uncertainty input for different latitude bands, needed in the emergent constraint calculation (Figure 4 in the main text), are computed based on these spreads. Calculation procedure is detailed in the methodology section (2nd paragraph of the “Emergent constraint formulation” subsection). </w:t>
      </w: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rPr>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b/>
        </w:rPr>
      </w:pPr>
      <w:r>
        <w:br w:type="page"/>
      </w:r>
    </w:p>
    <w:p w:rsidR="00A73BDC" w:rsidRDefault="00000000" w:rsidP="00C659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b/>
        </w:rPr>
        <w:lastRenderedPageBreak/>
        <w:t>Table S1.</w:t>
      </w:r>
      <w:r>
        <w:rPr>
          <w:rFonts w:ascii="Times New Roman" w:eastAsia="Times New Roman" w:hAnsi="Times New Roman" w:cs="Times New Roman"/>
        </w:rPr>
        <w:t xml:space="preserve"> Inverse model fluxes used in this analysis are from 15 inverse modelling systems, and 3 sets of fluxes for each model are considered. Model details are in Table 1 of BB22 and at www.esrl.noaa.gov/gmd/ccgg/OCO2_v9mip/index.php. </w:t>
      </w:r>
    </w:p>
    <w:tbl>
      <w:tblPr>
        <w:tblStyle w:val="ad"/>
        <w:tblW w:w="9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0"/>
        <w:gridCol w:w="1200"/>
        <w:gridCol w:w="1260"/>
        <w:gridCol w:w="1515"/>
        <w:gridCol w:w="1800"/>
        <w:gridCol w:w="1020"/>
        <w:gridCol w:w="1215"/>
      </w:tblGrid>
      <w:tr w:rsidR="00A73BDC">
        <w:trPr>
          <w:trHeight w:val="228"/>
        </w:trPr>
        <w:tc>
          <w:tcPr>
            <w:tcW w:w="1290" w:type="dxa"/>
            <w:vMerge w:val="restart"/>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Model code name</w:t>
            </w:r>
          </w:p>
        </w:tc>
        <w:tc>
          <w:tcPr>
            <w:tcW w:w="1200" w:type="dxa"/>
            <w:vMerge w:val="restart"/>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Transport model</w:t>
            </w:r>
            <w:r>
              <w:rPr>
                <w:rFonts w:ascii="Times New Roman" w:eastAsia="Times New Roman" w:hAnsi="Times New Roman" w:cs="Times New Roman"/>
                <w:sz w:val="20"/>
                <w:szCs w:val="20"/>
                <w:vertAlign w:val="superscript"/>
              </w:rPr>
              <w:t>&amp;</w:t>
            </w:r>
          </w:p>
        </w:tc>
        <w:tc>
          <w:tcPr>
            <w:tcW w:w="1260" w:type="dxa"/>
            <w:vMerge w:val="restart"/>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Meteorology</w:t>
            </w:r>
          </w:p>
        </w:tc>
        <w:tc>
          <w:tcPr>
            <w:tcW w:w="1515" w:type="dxa"/>
            <w:vMerge w:val="restart"/>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Forward model,</w:t>
            </w: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Lat</w:t>
            </w:r>
            <w:r>
              <w:rPr>
                <w:rFonts w:ascii="Noto Sans Symbols" w:eastAsia="Noto Sans Symbols" w:hAnsi="Noto Sans Symbols" w:cs="Noto Sans Symbols"/>
                <w:sz w:val="20"/>
                <w:szCs w:val="20"/>
              </w:rPr>
              <w:t>⋅</w:t>
            </w:r>
            <w:r>
              <w:rPr>
                <w:rFonts w:ascii="Times New Roman" w:eastAsia="Times New Roman" w:hAnsi="Times New Roman" w:cs="Times New Roman"/>
                <w:sz w:val="20"/>
                <w:szCs w:val="20"/>
              </w:rPr>
              <w:t>Lon</w:t>
            </w:r>
            <w:r>
              <w:rPr>
                <w:rFonts w:ascii="Noto Sans Symbols" w:eastAsia="Noto Sans Symbols" w:hAnsi="Noto Sans Symbols" w:cs="Noto Sans Symbols"/>
                <w:sz w:val="20"/>
                <w:szCs w:val="20"/>
              </w:rPr>
              <w:t>⋅</w:t>
            </w:r>
            <w:r>
              <w:rPr>
                <w:rFonts w:ascii="Times New Roman" w:eastAsia="Times New Roman" w:hAnsi="Times New Roman" w:cs="Times New Roman"/>
                <w:sz w:val="20"/>
                <w:szCs w:val="20"/>
              </w:rPr>
              <w:t>Lev</w:t>
            </w:r>
            <w:proofErr w:type="spellEnd"/>
          </w:p>
        </w:tc>
        <w:tc>
          <w:tcPr>
            <w:tcW w:w="4035" w:type="dxa"/>
            <w:gridSpan w:val="3"/>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Prior fluxes</w:t>
            </w:r>
          </w:p>
        </w:tc>
      </w:tr>
      <w:tr w:rsidR="00A73BDC">
        <w:trPr>
          <w:trHeight w:val="443"/>
        </w:trPr>
        <w:tc>
          <w:tcPr>
            <w:tcW w:w="1290" w:type="dxa"/>
            <w:vMerge/>
          </w:tcPr>
          <w:p w:rsidR="00A73BDC" w:rsidRDefault="00A73BDC">
            <w:pPr>
              <w:widowControl w:val="0"/>
              <w:pBdr>
                <w:top w:val="nil"/>
                <w:left w:val="nil"/>
                <w:bottom w:val="nil"/>
                <w:right w:val="nil"/>
                <w:between w:val="nil"/>
              </w:pBdr>
              <w:rPr>
                <w:rFonts w:ascii="Times New Roman" w:eastAsia="Times New Roman" w:hAnsi="Times New Roman" w:cs="Times New Roman"/>
                <w:sz w:val="20"/>
                <w:szCs w:val="20"/>
              </w:rPr>
            </w:pPr>
          </w:p>
        </w:tc>
        <w:tc>
          <w:tcPr>
            <w:tcW w:w="1200" w:type="dxa"/>
            <w:vMerge/>
          </w:tcPr>
          <w:p w:rsidR="00A73BDC" w:rsidRDefault="00A73BDC">
            <w:pPr>
              <w:widowControl w:val="0"/>
              <w:pBdr>
                <w:top w:val="nil"/>
                <w:left w:val="nil"/>
                <w:bottom w:val="nil"/>
                <w:right w:val="nil"/>
                <w:between w:val="nil"/>
              </w:pBdr>
              <w:rPr>
                <w:rFonts w:ascii="Times New Roman" w:eastAsia="Times New Roman" w:hAnsi="Times New Roman" w:cs="Times New Roman"/>
                <w:sz w:val="20"/>
                <w:szCs w:val="20"/>
              </w:rPr>
            </w:pPr>
          </w:p>
        </w:tc>
        <w:tc>
          <w:tcPr>
            <w:tcW w:w="1260" w:type="dxa"/>
            <w:vMerge/>
          </w:tcPr>
          <w:p w:rsidR="00A73BDC" w:rsidRDefault="00A73BDC">
            <w:pPr>
              <w:widowControl w:val="0"/>
              <w:pBdr>
                <w:top w:val="nil"/>
                <w:left w:val="nil"/>
                <w:bottom w:val="nil"/>
                <w:right w:val="nil"/>
                <w:between w:val="nil"/>
              </w:pBdr>
              <w:rPr>
                <w:rFonts w:ascii="Times New Roman" w:eastAsia="Times New Roman" w:hAnsi="Times New Roman" w:cs="Times New Roman"/>
                <w:sz w:val="20"/>
                <w:szCs w:val="20"/>
              </w:rPr>
            </w:pPr>
          </w:p>
        </w:tc>
        <w:tc>
          <w:tcPr>
            <w:tcW w:w="1515" w:type="dxa"/>
            <w:vMerge/>
          </w:tcPr>
          <w:p w:rsidR="00A73BDC" w:rsidRDefault="00A73BDC">
            <w:pPr>
              <w:widowControl w:val="0"/>
              <w:pBdr>
                <w:top w:val="nil"/>
                <w:left w:val="nil"/>
                <w:bottom w:val="nil"/>
                <w:right w:val="nil"/>
                <w:between w:val="nil"/>
              </w:pBdr>
              <w:rPr>
                <w:rFonts w:ascii="Times New Roman" w:eastAsia="Times New Roman" w:hAnsi="Times New Roman" w:cs="Times New Roman"/>
                <w:sz w:val="20"/>
                <w:szCs w:val="20"/>
              </w:rPr>
            </w:pP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Land</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Ocean</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Fire</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 Ames</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CASA-GFED4.1s</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CT-2009OI</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 Baker</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PCTM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1.25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40</w:t>
            </w:r>
            <w:r>
              <w:rPr>
                <w:rFonts w:ascii="Times New Roman" w:eastAsia="Times New Roman" w:hAnsi="Times New Roman" w:cs="Times New Roman"/>
                <w:sz w:val="18"/>
                <w:szCs w:val="18"/>
                <w:vertAlign w:val="subscript"/>
              </w:rPr>
              <w:t xml:space="preserve">Lev </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CASA-GFED3</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PL-2020</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 CAMS</w:t>
            </w:r>
            <w:r>
              <w:rPr>
                <w:rFonts w:ascii="Times New Roman" w:eastAsia="Times New Roman" w:hAnsi="Times New Roman" w:cs="Times New Roman"/>
                <w:sz w:val="18"/>
                <w:szCs w:val="18"/>
                <w:vertAlign w:val="superscript"/>
              </w:rPr>
              <w:t>$</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LMDz</w:t>
            </w:r>
            <w:proofErr w:type="spellEnd"/>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ERA5-nudged</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3.75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39</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ORCHIDEE (climatology)</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CMEMS</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369"/>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 CMS-Flux</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6"/>
                <w:szCs w:val="16"/>
              </w:rPr>
              <w:t>CARDAMOM</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MOM-6</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6"/>
                <w:szCs w:val="16"/>
              </w:rPr>
              <w:t>CARDAMOM</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5. COLA</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VEGAS</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CR-2021</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VEGAS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6. CSU</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SiB-4 w/ MERRA-2</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PL-2018</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7. CT</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TM5</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ERA5</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3</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25</w:t>
            </w:r>
            <w:r>
              <w:rPr>
                <w:rFonts w:ascii="Times New Roman" w:eastAsia="Times New Roman" w:hAnsi="Times New Roman" w:cs="Times New Roman"/>
                <w:sz w:val="18"/>
                <w:szCs w:val="18"/>
                <w:vertAlign w:val="subscript"/>
              </w:rPr>
              <w:t xml:space="preserve">Lev </w:t>
            </w:r>
            <w:r>
              <w:rPr>
                <w:rFonts w:ascii="Times New Roman" w:eastAsia="Times New Roman" w:hAnsi="Times New Roman" w:cs="Times New Roman"/>
                <w:sz w:val="18"/>
                <w:szCs w:val="18"/>
              </w:rPr>
              <w:t>(</w:t>
            </w:r>
            <w:proofErr w:type="gramStart"/>
            <w:r>
              <w:rPr>
                <w:rFonts w:ascii="Times New Roman" w:eastAsia="Times New Roman" w:hAnsi="Times New Roman" w:cs="Times New Roman"/>
                <w:sz w:val="18"/>
                <w:szCs w:val="18"/>
              </w:rPr>
              <w:t>N.Am</w:t>
            </w:r>
            <w:proofErr w:type="gramEnd"/>
            <w:r>
              <w:rPr>
                <w:rFonts w:ascii="Times New Roman" w:eastAsia="Times New Roman" w:hAnsi="Times New Roman" w:cs="Times New Roman"/>
                <w:sz w:val="18"/>
                <w:szCs w:val="18"/>
              </w:rPr>
              <w:t>:1</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1</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CT-CASA-GFED4.1s</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CT-2009OI</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8. JHU</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CASA-GFED4.1s</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TT-2009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458"/>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9. </w:t>
            </w:r>
            <w:proofErr w:type="spellStart"/>
            <w:r>
              <w:rPr>
                <w:rFonts w:ascii="Times New Roman" w:eastAsia="Times New Roman" w:hAnsi="Times New Roman" w:cs="Times New Roman"/>
                <w:sz w:val="18"/>
                <w:szCs w:val="18"/>
              </w:rPr>
              <w:t>LoFI</w:t>
            </w:r>
            <w:proofErr w:type="spellEnd"/>
            <w:r>
              <w:rPr>
                <w:rFonts w:ascii="Times New Roman" w:eastAsia="Times New Roman" w:hAnsi="Times New Roman" w:cs="Times New Roman"/>
                <w:sz w:val="18"/>
                <w:szCs w:val="18"/>
                <w:vertAlign w:val="superscript"/>
              </w:rPr>
              <w:t>*</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 GCM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 GCM</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0.625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72</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CASA-GFED3</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TT-2009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QFED</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10. NIES</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NIES-TM/ FLEXPART</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ERA5/ JRA55</w:t>
            </w:r>
          </w:p>
        </w:tc>
        <w:tc>
          <w:tcPr>
            <w:tcW w:w="1515" w:type="dxa"/>
          </w:tcPr>
          <w:p w:rsidR="00A73BDC" w:rsidRPr="00FB1E77" w:rsidRDefault="00FB1E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3.75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3.75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42</w:t>
            </w:r>
            <w:r>
              <w:rPr>
                <w:rFonts w:ascii="Times New Roman" w:eastAsia="Times New Roman" w:hAnsi="Times New Roman" w:cs="Times New Roman"/>
                <w:sz w:val="18"/>
                <w:szCs w:val="18"/>
                <w:vertAlign w:val="subscript"/>
              </w:rPr>
              <w:t>Lev</w:t>
            </w:r>
            <w:r w:rsidRPr="00FB1E77">
              <w:rPr>
                <w:rFonts w:ascii="Times New Roman" w:eastAsia="Times New Roman" w:hAnsi="Times New Roman" w:cs="Times New Roman"/>
                <w:sz w:val="18"/>
                <w:szCs w:val="18"/>
              </w:rPr>
              <w:t>/</w:t>
            </w:r>
            <w:r>
              <w:rPr>
                <w:rFonts w:ascii="Times New Roman" w:eastAsia="Times New Roman" w:hAnsi="Times New Roman" w:cs="Times New Roman"/>
                <w:sz w:val="18"/>
                <w:szCs w:val="18"/>
              </w:rPr>
              <w:t>0.1</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0.1</w:t>
            </w:r>
            <w:r>
              <w:rPr>
                <w:rFonts w:ascii="Times New Roman" w:eastAsia="Times New Roman" w:hAnsi="Times New Roman" w:cs="Times New Roman"/>
                <w:sz w:val="18"/>
                <w:szCs w:val="18"/>
                <w:vertAlign w:val="superscript"/>
              </w:rPr>
              <w:t>o</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Zeng-2020</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PL-2020</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GFAS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11. OU</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TM5</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ERA-interim</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6</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25</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CASA-GFED3</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TT-2009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GFEDv3</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12. TM5-4DVAR</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TM5</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ERA-interim</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3</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25</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SiB</w:t>
            </w:r>
            <w:proofErr w:type="spellEnd"/>
            <w:r>
              <w:rPr>
                <w:rFonts w:ascii="Times New Roman" w:eastAsia="Times New Roman" w:hAnsi="Times New Roman" w:cs="Times New Roman"/>
                <w:sz w:val="18"/>
                <w:szCs w:val="18"/>
              </w:rPr>
              <w:t>-CASA</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CT-2019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13. UT</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GEOS-FP</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BEPS</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TT-2009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14. WOMBAT</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GEOS-Chem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MERRA-2</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2.5</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47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SiB-4 w/ MERRA-2</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PL-2020</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r w:rsidR="00A73BDC">
        <w:trPr>
          <w:trHeight w:val="457"/>
        </w:trPr>
        <w:tc>
          <w:tcPr>
            <w:tcW w:w="129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vertAlign w:val="superscript"/>
              </w:rPr>
            </w:pPr>
            <w:r>
              <w:rPr>
                <w:rFonts w:ascii="Times New Roman" w:eastAsia="Times New Roman" w:hAnsi="Times New Roman" w:cs="Times New Roman"/>
                <w:sz w:val="18"/>
                <w:szCs w:val="18"/>
              </w:rPr>
              <w:t>15. ACTM</w:t>
            </w:r>
            <w:r>
              <w:rPr>
                <w:rFonts w:ascii="Times New Roman" w:eastAsia="Times New Roman" w:hAnsi="Times New Roman" w:cs="Times New Roman"/>
                <w:sz w:val="18"/>
                <w:szCs w:val="18"/>
                <w:vertAlign w:val="superscript"/>
              </w:rPr>
              <w:t>*</w:t>
            </w:r>
            <w:proofErr w:type="gramStart"/>
            <w:r>
              <w:rPr>
                <w:rFonts w:ascii="Times New Roman" w:eastAsia="Times New Roman" w:hAnsi="Times New Roman" w:cs="Times New Roman"/>
                <w:sz w:val="18"/>
                <w:szCs w:val="18"/>
                <w:vertAlign w:val="superscript"/>
              </w:rPr>
              <w:t>*,$</w:t>
            </w:r>
            <w:proofErr w:type="gramEnd"/>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(NC22)</w:t>
            </w:r>
          </w:p>
        </w:tc>
        <w:tc>
          <w:tcPr>
            <w:tcW w:w="12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MIROC4-ACTM</w:t>
            </w:r>
          </w:p>
        </w:tc>
        <w:tc>
          <w:tcPr>
            <w:tcW w:w="126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JRA55-nudged</w:t>
            </w:r>
          </w:p>
        </w:tc>
        <w:tc>
          <w:tcPr>
            <w:tcW w:w="15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r>
              <w:rPr>
                <w:rFonts w:ascii="Times New Roman" w:eastAsia="Times New Roman" w:hAnsi="Times New Roman" w:cs="Times New Roman"/>
                <w:sz w:val="18"/>
                <w:szCs w:val="18"/>
                <w:vertAlign w:val="superscript"/>
              </w:rPr>
              <w:t>o</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2.8</w:t>
            </w:r>
            <w:r>
              <w:rPr>
                <w:rFonts w:ascii="Times New Roman" w:eastAsia="Times New Roman" w:hAnsi="Times New Roman" w:cs="Times New Roman"/>
                <w:sz w:val="18"/>
                <w:szCs w:val="18"/>
                <w:vertAlign w:val="superscript"/>
              </w:rPr>
              <w:t>o</w:t>
            </w:r>
            <w:r>
              <w:rPr>
                <w:rFonts w:ascii="Times New Roman" w:eastAsia="Times New Roman" w:hAnsi="Times New Roman" w:cs="Times New Roman"/>
                <w:sz w:val="18"/>
                <w:szCs w:val="18"/>
              </w:rPr>
              <w:t xml:space="preserve"> </w:t>
            </w:r>
            <w:r>
              <w:rPr>
                <w:rFonts w:ascii="Noto Sans Symbols" w:eastAsia="Noto Sans Symbols" w:hAnsi="Noto Sans Symbols" w:cs="Noto Sans Symbols"/>
                <w:sz w:val="18"/>
                <w:szCs w:val="18"/>
              </w:rPr>
              <w:t>⋅</w:t>
            </w:r>
            <w:r>
              <w:rPr>
                <w:rFonts w:ascii="Times New Roman" w:eastAsia="Times New Roman" w:hAnsi="Times New Roman" w:cs="Times New Roman"/>
                <w:sz w:val="18"/>
                <w:szCs w:val="18"/>
              </w:rPr>
              <w:t xml:space="preserve"> 67</w:t>
            </w:r>
            <w:r>
              <w:rPr>
                <w:rFonts w:ascii="Times New Roman" w:eastAsia="Times New Roman" w:hAnsi="Times New Roman" w:cs="Times New Roman"/>
                <w:sz w:val="18"/>
                <w:szCs w:val="18"/>
                <w:vertAlign w:val="subscript"/>
              </w:rPr>
              <w:t>Lev</w:t>
            </w:r>
          </w:p>
        </w:tc>
        <w:tc>
          <w:tcPr>
            <w:tcW w:w="180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CASA-3hr</w:t>
            </w:r>
          </w:p>
        </w:tc>
        <w:tc>
          <w:tcPr>
            <w:tcW w:w="1020"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TT-2009</w:t>
            </w:r>
          </w:p>
        </w:tc>
        <w:tc>
          <w:tcPr>
            <w:tcW w:w="1215" w:type="dxa"/>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GFEDv4.1s</w:t>
            </w:r>
          </w:p>
        </w:tc>
      </w:tr>
    </w:tbl>
    <w:p w:rsidR="00A73BDC" w:rsidRDefault="00000000" w:rsidP="00C659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vertAlign w:val="superscript"/>
        </w:rPr>
        <w:t>*</w:t>
      </w:r>
      <w:proofErr w:type="gramStart"/>
      <w:r>
        <w:rPr>
          <w:rFonts w:ascii="Times New Roman" w:eastAsia="Times New Roman" w:hAnsi="Times New Roman" w:cs="Times New Roman"/>
        </w:rPr>
        <w:t>not</w:t>
      </w:r>
      <w:proofErr w:type="gramEnd"/>
      <w:r>
        <w:rPr>
          <w:rFonts w:ascii="Times New Roman" w:eastAsia="Times New Roman" w:hAnsi="Times New Roman" w:cs="Times New Roman"/>
        </w:rPr>
        <w:t xml:space="preserve"> a traditional inversion, </w:t>
      </w:r>
      <w:r>
        <w:rPr>
          <w:rFonts w:ascii="Times New Roman" w:eastAsia="Times New Roman" w:hAnsi="Times New Roman" w:cs="Times New Roman"/>
          <w:vertAlign w:val="superscript"/>
        </w:rPr>
        <w:t>**</w:t>
      </w:r>
      <w:r>
        <w:rPr>
          <w:rFonts w:ascii="Times New Roman" w:eastAsia="Times New Roman" w:hAnsi="Times New Roman" w:cs="Times New Roman"/>
        </w:rPr>
        <w:t xml:space="preserve">IS only inversions - not a part of OCO2-MIP (thus, 13 of the 15 models, and IS &amp; LNLG results are used in the main analysis); </w:t>
      </w:r>
      <w:r>
        <w:rPr>
          <w:rFonts w:ascii="Times New Roman" w:eastAsia="Times New Roman" w:hAnsi="Times New Roman" w:cs="Times New Roman"/>
          <w:vertAlign w:val="superscript"/>
        </w:rPr>
        <w:t>$</w:t>
      </w:r>
      <w:r>
        <w:rPr>
          <w:rFonts w:ascii="Times New Roman" w:eastAsia="Times New Roman" w:hAnsi="Times New Roman" w:cs="Times New Roman"/>
        </w:rPr>
        <w:t>nudged GCM meteorology.</w:t>
      </w:r>
    </w:p>
    <w:p w:rsidR="00A73BDC" w:rsidRDefault="00000000" w:rsidP="00C6596C">
      <w:pPr>
        <w:spacing w:after="240" w:line="480" w:lineRule="auto"/>
        <w:jc w:val="both"/>
        <w:rPr>
          <w:rFonts w:ascii="Times New Roman" w:eastAsia="Times New Roman" w:hAnsi="Times New Roman" w:cs="Times New Roman"/>
        </w:rPr>
      </w:pPr>
      <w:r>
        <w:rPr>
          <w:rFonts w:ascii="Times New Roman" w:eastAsia="Times New Roman" w:hAnsi="Times New Roman" w:cs="Times New Roman"/>
          <w:vertAlign w:val="superscript"/>
        </w:rPr>
        <w:lastRenderedPageBreak/>
        <w:t>&amp;</w:t>
      </w:r>
      <w:r>
        <w:rPr>
          <w:rFonts w:ascii="Times New Roman" w:eastAsia="Times New Roman" w:hAnsi="Times New Roman" w:cs="Times New Roman"/>
        </w:rPr>
        <w:t>Transport model details: 1. Ames</w:t>
      </w:r>
      <w:r w:rsidR="005906B8">
        <w:rPr>
          <w:rFonts w:ascii="Times New Roman" w:eastAsia="Times New Roman" w:hAnsi="Times New Roman" w:cs="Times New Roman"/>
        </w:rPr>
        <w:fldChar w:fldCharType="begin"/>
      </w:r>
      <w:r w:rsidR="005906B8">
        <w:rPr>
          <w:rFonts w:ascii="Times New Roman" w:eastAsia="Times New Roman" w:hAnsi="Times New Roman" w:cs="Times New Roman"/>
        </w:rPr>
        <w:instrText xml:space="preserve"> ADDIN ZOTERO_ITEM CSL_CITATION {"citationID":"8pThncx6","properties":{"formattedCitation":"\\super 2\\nosupersub{}","plainCitation":"2","noteIndex":0},"citationItems":[{"id":133,"uris":["http://zotero.org/users/local/ihhrhKXJ/items/EJDX4FYW"],"itemData":{"id":133,"type":"article-journal","abstract":"The spatiotemporal variability of terrestrial biospheric carbon dioxide (CO2) fluxes over South Asia has large uncertainty. The Orbiting Carbon Observatory 2 (OCO-2) satellite provides much-needed retrievals of column-average CO2 on a global-scale, with the highest sensitivity to surface CO2 fluxes and spatiotemporal resolution available to-date. This study conducted global inverse model simulations, assimilating in situ (IS) data and OCO-2 retrievals, to assess optimized CO2 net ecosystem exchange (NEE) fluxes for South Asia. Annual Net Biome Exchange (NBE = NEE + biomass burning) fluxes over South Asia were estimated to be near neutral (0.04 ± 0.14 PgC yr−1) using both IS and OCO-2 observations. The most robust result found by assimilating OCO-2 observations was the constraint imposed on the seasonal cycle of NBE fluxes. The amplitude of the seasonal cycle of NEE was found to be larger than previously assumed. The OCO-2 inversion led to an NBE seasonal amplitude of 0.34 PgC month−1, which was larger compared to IS constrained NBE (0.19 PgC month−1) and MsTMIP ensemble mean NEE (0.16 PgC month−1). Moreover, OCO-2 data imposed a phase shift in the NBE seasonal cycle predicted by the prior model. The larger magnitude of NEE seasonality, and phase shift, simulated when assimilating OCO-2 observations are in general agreement with previous studies assimilating regional aircraft observations in addition to global IS observations. This result suggests that OCO-2 provides valuable data that allows for the estimate of NBE on a regional scale in a similar manner as regional in situ aircraft networks.","container-title":"Journal of Geophysical Research: Atmospheres","DOI":"10.1029/2021JD035035","ISSN":"2169-8996","issue":"3","language":"en","license":"© 2022. American Geophysical Union. All Rights Reserved.","note":"_eprint: https://onlinelibrary.wiley.com/doi/pdf/10.1029/2021JD035035","page":"e2021JD035035","source":"Wiley Online Library","title":"OCO-2 Satellite-Imposed Constraints on Terrestrial Biospheric CO2 Fluxes Over South Asia","volume":"127","author":[{"family":"Philip","given":"Sajeev"},{"family":"Johnson","given":"Matthew S."},{"family":"Baker","given":"David F."},{"family":"Basu","given":"Sourish"},{"family":"Tiwari","given":"Yogesh K."},{"family":"Indira","given":"Nuggehalli K."},{"family":"Ramonet","given":"Michel"},{"family":"Poulter","given":"Benjamin"}],"issued":{"date-parts":[["2022"]]}}}],"schema":"https://github.com/citation-style-language/schema/raw/master/csl-citation.json"} </w:instrText>
      </w:r>
      <w:r w:rsidR="005906B8">
        <w:rPr>
          <w:rFonts w:ascii="Times New Roman" w:eastAsia="Times New Roman" w:hAnsi="Times New Roman" w:cs="Times New Roman"/>
        </w:rPr>
        <w:fldChar w:fldCharType="separate"/>
      </w:r>
      <w:r w:rsidR="005906B8" w:rsidRPr="005906B8">
        <w:rPr>
          <w:rFonts w:ascii="Times New Roman" w:hAnsi="Times New Roman" w:cs="Times New Roman"/>
          <w:vertAlign w:val="superscript"/>
          <w:lang w:val="en-US"/>
        </w:rPr>
        <w:t>2</w:t>
      </w:r>
      <w:r w:rsidR="005906B8">
        <w:rPr>
          <w:rFonts w:ascii="Times New Roman" w:eastAsia="Times New Roman" w:hAnsi="Times New Roman" w:cs="Times New Roman"/>
        </w:rPr>
        <w:fldChar w:fldCharType="end"/>
      </w:r>
      <w:r>
        <w:rPr>
          <w:rFonts w:ascii="Times New Roman" w:eastAsia="Times New Roman" w:hAnsi="Times New Roman" w:cs="Times New Roman"/>
        </w:rPr>
        <w:t>; 2. Baker</w:t>
      </w:r>
      <w:r w:rsidR="005906B8">
        <w:rPr>
          <w:rFonts w:ascii="Times New Roman" w:eastAsia="Times New Roman" w:hAnsi="Times New Roman" w:cs="Times New Roman"/>
        </w:rPr>
        <w:fldChar w:fldCharType="begin"/>
      </w:r>
      <w:r w:rsidR="005906B8">
        <w:rPr>
          <w:rFonts w:ascii="Times New Roman" w:eastAsia="Times New Roman" w:hAnsi="Times New Roman" w:cs="Times New Roman"/>
        </w:rPr>
        <w:instrText xml:space="preserve"> ADDIN ZOTERO_ITEM CSL_CITATION {"citationID":"7QqG566V","properties":{"formattedCitation":"\\super 3\\nosupersub{}","plainCitation":"3","noteIndex":0},"citationItems":[{"id":137,"uris":["http://zotero.org/users/local/ihhrhKXJ/items/XNWZ2M3A"],"itemData":{"id":137,"type":"article-journal","abstract":"The sources and sinks of important climatic trace gases such as carbon dioxide (CO2) are often deduced from spatial and temporal variations in atmospheric concentrations. Reducing uncertainties in our understanding of the contemporary carbon budget and its underlying dynamics, however, requires significantly denser observations globally than is practical with in situ measurements. Space-based measurements appear technically feasible but require innovations in data analysis approaches.We develop a variational data assimilation scheme to estimate surface CO2 fluxes at fine time/space scales from such dense atmospheric data. Global flux estimates at a daily time step and model-grid spatial resolution (4◦ × 5◦ here) are rapidly achieved after only a few dozen minimization steps.We quantify the flux errors from existing, planned and hypothetical surface and space-borne observing systems. Simulations show that the planned NASA Orbital Carbon Observatory (OCO) satellite should provide significant additional information beyond that from existing and proposed in situ observations. Improvements in data assimilation techniques and in mechanistic process models are both needed to fully exploit the emerging global carbon observing system.","container-title":"Tellus B: Chemical and Physical Meteorology","DOI":"10.1111/j.1600-0889.2006.00218.x","ISSN":"null","issue":"5","note":"publisher: Taylor &amp; Francis\n_eprint: https://doi.org/10.1111/j.1600-0889.2006.00218.x","page":"359-365","source":"Taylor and Francis+NEJM","title":"Variational data assimilation for atmospheric CO2","volume":"58","author":[{"family":"Baker","given":"David F."},{"family":"Doney","given":"Scott C."},{"family":"Schimel","given":"David S."}],"issued":{"date-parts":[["2006",1,1]]}}}],"schema":"https://github.com/citation-style-language/schema/raw/master/csl-citation.json"} </w:instrText>
      </w:r>
      <w:r w:rsidR="005906B8">
        <w:rPr>
          <w:rFonts w:ascii="Times New Roman" w:eastAsia="Times New Roman" w:hAnsi="Times New Roman" w:cs="Times New Roman"/>
        </w:rPr>
        <w:fldChar w:fldCharType="separate"/>
      </w:r>
      <w:r w:rsidR="005906B8" w:rsidRPr="005906B8">
        <w:rPr>
          <w:rFonts w:ascii="Times New Roman" w:hAnsi="Times New Roman" w:cs="Times New Roman"/>
          <w:vertAlign w:val="superscript"/>
          <w:lang w:val="en-US"/>
        </w:rPr>
        <w:t>3</w:t>
      </w:r>
      <w:r w:rsidR="005906B8">
        <w:rPr>
          <w:rFonts w:ascii="Times New Roman" w:eastAsia="Times New Roman" w:hAnsi="Times New Roman" w:cs="Times New Roman"/>
        </w:rPr>
        <w:fldChar w:fldCharType="end"/>
      </w:r>
      <w:r>
        <w:rPr>
          <w:rFonts w:ascii="Times New Roman" w:eastAsia="Times New Roman" w:hAnsi="Times New Roman" w:cs="Times New Roman"/>
        </w:rPr>
        <w:t>; 3. CAMS</w:t>
      </w:r>
      <w:r w:rsidR="005906B8">
        <w:rPr>
          <w:rFonts w:ascii="Times New Roman" w:eastAsia="Times New Roman" w:hAnsi="Times New Roman" w:cs="Times New Roman"/>
        </w:rPr>
        <w:fldChar w:fldCharType="begin"/>
      </w:r>
      <w:r w:rsidR="005906B8">
        <w:rPr>
          <w:rFonts w:ascii="Times New Roman" w:eastAsia="Times New Roman" w:hAnsi="Times New Roman" w:cs="Times New Roman"/>
        </w:rPr>
        <w:instrText xml:space="preserve"> ADDIN ZOTERO_ITEM CSL_CITATION {"citationID":"zYljbUb0","properties":{"formattedCitation":"\\super 4\\nosupersub{}","plainCitation":"4","noteIndex":0},"citationItems":[{"id":139,"uris":["http://zotero.org/users/local/ihhrhKXJ/items/MXZGTXHW"],"itemData":{"id":139,"type":"article-journal","abstract":"Properly handling satellite data to constrain the inversion of CO2 sources and sinks at the Earth surface is a challenge motivated by the limitations of the current surface observation network. In this paper we present a Bayesian inference scheme to tackle this issue. It is based on the same theoretical principles as most inversions of the flask network but uses a variational formulation rather than a pure matrix-based one in order to cope with the large amount of satellite data. The minimization algorithm iteratively computes the optimum solution to the inference problem as well as an estimation of its error characteristics and some quantitative measures of the observation information content. A global climate model, guided by analyzed winds, provides information about the atmospheric transport to the inversion scheme. A surface flux climatology regularizes the inference problem. This new system has been applied to 1 year's worth of retrievals of vertically integrated CO2 concentrations from the Television Infrared Observation Satellite Operational Vertical Sounder (TOVS). Consistent with a recent study that identified regional biases in the TOVS retrievals, the inferred fluxes are not useful for biogeochemical analyses. In addition to the detrimental impact of these biases, we find a sensitivity of the results to the formulation of the prior uncertainty and to the accuracy of the transport model. Notwithstanding these difficulties, four-dimensional inversion schemes of the type presented here could form the basis of multisensor data assimilation systems for the estimation of the surface fluxes of key atmospheric compounds.","container-title":"Journal of Geophysical Research: Atmospheres","DOI":"10.1029/2005JD006390","ISSN":"2156-2202","issue":"D24","language":"en","license":"Copyright 2005 by the American Geophysical Union.","note":"_eprint: https://onlinelibrary.wiley.com/doi/pdf/10.1029/2005JD006390","source":"Wiley Online Library","title":"Inferring CO2 sources and sinks from satellite observations: Method and application to TOVS data","title-short":"Inferring CO2 sources and sinks from satellite observations","URL":"https://onlinelibrary.wiley.com/doi/abs/10.1029/2005JD006390","volume":"110","author":[{"family":"Chevallier","given":"F."},{"family":"Fisher","given":"M."},{"family":"Peylin","given":"P."},{"family":"Serrar","given":"S."},{"family":"Bousquet","given":"P."},{"family":"Bréon","given":"F.-M."},{"family":"Chédin","given":"A."},{"family":"Ciais","given":"P."}],"accessed":{"date-parts":[["2023",12,22]]},"issued":{"date-parts":[["2005"]]}}}],"schema":"https://github.com/citation-style-language/schema/raw/master/csl-citation.json"} </w:instrText>
      </w:r>
      <w:r w:rsidR="005906B8">
        <w:rPr>
          <w:rFonts w:ascii="Times New Roman" w:eastAsia="Times New Roman" w:hAnsi="Times New Roman" w:cs="Times New Roman"/>
        </w:rPr>
        <w:fldChar w:fldCharType="separate"/>
      </w:r>
      <w:r w:rsidR="005906B8" w:rsidRPr="005906B8">
        <w:rPr>
          <w:rFonts w:ascii="Times New Roman" w:hAnsi="Times New Roman" w:cs="Times New Roman"/>
          <w:vertAlign w:val="superscript"/>
          <w:lang w:val="en-US"/>
        </w:rPr>
        <w:t>4</w:t>
      </w:r>
      <w:r w:rsidR="005906B8">
        <w:rPr>
          <w:rFonts w:ascii="Times New Roman" w:eastAsia="Times New Roman" w:hAnsi="Times New Roman" w:cs="Times New Roman"/>
        </w:rPr>
        <w:fldChar w:fldCharType="end"/>
      </w:r>
      <w:r>
        <w:rPr>
          <w:rFonts w:ascii="Times New Roman" w:eastAsia="Times New Roman" w:hAnsi="Times New Roman" w:cs="Times New Roman"/>
        </w:rPr>
        <w:t>; 4. CMS-Flux</w:t>
      </w:r>
      <w:r w:rsidR="005906B8">
        <w:rPr>
          <w:rFonts w:ascii="Times New Roman" w:eastAsia="Times New Roman" w:hAnsi="Times New Roman" w:cs="Times New Roman"/>
        </w:rPr>
        <w:fldChar w:fldCharType="begin"/>
      </w:r>
      <w:r w:rsidR="005906B8">
        <w:rPr>
          <w:rFonts w:ascii="Times New Roman" w:eastAsia="Times New Roman" w:hAnsi="Times New Roman" w:cs="Times New Roman"/>
        </w:rPr>
        <w:instrText xml:space="preserve"> ADDIN ZOTERO_ITEM CSL_CITATION {"citationID":"aEPkMQMG","properties":{"formattedCitation":"\\super 5\\nosupersub{}","plainCitation":"5","noteIndex":0},"citationItems":[{"id":144,"uris":["http://zotero.org/users/local/ihhrhKXJ/items/D47GNH6N"],"itemData":{"id":144,"type":"article-journal","abstract":"Here we present a global and regionally resolved terrestrial net biosphere exchange (NBE) dataset with corresponding uncertainties between 2010–2018: Carbon Monitoring System Flux Net Biosphere Exchange 2020 (CMS-Flux NBE 2020). It is estimated using the NASA Carbon Monitoring System Flux (CMS-Flux) top-down flux inversion system that assimilates column CO2 observations from the Greenhouse Gases Observing Satellite (GOSAT) and NASA's Observing Carbon Observatory 2 (OCO-2). The regional monthly fluxes are readily accessible as tabular files, and the gridded fluxes are available in NetCDF format. The fluxes and their uncertainties are evaluated by extensively comparing the posterior CO2 mole fractions with CO2 observations from aircraft and the NOAA marine boundary layer reference sites. We describe the characteristics of the dataset as the global total, regional climatological mean, and regional annual fluxes and seasonal cycles. We find that the global total fluxes of the dataset agree with atmospheric CO2 growth observed by the surface-observation network within uncertainty. Averaged between 2010 and 2018, the tropical regions range from close to neutral in tropical South America to a net source in Africa; these contrast with the extra-tropics, which are a net sink of 2.5±0.3 Gt C/year. The regional satellite-constrained NBE estimates provide a unique perspective for understanding the terrestrial biosphere carbon dynamics and monitoring changes in regional contributions to the changes of atmospheric CO2 growth rate. The gridded and regional aggregated dataset can be accessed at https://doi.org/10.25966/4v02-c391 (Liu et al., 2020).","container-title":"Earth System Science Data","DOI":"10.5194/essd-13-299-2021","ISSN":"1866-3508","issue":"2","language":"English","note":"publisher: Copernicus GmbH","page":"299-330","source":"Copernicus Online Journals","title":"Carbon Monitoring System Flux Net Biosphere Exchange 2020 (CMS-Flux NBE 2020)","volume":"13","author":[{"family":"Liu","given":"Junjie"},{"family":"Baskaran","given":"Latha"},{"family":"Bowman","given":"Kevin"},{"family":"Schimel","given":"David"},{"family":"Bloom","given":"A. Anthony"},{"family":"Parazoo","given":"Nicholas C."},{"family":"Oda","given":"Tomohiro"},{"family":"Carroll","given":"Dustin"},{"family":"Menemenlis","given":"Dimitris"},{"family":"Joiner","given":"Joanna"},{"family":"Commane","given":"Roisin"},{"family":"Daube","given":"Bruce"},{"family":"Gatti","given":"Lucianna V."},{"family":"McKain","given":"Kathryn"},{"family":"Miller","given":"John"},{"family":"Stephens","given":"Britton B."},{"family":"Sweeney","given":"Colm"},{"family":"Wofsy","given":"Steven"}],"issued":{"date-parts":[["2021",2,10]]}}}],"schema":"https://github.com/citation-style-language/schema/raw/master/csl-citation.json"} </w:instrText>
      </w:r>
      <w:r w:rsidR="005906B8">
        <w:rPr>
          <w:rFonts w:ascii="Times New Roman" w:eastAsia="Times New Roman" w:hAnsi="Times New Roman" w:cs="Times New Roman"/>
        </w:rPr>
        <w:fldChar w:fldCharType="separate"/>
      </w:r>
      <w:r w:rsidR="005906B8" w:rsidRPr="005906B8">
        <w:rPr>
          <w:rFonts w:ascii="Times New Roman" w:hAnsi="Times New Roman" w:cs="Times New Roman"/>
          <w:vertAlign w:val="superscript"/>
          <w:lang w:val="en-US"/>
        </w:rPr>
        <w:t>5</w:t>
      </w:r>
      <w:r w:rsidR="005906B8">
        <w:rPr>
          <w:rFonts w:ascii="Times New Roman" w:eastAsia="Times New Roman" w:hAnsi="Times New Roman" w:cs="Times New Roman"/>
        </w:rPr>
        <w:fldChar w:fldCharType="end"/>
      </w:r>
      <w:r>
        <w:rPr>
          <w:rFonts w:ascii="Times New Roman" w:eastAsia="Times New Roman" w:hAnsi="Times New Roman" w:cs="Times New Roman"/>
        </w:rPr>
        <w:t>; 5. COLA</w:t>
      </w:r>
      <w:r w:rsidR="00C300DD">
        <w:rPr>
          <w:rFonts w:ascii="Times New Roman" w:eastAsia="Times New Roman" w:hAnsi="Times New Roman" w:cs="Times New Roman"/>
        </w:rPr>
        <w:fldChar w:fldCharType="begin"/>
      </w:r>
      <w:r w:rsidR="00C300DD">
        <w:rPr>
          <w:rFonts w:ascii="Times New Roman" w:eastAsia="Times New Roman" w:hAnsi="Times New Roman" w:cs="Times New Roman"/>
        </w:rPr>
        <w:instrText xml:space="preserve"> ADDIN ZOTERO_ITEM CSL_CITATION {"citationID":"axaBnasG","properties":{"formattedCitation":"\\super 6\\nosupersub{}","plainCitation":"6","noteIndex":0},"citationItems":[{"id":146,"uris":["http://zotero.org/users/local/ihhrhKXJ/items/EWNAGKF9"],"itemData":{"id":146,"type":"article-journal","abstract":"Atmospheric inversion of carbon dioxide (CO2) measurements to better understand carbon sources and sinks has made great progress over the last 2 decades. However, most of the studies, including a four-dimensional variational ensemble Kalman filter and Bayesian synthesis approaches, directly obtain only fluxes, while CO2 concentration is derived with the forward model as part of a post-analysis. Kang et al. (2012) used the local ensemble transform Kalman filter (LETKF), which updates the CO2, surface carbon flux (SCF), and meteorology fields simultaneously. Following this track, a system with a short assimilation window and a long observation window was developed (Liu et al., 2019). However, this data assimilation system faces the challenge of maintaining carbon mass conservation. To overcome this shortcoming, here we apply a constrained ensemble Kalman filter (CEnKF) approach to ensure the conservation of global CO2 mass. After a standard LETKF procedure, an additional assimilation is used to adjust CO2 at each model grid point and to ensure the consistency between the analysis and the first guess of the global CO2 mass. Compared to an observing system simulation experiment without mass conservation, the CEnKF significantly reduces the annual global SCF bias from </w:instrText>
      </w:r>
      <w:r w:rsidR="00C300DD">
        <w:rPr>
          <w:rFonts w:ascii="Cambria Math" w:eastAsia="Times New Roman" w:hAnsi="Cambria Math" w:cs="Cambria Math"/>
        </w:rPr>
        <w:instrText>∼</w:instrText>
      </w:r>
      <w:r w:rsidR="00C300DD">
        <w:rPr>
          <w:rFonts w:ascii="Times New Roman" w:eastAsia="Times New Roman" w:hAnsi="Times New Roman" w:cs="Times New Roman"/>
        </w:rPr>
        <w:instrText xml:space="preserve"> 0.2 to less than 0.06 Gt and slightly improves the seasonal and annual performance over tropical and southern extratropical regions. We show that this system can accurately track the spatial distribution of annual mean SCF. And the system reduces the seasonal flux root mean square error from a priori to analysis by 48 %–90 %, depending on the continental region. Moreover, the 2015–2016 El Niño impact is well captured with anomalies mainly in the tropics.","container-title":"Geoscientific Model Development","DOI":"10.5194/gmd-15-5511-2022","ISSN":"1991-959X","issue":"14","language":"English","note":"publisher: Copernicus GmbH","page":"5511-5528","source":"Copernicus Online Journals","title":"Improving the joint estimation of CO&lt;sub&gt;2&lt;/sub&gt; and surface carbon fluxes using a constrained ensemble Kalman filter in COLA (v1.0)","volume":"15","author":[{"family":"Liu","given":"Zhiqiang"},{"family":"Zeng","given":"Ning"},{"family":"Liu","given":"Yun"},{"family":"Kalnay","given":"Eugenia"},{"family":"Asrar","given":"Ghassem"},{"family":"Wu","given":"Bo"},{"family":"Cai","given":"Qixiang"},{"family":"Liu","given":"Di"},{"family":"Han","given":"Pengfei"}],"issued":{"date-parts":[["2022",7,19]]}}}],"schema":"https://github.com/citation-style-language/schema/raw/master/csl-citation.json"} </w:instrText>
      </w:r>
      <w:r w:rsidR="00C300DD">
        <w:rPr>
          <w:rFonts w:ascii="Times New Roman" w:eastAsia="Times New Roman" w:hAnsi="Times New Roman" w:cs="Times New Roman"/>
        </w:rPr>
        <w:fldChar w:fldCharType="separate"/>
      </w:r>
      <w:r w:rsidR="00C300DD" w:rsidRPr="00C300DD">
        <w:rPr>
          <w:rFonts w:ascii="Times New Roman" w:hAnsi="Times New Roman" w:cs="Times New Roman"/>
          <w:vertAlign w:val="superscript"/>
          <w:lang w:val="en-US"/>
        </w:rPr>
        <w:t>6</w:t>
      </w:r>
      <w:r w:rsidR="00C300DD">
        <w:rPr>
          <w:rFonts w:ascii="Times New Roman" w:eastAsia="Times New Roman" w:hAnsi="Times New Roman" w:cs="Times New Roman"/>
        </w:rPr>
        <w:fldChar w:fldCharType="end"/>
      </w:r>
      <w:r>
        <w:rPr>
          <w:rFonts w:ascii="Times New Roman" w:eastAsia="Times New Roman" w:hAnsi="Times New Roman" w:cs="Times New Roman"/>
        </w:rPr>
        <w:t>; 6. CSU</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{"citationID":"yLD0g1Nm","properties":{"formattedCitation":"\\super 7\\nosupersub{}","plainCitation":"7","noteIndex":0},"citationItems":[{"id":75,"uris":["http://zotero.org/users/local/ihhrhKXJ/items/UY7J5I65"],"itemData":{"id":75,"type":"article-journal","abstract":"We show that transport differences between two commonly used global chemical transport models, GEOS-Chem and TM5, lead to systematic space-time differences in modeled distributions of carbon dioxide and sulfur hexafluoride. The distribution of differences suggests inconsistencies between the transport simulated by the models, most likely due to the representation of vertical motion. We further demonstrate that these transport differences result in systematic differences in surface CO2 flux estimated by a collection of global atmospheric inverse models using TM5 and GEOS-Chem and constrained by in situ and satellite observations. While the impact on inferred surface fluxes is most easily illustrated in the magnitude of the seasonal cycle of surface CO2 exchange, it is the annual carbon budgets that are particularly relevant for carbon cycle science and policy. We show that inverse model flux estimates for large zonal bands can have systematic biases of up to 1.7 PgC/year due to large-scale transport uncertainty. These uncertainties will propagate directly into analysis of the annual meridional CO2 flux gradient between the tropics and northern midlatitudes, a key metric for understanding the location, and more importantly the processes, responsible for the annual global carbon sink. The research suggests that variability among transport models remains the largest source of uncertainty across global flux inversion systems and highlights the importance both of using model ensembles and of using independent constraints to evaluate simulated transport.","container-title":"Global Biogeochemical Cycles","DOI":"10.1029/2018GB006086","ISSN":"1944-9224","issue":"4","language":"en","license":"©2019. The Authors","note":"_eprint: https://onlinelibrary.wiley.com/doi/pdf/10.1029/2018GB006086","page":"484-500","source":"Wiley Online Library","title":"Quantifying the Impact of Atmospheric Transport Uncertainty on CO2 Surface Flux Estimates","volume":"33","author":[{"family":"Schuh","given":"Andrew E."},{"family":"Jacobson","given":"Andrew R."},{"family":"Basu","given":"Sourish"},{"family":"Weir","given":"Brad"},{"family":"Baker","given":"David"},{"family":"Bowman","given":"Kevin"},{"family":"Chevallier","given":"Frédéric"},{"family":"Crowell","given":"Sean"},{"family":"Davis","given":"Kenneth J."},{"family":"Deng","given":"Feng"},{"family":"Denning","given":"Scott"},{"family":"Feng","given":"Liang"},{"family":"Jones","given":"Dylan"},{"family":"Liu","given":"Junjie"},{"family":"Palmer","given":"Paul I."}],"issued":{"date-parts":[["2019"]]}}}],"schema":"https://github.com/citation-style-language/schema/raw/master/csl-citation.json"}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7</w:t>
      </w:r>
      <w:r w:rsidR="009771D3">
        <w:rPr>
          <w:rFonts w:ascii="Times New Roman" w:eastAsia="Times New Roman" w:hAnsi="Times New Roman" w:cs="Times New Roman"/>
        </w:rPr>
        <w:fldChar w:fldCharType="end"/>
      </w:r>
      <w:r>
        <w:rPr>
          <w:rFonts w:ascii="Times New Roman" w:eastAsia="Times New Roman" w:hAnsi="Times New Roman" w:cs="Times New Roman"/>
        </w:rPr>
        <w:t>; 7. CT</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{"citationID":"da1o9vLk","properties":{"formattedCitation":"\\super 8\\nosupersub{}","plainCitation":"8","noteIndex":0},"citationItems":[{"id":159,"uris":["http://zotero.org/users/local/ihhrhKXJ/items/EKVYE9EK"],"itemData":{"id":159,"type":"webpage","abstract":"The Global Monitoring Laboratory conducts research on greenhouse gas and carbon cycle feedbacks, changes in clouds, aerosols, and surface radiation, and recovery of stratospheric ozone.","language":"EN-US","title":"Global Monitoring Laboratory - Carbon Cycle Greenhouse Gases","URL":"https://gml.noaa.gov/ccgg/carbontracker/CT2019B/CT2019B_doc.php","author":[{"family":"Jacobson et al.","given":"NOAA"}],"accessed":{"date-parts":[["2023",12,22]]}}}],"schema":"https://github.com/citation-style-language/schema/raw/master/csl-citation.json"}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8</w:t>
      </w:r>
      <w:r w:rsidR="009771D3">
        <w:rPr>
          <w:rFonts w:ascii="Times New Roman" w:eastAsia="Times New Roman" w:hAnsi="Times New Roman" w:cs="Times New Roman"/>
        </w:rPr>
        <w:fldChar w:fldCharType="end"/>
      </w:r>
      <w:r>
        <w:rPr>
          <w:rFonts w:ascii="Times New Roman" w:eastAsia="Times New Roman" w:hAnsi="Times New Roman" w:cs="Times New Roman"/>
        </w:rPr>
        <w:t>; 8. JHU</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{"citationID":"n3FGg50j","properties":{"formattedCitation":"\\super 9\\nosupersub{}","plainCitation":"9","noteIndex":0},"citationItems":[{"id":161,"uris":["http://zotero.org/users/local/ihhrhKXJ/items/CQ67ERSG"],"itemData":{"id":161,"type":"article-journal","abstract":"Geostatistical inverse modeling (GIM) has become a common approach to estimating greenhouse gas fluxes at the Earth's surface using atmospheric observations. GIMs are unique relative to other commonly used approaches because they do not require a single emissions inventory or a bottom–up model to serve as an initial guess of the fluxes. Instead, a modeler can incorporate a wide range of environmental, economic, and/or land use data to estimate the fluxes. Traditionally, GIMs have been paired with in situ observations that number in the thousands or tens of thousands. However, the number of available atmospheric greenhouse gas observations has been increasing enormously as the number of satellites, airborne measurement campaigns, and in situ monitoring stations continues to increase. This era of prolific greenhouse gas observations presents computational and statistical challenges for inverse modeling frameworks that have traditionally been paired with a limited number of in situ monitoring sites. In this article, we discuss the challenges of estimating greenhouse gas fluxes using large atmospheric datasets with a particular focus on GIMs. We subsequently discuss several strategies for estimating the fluxes and quantifying uncertainties, strategies that are adapted from hydrology, applied math, or other academic fields and are compatible with a wide variety of atmospheric models. We further evaluate the accuracy and computational burden of each strategy using a synthetic CO2 case study based upon NASA's Orbiting Carbon Observatory 2 (OCO-2) satellite. Specifically, we simultaneously estimate a full year of 3-hourly CO2 fluxes across North America in one case study – a total of 9.4×106 unknown fluxes using 9.9×104 synthetic observations. The strategies discussed here provide accurate estimates of CO2 fluxes that are comparable to fluxes calculated directly or analytically. We are also able to approximate posterior uncertainties in the fluxes, but these approximations are, typically, an over- or underestimate depending upon the strategy employed and the degree of approximation required to make the calculations manageable.","container-title":"Geoscientific Model Development","DOI":"10.5194/gmd-13-1771-2020","ISSN":"1991-959X","issue":"3","language":"English","note":"publisher: Copernicus GmbH","page":"1771-1785","source":"Copernicus Online Journals","title":"Geostatistical inverse modeling with very large datasets: an example from the Orbiting Carbon Observatory 2 (OCO-2) satellite","title-short":"Geostatistical inverse modeling with very large datasets","volume":"13","author":[{"family":"Miller","given":"Scot M."},{"family":"Saibaba","given":"Arvind K."},{"family":"Trudeau","given":"Michael E."},{"family":"Mountain","given":"Marikate E."},{"family":"Andrews","given":"Arlyn E."}],"issued":{"date-parts":[["2020",4,2]]}}}],"schema":"https://github.com/citation-style-language/schema/raw/master/csl-citation.json"}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9</w:t>
      </w:r>
      <w:r w:rsidR="009771D3">
        <w:rPr>
          <w:rFonts w:ascii="Times New Roman" w:eastAsia="Times New Roman" w:hAnsi="Times New Roman" w:cs="Times New Roman"/>
        </w:rPr>
        <w:fldChar w:fldCharType="end"/>
      </w:r>
      <w:r>
        <w:rPr>
          <w:rFonts w:ascii="Times New Roman" w:eastAsia="Times New Roman" w:hAnsi="Times New Roman" w:cs="Times New Roman"/>
        </w:rPr>
        <w:t xml:space="preserve">; 9. </w:t>
      </w:r>
      <w:proofErr w:type="spellStart"/>
      <w:r>
        <w:rPr>
          <w:rFonts w:ascii="Times New Roman" w:eastAsia="Times New Roman" w:hAnsi="Times New Roman" w:cs="Times New Roman"/>
        </w:rPr>
        <w:t>LoFI</w:t>
      </w:r>
      <w:proofErr w:type="spellEnd"/>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{"citationID":"u0OTBrWi","properties":{"formattedCitation":"\\super 10\\nosupersub{}","plainCitation":"10","noteIndex":0},"citationItems":[{"id":165,"uris":["http://zotero.org/users/local/ihhrhKXJ/items/WMTRXVHX"],"itemData":{"id":165,"type":"article-journal","abstract":"Activity reductions in early 2020 due to the coronavirus disease 2019 pandemic led to unprecedented decreases in carbon dioxide (CO2) emissions. Despite their record size, the resulting atmospheric signals are smaller than and obscured by climate variability in atmospheric transport and biospheric fluxes, notably that related to the 2019–2020 Indian Ocean Dipole. Monitoring CO2 anomalies and distinguishing human and climatic causes thus remain a new frontier in Earth system science. We show that the impact of short-term regional changes in fossil fuel emissions on CO2 concentrations was observable from space. Starting in February and continuing through May, column CO2 over many of the world’s largest emitting regions was 0.14 to 0.62 parts per million less than expected in a pandemic-free scenario, consistent with reductions of 3 to 13% in annual global emissions. Current spaceborne technologies are therefore approaching levels of accuracy and precision needed to support climate mitigation strategies with future missions expected to meet those needs.","container-title":"Science Advances","DOI":"10.1126/sciadv.abf9415","issue":"45","note":"publisher: American Association for the Advancement of Science","page":"eabf9415","source":"science.org (Atypon)","title":"Regional impacts of COVID-19 on carbon dioxide detected worldwide from space","volume":"7","author":[{"family":"Weir","given":"Brad"},{"family":"Crisp","given":"David"},{"family":"O’Dell","given":"Christopher W."},{"family":"Basu","given":"Sourish"},{"family":"Chatterjee","given":"Abhishek"},{"family":"Kolassa","given":"Jana"},{"family":"Oda","given":"Tomohiro"},{"family":"Pawson","given":"Steven"},{"family":"Poulter","given":"Benjamin"},{"family":"Zhang","given":"Zhen"},{"family":"Ciais","given":"Philippe"},{"family":"Davis","given":"Steven J."},{"family":"Liu","given":"Zhu"},{"family":"Ott","given":"Lesley E."}],"issued":{"date-parts":[["2021",11,3]]}}}],"schema":"https://github.com/citation-style-language/schema/raw/master/csl-citation.json"}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10</w:t>
      </w:r>
      <w:r w:rsidR="009771D3">
        <w:rPr>
          <w:rFonts w:ascii="Times New Roman" w:eastAsia="Times New Roman" w:hAnsi="Times New Roman" w:cs="Times New Roman"/>
        </w:rPr>
        <w:fldChar w:fldCharType="end"/>
      </w:r>
      <w:r>
        <w:rPr>
          <w:rFonts w:ascii="Times New Roman" w:eastAsia="Times New Roman" w:hAnsi="Times New Roman" w:cs="Times New Roman"/>
        </w:rPr>
        <w:t>; 10. NIES</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{"citationID":"gyLjU3JJ","properties":{"formattedCitation":"\\super 11\\nosupersub{}","plainCitation":"11","noteIndex":0},"citationItems":[{"id":167,"uris":["http://zotero.org/users/local/ihhrhKXJ/items/IHTD8SK6"],"itemData":{"id":167,"type":"article-journal","abstract":"We developed a high-resolution surface flux inversion system based on the global Eulerian–Lagrangian coupled tracer transport model composed of the National Institute for Environmental Studies (NIES) transport model (TM; collectively NIES-TM) and the FLEXible PARTicle dispersion model (FLEXPART). The inversion system is named NTFVAR (NIES-TM–FLEXPART-variational) as it applies a variational optimization to estimate surface fluxes. We tested the system by estimating optimized corrections to natural surface CO2 fluxes to achieve the best fit to atmospheric CO2 data collected by the global in situ network as a necessary step towards the capability of estimating anthropogenic CO2 emissions. We employed the Lagrangian particle dispersion model (LPDM) FLEXPART to calculate surface flux footprints of CO2 observations at a spatial resolution of 0.1</w:instrText>
      </w:r>
      <w:r w:rsidR="009771D3">
        <w:rPr>
          <w:rFonts w:ascii="Cambria Math" w:eastAsia="Times New Roman" w:hAnsi="Cambria Math" w:cs="Cambria Math"/>
        </w:rPr>
        <w:instrText>∘</w:instrText>
      </w:r>
      <w:r w:rsidR="009771D3">
        <w:rPr>
          <w:rFonts w:ascii="Times New Roman" w:eastAsia="Times New Roman" w:hAnsi="Times New Roman" w:cs="Times New Roman"/>
        </w:rPr>
        <w:instrText>×0.1</w:instrText>
      </w:r>
      <w:r w:rsidR="009771D3">
        <w:rPr>
          <w:rFonts w:ascii="Cambria Math" w:eastAsia="Times New Roman" w:hAnsi="Cambria Math" w:cs="Cambria Math"/>
        </w:rPr>
        <w:instrText>∘</w:instrText>
      </w:r>
      <w:r w:rsidR="009771D3">
        <w:rPr>
          <w:rFonts w:ascii="Times New Roman" w:eastAsia="Times New Roman" w:hAnsi="Times New Roman" w:cs="Times New Roman"/>
        </w:rPr>
        <w:instrText xml:space="preserve">. The LPDM is coupled with a global atmospheric tracer transport model (NIES-TM). Our inversion technique uses an adjoint of the coupled transport model in an iterative optimization procedure. The flux error covariance operator was implemented via implicit diffusion. Biweekly flux corrections to prior flux fields were estimated for the years 2010–2012 from in situ CO2 data included in the Observation Package (ObsPack) data set. High-resolution prior flux fields were prepared using the Open-Data Inventory for Anthropogenic Carbon dioxide (ODIAC) for fossil fuel combustion, the Global Fire Assimilation System (GFAS) for biomass burning, the Vegetation Integrative SImulator for Trace gases (VISIT) model for terrestrial biosphere exchange, and the Ocean Tracer Transport Model (OTTM) for oceanic exchange. The terrestrial biospheric flux field was constructed using a vegetation mosaic map and a separate simulation of CO2 fluxes at a daily time step by the VISIT model for each vegetation type. The prior flux uncertainty for the terrestrial biosphere was scaled proportionally to the monthly mean gross primary production (GPP) by the Moderate Resolution Imaging Spectroradiometer (MODIS) MOD17 product. The inverse system calculates flux corrections to the prior fluxes in the form of a relatively smooth field multiplied by high-resolution patterns of the prior flux uncertainties for land and ocean, following the coastlines and fine-scale vegetation productivity gradients. The resulting flux estimates improved the fit to the observations taken at continuous observation sites, reproducing both the seasonal and short-term concentration variabilities including high CO2 concentration events associated with anthropogenic emissions. The use of a high-resolution atmospheric transport in global CO2 flux inversions has the advantage of better resolving the transported mixed signals from the anthropogenic and biospheric sources in densely populated continental regions. Thus, it has the potential to achieve better separation between fluxes from terrestrial ecosystems and strong localized sources, such as anthropogenic emissions and forest fires. Further improvements in the modelling system are needed as our posterior fit was better than that of the National Oceanic and Atmospheric Administration (NOAA)'s CarbonTracker for only a fraction of the monitoring sites, i.e. mostly at coastal and island locations where background and local flux signals are mixed.","container-title":"Atmospheric Chemistry and Physics","DOI":"10.5194/acp-21-1245-2021","ISSN":"1680-7316","issue":"2","language":"English","note":"publisher: Copernicus GmbH","page":"1245-1266","source":"Copernicus Online Journals","title":"Technical note: A high-resolution inverse modelling technique for estimating surface CO&lt;sub&gt;2&lt;/sub&gt; fluxes based on the NIES-TM–FLEXPART coupled transport model and its adjoint","title-short":"Technical note","volume":"21","author":[{"family":"Maksyutov","given":"Shamil"},{"family":"Oda","given":"Tomohiro"},{"family":"Saito","given":"Makoto"},{"family":"Janardanan","given":"Rajesh"},{"family":"Belikov","given":"Dmitry"},{"family":"Kaiser","given":"Johannes W."},{"family":"Zhuravlev","given":"Ruslan"},{"family":"Ganshin","given":"Alexander"},{"family":"Valsala","given":"Vinu K."},{"family":"Andrews","given":"Arlyn"},{"family":"Chmura","given":"Lukasz"},{"family":"Dlugokencky","given":"Edward"},{"family":"Haszpra","given":"László"},{"family":"Langenfelds","given":"Ray L."},{"family":"Machida","given":"Toshinobu"},{"family":"Nakazawa","given":"Takakiyo"},{"family":"Ramonet","given":"Michel"},{"family":"Sweeney","given":"Colm"},{"family":"Worthy","given":"Douglas"}],"issued":{"date-parts":[["2021",1,29]]}}}],"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11</w:t>
      </w:r>
      <w:r w:rsidR="009771D3">
        <w:rPr>
          <w:rFonts w:ascii="Times New Roman" w:eastAsia="Times New Roman" w:hAnsi="Times New Roman" w:cs="Times New Roman"/>
        </w:rPr>
        <w:fldChar w:fldCharType="end"/>
      </w:r>
      <w:r>
        <w:rPr>
          <w:rFonts w:ascii="Times New Roman" w:eastAsia="Times New Roman" w:hAnsi="Times New Roman" w:cs="Times New Roman"/>
        </w:rPr>
        <w:t>; 11. OU</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{"citationID":"Z2hSszaU","properties":{"formattedCitation":"\\super 12\\nosupersub{}","plainCitation":"12","noteIndex":0},"citationItems":[{"id":170,"uris":["http://zotero.org/users/local/ihhrhKXJ/items/QCD32C52"],"itemData":{"id":170,"type":"article-journal","abstract":"The Orbiting Carbon Observatory-2 has been on orbit since 2014, and its global coverage holds the potential to reveal new information about the carbon cycle through the use of top-down atmospheric inversion methods combined with column average CO2 retrievals. We employ a large ensemble of atmospheric inversions utilizing different transport models, data assimilation techniques, and prior flux distributions in order to quantify the satellite-informed fluxes from OCO-2 Version 7r land observations and their uncertainties at continental scales. Additionally, we use in situ measurements to provide a baseline against which to compare the satellite-constrained results. We find that within the ensemble spread, in situ observations, and satellite retrievals constrain a similar global total carbon sink of 3.7±0.5&amp;thinsp;PgC&amp;thinsp;yr−1, and 1.5±0.6&amp;thinsp;PgC&amp;thinsp;yr−1 for global land, for the 2015–2016 annual mean. This agreement breaks down in smaller regions, and we discuss the differences between the experiments. Of particular interest is the difference between the different assimilation constraints in the tropics, with the largest differences occurring in tropical Africa, which could be an indication of the global perturbation from the 2015–2016 El Niño. Evaluation of posterior concentrations using TCCON and aircraft observations gives some limited insight into the quality of the different assimilation constraints, but the lack of such data in the tropics inhibits our ability to make strong conclusions there.","container-title":"Atmospheric Chemistry and Physics","DOI":"10.5194/acp-19-9797-2019","ISSN":"1680-7316","issue":"15","language":"English","note":"publisher: Copernicus GmbH","page":"9797-9831","source":"Copernicus Online Journals","title":"The 2015–2016 carbon cycle as seen from OCO-2 and the global in situ network","volume":"19","author":[{"family":"Crowell","given":"Sean"},{"family":"Baker","given":"David"},{"family":"Schuh","given":"Andrew"},{"family":"Basu","given":"Sourish"},{"family":"Jacobson","given":"Andrew R."},{"family":"Chevallier","given":"Frederic"},{"family":"Liu","given":"Junjie"},{"family":"Deng","given":"Feng"},{"family":"Feng","given":"Liang"},{"family":"McKain","given":"Kathryn"},{"family":"Chatterjee","given":"Abhishek"},{"family":"Miller","given":"John B."},{"family":"Stephens","given":"Britton B."},{"family":"Eldering","given":"Annmarie"},{"family":"Crisp","given":"David"},{"family":"Schimel","given":"David"},{"family":"Nassar","given":"Ray"},{"family":"O'Dell","given":"Christopher W."},{"family":"Oda","given":"Tomohiro"},{"family":"Sweeney","given":"Colm"},{"family":"Palmer","given":"Paul I."},{"family":"Jones","given":"Dylan B. A."}],"issued":{"date-parts":[["2019",8,2]]}}}],"schema":"https://github.com/citation-style-language/schema/raw/master/csl-citation.json"}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12</w:t>
      </w:r>
      <w:r w:rsidR="009771D3">
        <w:rPr>
          <w:rFonts w:ascii="Times New Roman" w:eastAsia="Times New Roman" w:hAnsi="Times New Roman" w:cs="Times New Roman"/>
        </w:rPr>
        <w:fldChar w:fldCharType="end"/>
      </w:r>
      <w:r>
        <w:rPr>
          <w:rFonts w:ascii="Times New Roman" w:eastAsia="Times New Roman" w:hAnsi="Times New Roman" w:cs="Times New Roman"/>
        </w:rPr>
        <w:t>; 12.TM5-4DVAR</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{"citationID":"s7AYZKFB","properties":{"formattedCitation":"\\super 13\\nosupersub{}","plainCitation":"13","noteIndex":0},"citationItems":[{"id":173,"uris":["http://zotero.org/users/local/ihhrhKXJ/items/XSY9AUXY"],"itemData":{"id":173,"type":"article-journal","abstract":"We present one of the first estimates of the global distribution of CO2 surface fluxes using total column CO2 measurements retrieved by the SRON-KIT RemoTeC algorithm from the Greenhouse gases Observing SATellite (GOSAT). We derive optimized fluxes from June 2009 to December 2010. We estimate fluxes from surface CO2 measurements to use as baselines for comparing GOSAT data-derived fluxes. Assimilating only GOSAT data, we can reproduce the observed CO2 time series at surface and TCCON sites in the tropics and the northern extra-tropics. In contrast, in the southern extra-tropics GOSAT XCO2 leads to enhanced seasonal cycle amplitudes compared to independent measurements, and we identify it as the result of a land–sea bias in our GOSAT XCO2 retrievals. A bias correction in the form of a global offset between GOSAT land and sea pixels in a joint inversion of satellite and surface measurements of CO2 yields plausible global flux estimates which are more tightly constrained than in an inversion using surface CO2 data alone. We show that assimilating the bias-corrected GOSAT data on top of surface CO2 data (a) reduces the estimated global land sink of CO2, and (b) shifts the terrestrial net uptake of carbon from the tropics to the extra-tropics. It is concluded that while GOSAT total column CO2 provide useful constraints for source–sink inversions, small spatiotemporal biases – beyond what can be detected using current validation techniques – have serious consequences for optimized fluxes, even aggregated over continental scales.","container-title":"Atmospheric Chemistry and Physics","DOI":"10.5194/acp-13-8695-2013","ISSN":"1680-7316","issue":"17","language":"English","note":"publisher: Copernicus GmbH","page":"8695-8717","source":"Copernicus Online Journals","title":"Global CO&lt;sub&gt;2&lt;/sub&gt; fluxes estimated from GOSAT retrievals of total column CO&lt;sub&gt;2&lt;/sub&gt;","volume":"13","author":[{"family":"Basu","given":"S."},{"family":"Guerlet","given":"S."},{"family":"Butz","given":"A."},{"family":"Houweling","given":"S."},{"family":"Hasekamp","given":"O."},{"family":"Aben","given":"I."},{"family":"Krummel","given":"P."},{"family":"Steele","given":"P."},{"family":"Langenfelds","given":"R."},{"family":"Torn","given":"M."},{"family":"Biraud","given":"S."},{"family":"Stephens","given":"B."},{"family":"Andrews","given":"A."},{"family":"Worthy","given":"D."}],"issued":{"date-parts":[["2013",9,3]]}}}],"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13</w:t>
      </w:r>
      <w:r w:rsidR="009771D3">
        <w:rPr>
          <w:rFonts w:ascii="Times New Roman" w:eastAsia="Times New Roman" w:hAnsi="Times New Roman" w:cs="Times New Roman"/>
        </w:rPr>
        <w:fldChar w:fldCharType="end"/>
      </w:r>
      <w:r>
        <w:rPr>
          <w:rFonts w:ascii="Times New Roman" w:eastAsia="Times New Roman" w:hAnsi="Times New Roman" w:cs="Times New Roman"/>
        </w:rPr>
        <w:t>; 13. UT</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{"citationID":"Lo6YjjC4","properties":{"formattedCitation":"\\super 14\\nosupersub{}","plainCitation":"14","noteIndex":0},"citationItems":[{"id":175,"uris":["http://zotero.org/users/local/ihhrhKXJ/items/SCDND4D5"],"itemData":{"id":175,"type":"article-journal","abstract":"We used the GEOS-Chem data assimilation system to examine the impact of combining Greenhouse Gases Observing Satellite (GOSAT) XCO2 data over land and ocean on regional CO2 flux estimates for 2010–2012. We found that compared to assimilating only land data, combining land and ocean data produced an a posteriori CO2 distribution that is in better agreement with independent data and fluxes that are in closer agreement with existing top-down and bottom-up estimates. Adding XCO2 data over oceans changed the tropical land regions from a source of 0.64 Pg C/yr to a sink of −0.60 Pg C/yr and produced a corresponding reduction in the estimated sink in northern and southern land regions by 0.49 Pg C/yr and 0.80 Pg C/yr, respectively. This highlights the importance of improved observational coverage in the tropics to better quantify the latitudinal distribution of the terrestrial fluxes. Based only on land XCO2 data, we estimated a strong source in northern tropical South America, which experienced wet conditions in 2010–2012. In contrast, with the land and ocean data, we estimated a sink for this wet region in the north, and a source for the seasonally dry regions in the south and east, which is consistent with our understanding of the impact of moisture availability on the carbon balance of the region. Our results suggest that using satellite data with a more zonally balanced observational coverage could help mitigate discrepancies in CO2 flux estimates; further improvement could be expected with the greater observational coverage provided by the Orbiting Carbon Observatory-2.","container-title":"Journal of Geophysical Research: Atmospheres","DOI":"10.1002/2015JD024157","ISSN":"2169-8996","issue":"4","language":"en","license":"©2016. American Geophysical Union. All Rights Reserved.","note":"_eprint: https://onlinelibrary.wiley.com/doi/pdf/10.1002/2015JD024157","page":"1896-1913","source":"Wiley Online Library","title":"Combining GOSAT XCO2 observations over land and ocean to improve regional CO2 flux estimates","volume":"121","author":[{"family":"Deng","given":"Feng"},{"family":"Jones","given":"Dylan B. A."},{"family":"O'Dell","given":"Christopher W."},{"family":"Nassar","given":"Ray"},{"family":"Parazoo","given":"Nicholas C."}],"issued":{"date-parts":[["2016"]]}}}],"schema":"https://github.com/citation-style-language/schema/raw/master/csl-citation.json"}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14</w:t>
      </w:r>
      <w:r w:rsidR="009771D3">
        <w:rPr>
          <w:rFonts w:ascii="Times New Roman" w:eastAsia="Times New Roman" w:hAnsi="Times New Roman" w:cs="Times New Roman"/>
        </w:rPr>
        <w:fldChar w:fldCharType="end"/>
      </w:r>
      <w:r>
        <w:rPr>
          <w:rFonts w:ascii="Times New Roman" w:eastAsia="Times New Roman" w:hAnsi="Times New Roman" w:cs="Times New Roman"/>
        </w:rPr>
        <w:t>; 14.WOMBAT</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{"citationID":"U7Ym5yGI","properties":{"formattedCitation":"\\super 15\\nosupersub{}","plainCitation":"15","noteIndex":0},"citationItems":[{"id":179,"uris":["http://zotero.org/users/local/ihhrhKXJ/items/DRXP56FM"],"itemData":{"id":179,"type":"article-journal","abstract":"WOMBAT (the WOllongong Methodology for Bayesian Assimilation of Trace-gases) is a fully Bayesian hierarchical statistical framework for flux inversion of trace gases from flask, in situ, and remotely sensed data. WOMBAT extends the conventional Bayesian synthesis framework through the consideration of a correlated error term, the capacity for online bias correction, and the provision of uncertainty quantification on all unknowns that appear in the Bayesian statistical model. We show, in an observing system simulation experiment (OSSE), that these extensions are crucial when the data are indeed biased and have errors that are spatio-temporally correlated. Using the GEOS-Chem atmospheric transport model, we show that WOMBAT is able to obtain posterior means and variances on non-fossil-fuel CO2 fluxes from Orbiting Carbon Observatory-2 (OCO-2) data that are comparable to those from the Model Intercomparison Project (MIP) reported in Crowell et al. (2019). We also find that WOMBAT's predictions of out-of-sample retrievals obtained from the Total Column Carbon Observing Network (TCCON) are, for the most part, more accurate than those made by the MIP participants.","container-title":"Geoscientific Model Development","DOI":"10.5194/gmd-15-45-2022","ISSN":"1991-959X","issue":"1","language":"English","note":"publisher: Copernicus GmbH","page":"45-73","source":"Copernicus Online Journals","title":"WOMBAT v1.0: a fully Bayesian global flux-inversion framework","title-short":"WOMBAT v1.0","volume":"15","author":[{"family":"Zammit-Mangion","given":"Andrew"},{"family":"Bertolacci","given":"Michael"},{"family":"Fisher","given":"Jenny"},{"family":"Stavert","given":"Ann"},{"family":"Rigby","given":"Matthew"},{"family":"Cao","given":"Yi"},{"family":"Cressie","given":"Noel"}],"issued":{"date-parts":[["2022",1,6]]}}}],"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15</w:t>
      </w:r>
      <w:r w:rsidR="009771D3">
        <w:rPr>
          <w:rFonts w:ascii="Times New Roman" w:eastAsia="Times New Roman" w:hAnsi="Times New Roman" w:cs="Times New Roman"/>
        </w:rPr>
        <w:fldChar w:fldCharType="end"/>
      </w:r>
      <w:r>
        <w:rPr>
          <w:rFonts w:ascii="Times New Roman" w:eastAsia="Times New Roman" w:hAnsi="Times New Roman" w:cs="Times New Roman"/>
        </w:rPr>
        <w:t>; MIROC4-ACTM (NC22). Further information on individual modelling systems are in</w:t>
      </w:r>
      <w:r w:rsidR="00BB177B">
        <w:rPr>
          <w:rFonts w:ascii="Times New Roman" w:eastAsia="Times New Roman" w:hAnsi="Times New Roman" w:cs="Times New Roman"/>
        </w:rPr>
        <w:t xml:space="preserve"> </w:t>
      </w:r>
      <w:proofErr w:type="spellStart"/>
      <w:r>
        <w:rPr>
          <w:rFonts w:ascii="Times New Roman" w:eastAsia="Times New Roman" w:hAnsi="Times New Roman" w:cs="Times New Roman"/>
        </w:rPr>
        <w:t>Peiro</w:t>
      </w:r>
      <w:proofErr w:type="spellEnd"/>
      <w:r>
        <w:rPr>
          <w:rFonts w:ascii="Times New Roman" w:eastAsia="Times New Roman" w:hAnsi="Times New Roman" w:cs="Times New Roman"/>
        </w:rPr>
        <w:t xml:space="preserve"> et al.</w:t>
      </w:r>
      <w:r w:rsidR="009771D3">
        <w:rPr>
          <w:rFonts w:ascii="Times New Roman" w:eastAsia="Times New Roman" w:hAnsi="Times New Roman" w:cs="Times New Roman"/>
        </w:rPr>
        <w:fldChar w:fldCharType="begin"/>
      </w:r>
      <w:r w:rsidR="009771D3">
        <w:rPr>
          <w:rFonts w:ascii="Times New Roman" w:eastAsia="Times New Roman" w:hAnsi="Times New Roman" w:cs="Times New Roman"/>
        </w:rPr>
        <w:instrText xml:space="preserve"> ADDIN ZOTERO_ITEM CSL_CITATION {"citationID":"asn6rfkP","properties":{"formattedCitation":"\\super 16\\nosupersub{}","plainCitation":"16","noteIndex":0},"citationItems":[{"id":61,"uris":["http://zotero.org/users/local/ihhrhKXJ/items/27NF3CSU"],"itemData":{"id":61,"type":"article-journal","abstract":"The Orbiting Carbon Observatory 2 (OCO-2) satellite has been providing information to estimate carbon dioxide (CO2) fluxes at global and regional scales since 2014 through the combination of CO2 retrievals with top–down atmospheric inversion methods. Column average CO2 dry-air mole fraction retrievals have been constantly improved. A bias correction has been applied in the OCO-2 version 9 retrievals compared to the previous OCO-2 version 7r improving data accuracy and coverage. We study an ensemble of 10 atmospheric inversions all characterized by different transport models, data assimilation algorithms, and prior fluxes using first OCO-2 v7 in 2015–2016 and then OCO-2 version 9 land observations for the longer period 2015–2018. Inversions assimilating in situ (IS) measurements have also been used to provide a baseline against which the satellite-driven results are compared. The time series at different scales (going from global to regional scales) of the models emissions are analyzed and compared to each experiment using either OCO-2 or IS data. We then evaluate the inversion ensemble based on the dataset from the Total Carbon Column Observing Network (TCCON), aircraft, and in situ observations, all independent from assimilated data. While we find a similar constraint of global total carbon emissions between the ensemble spread using IS and both OCO-2 retrievals, differences between the two retrieval versions appear over regional scales and particularly in tropical Africa. A difference in the carbon budget between v7 and v9 is found over this region, which seems to show the impact of corrections applied in retrievals. However, the lack of data in the tropics limits our conclusions, and the estimation of carbon emissions over tropical Africa require further analysis.","container-title":"Atmospheric Chemistry and Physics","DOI":"10.5194/acp-22-1097-2022","ISSN":"1680-7316","issue":"2","language":"English","note":"publisher: Copernicus GmbH","page":"1097-1130","source":"Copernicus Online Journals","title":"Four years of global carbon cycle observed from the Orbiting Carbon Observatory 2 (OCO-2) version 9 and in situ data and comparison to OCO-2 version 7","volume":"22","author":[{"family":"Peiro","given":"Hélène"},{"family":"Crowell","given":"Sean"},{"family":"Schuh","given":"Andrew"},{"family":"Baker","given":"David F."},{"family":"O'Dell","given":"Chris"},{"family":"Jacobson","given":"Andrew R."},{"family":"Chevallier","given":"Frédéric"},{"family":"Liu","given":"Junjie"},{"family":"Eldering","given":"Annmarie"},{"family":"Crisp","given":"David"},{"family":"Deng","given":"Feng"},{"family":"Weir","given":"Brad"},{"family":"Basu","given":"Sourish"},{"family":"Johnson","given":"Matthew S."},{"family":"Philip","given":"Sajeev"},{"family":"Baker","given":"Ian"}],"issued":{"date-parts":[["2022",1,24]]}}}],"schema":"https://github.com/citation-style-language/schema/raw/master/csl-citation.json"} </w:instrText>
      </w:r>
      <w:r w:rsidR="009771D3">
        <w:rPr>
          <w:rFonts w:ascii="Times New Roman" w:eastAsia="Times New Roman" w:hAnsi="Times New Roman" w:cs="Times New Roman"/>
        </w:rPr>
        <w:fldChar w:fldCharType="separate"/>
      </w:r>
      <w:r w:rsidR="009771D3" w:rsidRPr="009771D3">
        <w:rPr>
          <w:rFonts w:ascii="Times New Roman" w:hAnsi="Times New Roman" w:cs="Times New Roman"/>
          <w:vertAlign w:val="superscript"/>
          <w:lang w:val="en-US"/>
        </w:rPr>
        <w:t>16</w:t>
      </w:r>
      <w:r w:rsidR="009771D3">
        <w:rPr>
          <w:rFonts w:ascii="Times New Roman" w:eastAsia="Times New Roman" w:hAnsi="Times New Roman" w:cs="Times New Roman"/>
        </w:rPr>
        <w:fldChar w:fldCharType="end"/>
      </w:r>
      <w:r>
        <w:rPr>
          <w:rFonts w:ascii="Times New Roman" w:eastAsia="Times New Roman" w:hAnsi="Times New Roman" w:cs="Times New Roman"/>
        </w:rPr>
        <w:t xml:space="preserve"> &amp; BB22.</w:t>
      </w:r>
    </w:p>
    <w:p w:rsidR="00A73BDC" w:rsidRDefault="00000000" w:rsidP="00C659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both"/>
        <w:rPr>
          <w:rFonts w:ascii="Times New Roman" w:eastAsia="Times New Roman" w:hAnsi="Times New Roman" w:cs="Times New Roman"/>
        </w:rPr>
      </w:pPr>
      <w:r>
        <w:rPr>
          <w:rFonts w:ascii="Times New Roman" w:eastAsia="Times New Roman" w:hAnsi="Times New Roman" w:cs="Times New Roman"/>
          <w:b/>
        </w:rPr>
        <w:t xml:space="preserve">Table S2: </w:t>
      </w:r>
      <w:r>
        <w:rPr>
          <w:rFonts w:ascii="Times New Roman" w:eastAsia="Times New Roman" w:hAnsi="Times New Roman" w:cs="Times New Roman"/>
        </w:rPr>
        <w:t xml:space="preserve"> List of sites used in this study 50 background sites (in situ; 44 surface-flask and 6 continuous sites; </w:t>
      </w:r>
      <w:r w:rsidR="00A20B06">
        <w:rPr>
          <w:rFonts w:ascii="Times New Roman" w:eastAsia="Times New Roman" w:hAnsi="Times New Roman" w:cs="Times New Roman"/>
        </w:rPr>
        <w:t>NC22</w:t>
      </w:r>
      <w:r>
        <w:rPr>
          <w:rFonts w:ascii="Times New Roman" w:eastAsia="Times New Roman" w:hAnsi="Times New Roman" w:cs="Times New Roman"/>
        </w:rPr>
        <w:t>)</w:t>
      </w:r>
    </w:p>
    <w:tbl>
      <w:tblPr>
        <w:tblStyle w:val="ae"/>
        <w:tblW w:w="85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526"/>
        <w:gridCol w:w="3435"/>
        <w:gridCol w:w="993"/>
        <w:gridCol w:w="1046"/>
        <w:gridCol w:w="1020"/>
        <w:gridCol w:w="1500"/>
      </w:tblGrid>
      <w:tr w:rsidR="00A73BDC">
        <w:tc>
          <w:tcPr>
            <w:tcW w:w="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Sl.</w:t>
            </w: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No</w:t>
            </w:r>
          </w:p>
        </w:tc>
        <w:tc>
          <w:tcPr>
            <w:tcW w:w="3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ObsPack dataset name (3 alphabets after “co2_” indicate site code name of WMO)</w:t>
            </w:r>
          </w:p>
        </w:tc>
        <w:tc>
          <w:tcPr>
            <w:tcW w:w="993"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Latitude</w:t>
            </w:r>
          </w:p>
        </w:tc>
        <w:tc>
          <w:tcPr>
            <w:tcW w:w="1046"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Longitude</w:t>
            </w:r>
          </w:p>
        </w:tc>
        <w:tc>
          <w:tcPr>
            <w:tcW w:w="102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Altitude</w:t>
            </w:r>
          </w:p>
        </w:tc>
        <w:tc>
          <w:tcPr>
            <w:tcW w:w="150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Operating Institute</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co2_alt_surface-flask_1_representative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82.5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-62.5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co2_asc_surface-flask_1_representative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co2_ask_surface-flask_1_representative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23.3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2710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co2_azr_surface-flask_1_representative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38.8</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-27.4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co2_bmw_surface-flask_1_representative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32.3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-64.9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co2_brw_surface-flask_1_representative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71.3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-156.6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co2_cba_surface-flask_1_representative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55.2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-162.7</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co2_cgo_surface-flask_1_representative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-40.7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144.7</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co2_chr_surface-flask_1_representative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-157.2</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co2_crz_surface-flask_1_representative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-46.4</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51.8</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co2_eic_surface-flask_1_representative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-27.2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-109.4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co2_gmi_surface-flask_1_representative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13.4</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144.7</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co2_hba_surface-flask_1_representative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-75.6</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-26.2</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co2_hun_surface-flask_1_representative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16.7</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248</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co2_ice_surface-flask_1_representative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63.4</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-20.3</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118</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co2_izo_surface-flask_1_representative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28.3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-16.5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2373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co2_key_surface-flask_1_representative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25.7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-80.2</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co2_kum_surface-flask_1_representative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-154.8</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co2_mhd_surface-flask_1_representative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53.3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co2_mid_surface-flask_1_representative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28.2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-177.4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co2_mlo_surface-flask_1_representative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-155.6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3397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co2_nmb_surface-flask_1_representative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-23.6</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456</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co2_nwr_surface-flask_1_representative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40.1</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-105.6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3523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co2_psa_surface-flask_1_representative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-64.9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25</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co2_rpb_surface-flask_1_representative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13.2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-59.4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co2_sey_surface-flask_1_representative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55.5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co2_shm_surface-flask_1_representative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52.7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174.1</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co2_smo_surface-flask_1_representative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-170.6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co2_spo_surface-flask_1_representative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-24.8</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2810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co2_sum_surface-flask_1_representative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72.6</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-38.4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3209</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co2_syo_surface-flask_1_representative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39.6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co2_tap_surface-flask_1_representative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36.7</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126.1</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co2_ush_surface-flask_1_representative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-54.8</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-68.3</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co2_uta_surface-flask_1_representative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39.9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-113.7</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1327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35</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co2_uum_surface-flask_1_representative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44.5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111.1</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co2_wis_surface-flask_1_representative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35.1</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37</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co2_wlg_surface-flask_1_representative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36.3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3810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co2_zep_surface-flask_1_representative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78.9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474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GML/NOAA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co2_cfa_surface-flask_2_representative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-19.3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147.1</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CSIRO</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40</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co2_mqa_surface-flask_2_representative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-54.5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CSIRO</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41</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co2_cya_surface-flask_2_representative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-66.3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110.5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CSIRO</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42</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co2_maa_surface-flask_2_representative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-67.6</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62.9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CSIRO</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co2_ams_surface-insitu_11_representative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-37.8</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77.5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LSCE/IPSL</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44</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co2_bhd_surface-flask_426_representative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-41.4</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174.9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SIO-CO2</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45</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co2_rk1_surface-flask_426_representative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-29.2</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-177.9</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SIO-CO2</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46</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co2_cpt_surface-insitu_36_marine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-34.4</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18.5</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230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SAW</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co2_fsd_surface-insitu_6_allvalid</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49.9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-81.6</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210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ECCC</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48</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co2_mnm_surface-insitu_19_representative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24.3</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154</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JMA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49</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co2_ryo_surface-insitu_19_representative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141.8</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260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JMA</w:t>
            </w:r>
          </w:p>
        </w:tc>
      </w:tr>
      <w:tr w:rsidR="00A73BDC">
        <w:tc>
          <w:tcPr>
            <w:tcW w:w="52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50</w:t>
            </w:r>
          </w:p>
        </w:tc>
        <w:tc>
          <w:tcPr>
            <w:tcW w:w="343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co2_yon_surface-insitu_19_representative</w:t>
            </w:r>
          </w:p>
        </w:tc>
        <w:tc>
          <w:tcPr>
            <w:tcW w:w="993"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24.5</w:t>
            </w:r>
          </w:p>
        </w:tc>
        <w:tc>
          <w:tcPr>
            <w:tcW w:w="1046"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123</w:t>
            </w:r>
          </w:p>
        </w:tc>
        <w:tc>
          <w:tcPr>
            <w:tcW w:w="102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JMA</w:t>
            </w:r>
          </w:p>
        </w:tc>
      </w:tr>
    </w:tbl>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b/>
        </w:rPr>
      </w:pPr>
    </w:p>
    <w:p w:rsidR="00A73BDC" w:rsidRDefault="00000000">
      <w:pPr>
        <w:rPr>
          <w:rFonts w:ascii="Times New Roman" w:eastAsia="Times New Roman" w:hAnsi="Times New Roman" w:cs="Times New Roman"/>
        </w:rPr>
      </w:pPr>
      <w:r>
        <w:br w:type="page"/>
      </w:r>
    </w:p>
    <w:p w:rsidR="00A73BDC" w:rsidRDefault="00000000" w:rsidP="003A08C7">
      <w:pPr>
        <w:spacing w:line="480" w:lineRule="auto"/>
        <w:jc w:val="both"/>
        <w:rPr>
          <w:rFonts w:ascii="Times New Roman" w:eastAsia="Times New Roman" w:hAnsi="Times New Roman" w:cs="Times New Roman"/>
        </w:rPr>
      </w:pPr>
      <w:r>
        <w:rPr>
          <w:rFonts w:ascii="Times New Roman" w:eastAsia="Times New Roman" w:hAnsi="Times New Roman" w:cs="Times New Roman"/>
          <w:b/>
        </w:rPr>
        <w:lastRenderedPageBreak/>
        <w:t>Table S3:</w:t>
      </w:r>
      <w:r>
        <w:rPr>
          <w:rFonts w:ascii="Times New Roman" w:eastAsia="Times New Roman" w:hAnsi="Times New Roman" w:cs="Times New Roman"/>
        </w:rPr>
        <w:t xml:space="preserve"> Global total flux (land+ocean) distribution (Unit: PgC yr</w:t>
      </w:r>
      <w:r>
        <w:rPr>
          <w:rFonts w:ascii="Times New Roman" w:eastAsia="Times New Roman" w:hAnsi="Times New Roman" w:cs="Times New Roman"/>
          <w:vertAlign w:val="superscript"/>
        </w:rPr>
        <w:t>-1</w:t>
      </w:r>
      <w:r>
        <w:rPr>
          <w:rFonts w:ascii="Times New Roman" w:eastAsia="Times New Roman" w:hAnsi="Times New Roman" w:cs="Times New Roman"/>
        </w:rPr>
        <w:t>) over different meridional belts in IS inversions. Calculation is performed by taking 2015-2020 mean first. MIROC4-ACTM is calculated separately and excluded from multi-model statistics. Northern extratropics (NHE; 90ºN-30ºN); tropics (TRP; 30ºN-30ºS) and southern extratropics (SHE; 30ºS-90ºS). Values in the brackets for individual model rows indicate interannual variability but in the multi-model mean row, it shows multi-model spread (1-</w:t>
      </w:r>
      <w:r w:rsidR="00912D5E">
        <w:rPr>
          <w:rFonts w:ascii="Times New Roman" w:eastAsia="Times New Roman" w:hAnsi="Times New Roman" w:cs="Times New Roman"/>
        </w:rPr>
        <w:t>σ</w:t>
      </w:r>
      <w:r>
        <w:rPr>
          <w:rFonts w:ascii="Times New Roman" w:eastAsia="Times New Roman" w:hAnsi="Times New Roman" w:cs="Times New Roman"/>
        </w:rPr>
        <w:t xml:space="preserve">). </w:t>
      </w:r>
    </w:p>
    <w:tbl>
      <w:tblPr>
        <w:tblStyle w:val="af"/>
        <w:tblW w:w="72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70"/>
        <w:gridCol w:w="1500"/>
        <w:gridCol w:w="1470"/>
        <w:gridCol w:w="1290"/>
        <w:gridCol w:w="1500"/>
      </w:tblGrid>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Model</w:t>
            </w:r>
          </w:p>
        </w:tc>
        <w:tc>
          <w:tcPr>
            <w:tcW w:w="150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SHE</w:t>
            </w:r>
          </w:p>
        </w:tc>
        <w:tc>
          <w:tcPr>
            <w:tcW w:w="147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TRP</w:t>
            </w:r>
          </w:p>
        </w:tc>
        <w:tc>
          <w:tcPr>
            <w:tcW w:w="129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NHE</w:t>
            </w:r>
          </w:p>
        </w:tc>
        <w:tc>
          <w:tcPr>
            <w:tcW w:w="150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Global mean </w:t>
            </w:r>
          </w:p>
        </w:tc>
      </w:tr>
      <w:tr w:rsidR="00A73BDC">
        <w:tc>
          <w:tcPr>
            <w:tcW w:w="1470" w:type="dxa"/>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NC22-gc3t</w:t>
            </w:r>
          </w:p>
        </w:tc>
        <w:tc>
          <w:tcPr>
            <w:tcW w:w="150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-1.24 (0.16)</w:t>
            </w:r>
          </w:p>
        </w:tc>
        <w:tc>
          <w:tcPr>
            <w:tcW w:w="147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-0.19 (0.53)</w:t>
            </w:r>
          </w:p>
        </w:tc>
        <w:tc>
          <w:tcPr>
            <w:tcW w:w="1290"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-2.75 (0.23)</w:t>
            </w:r>
          </w:p>
        </w:tc>
        <w:tc>
          <w:tcPr>
            <w:tcW w:w="150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-4.18 (0.69)</w:t>
            </w:r>
          </w:p>
        </w:tc>
      </w:tr>
      <w:tr w:rsidR="00A73BDC">
        <w:tc>
          <w:tcPr>
            <w:tcW w:w="1470" w:type="dxa"/>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NC22-gvjf</w:t>
            </w:r>
          </w:p>
        </w:tc>
        <w:tc>
          <w:tcPr>
            <w:tcW w:w="150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-1.51 (0.18)</w:t>
            </w:r>
          </w:p>
        </w:tc>
        <w:tc>
          <w:tcPr>
            <w:tcW w:w="147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-0.49 (0.66)</w:t>
            </w:r>
          </w:p>
        </w:tc>
        <w:tc>
          <w:tcPr>
            <w:tcW w:w="1290"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-2.41 (0.23)</w:t>
            </w:r>
          </w:p>
        </w:tc>
        <w:tc>
          <w:tcPr>
            <w:tcW w:w="1500"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-4.41 (0.72)</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Ames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-1.40 (0.16)</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0.49 (0.74)</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-3.38 (0.45)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-4.30 (0.64)</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Baker</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-1.48 (0.11)</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0.67 (0.65)</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-3.54 (0.29)</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-4.35 (0.5)</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CAMS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-1.65 (0.12)</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0.78 (0.80)</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-3.70 (0.25)</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-4.58 (0.72)</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CMS-Fl</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-1.23 (0.14)</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0.24 (0.9)</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-3.18 (0.33)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-4.17 (0.97)</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COLA</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-1.40 (0.18)</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0.89 (0.54)</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-3.89 (0.29)</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-4.40 (0.79)</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CSU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-1.04 (0.10)</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-0.06 (0.60)</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-3.27 (0.14)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-4.37 (0.56)</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-1.62 (0.19)</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0.18 (0.64)</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-2.98 (0.23)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-4.42 (0.71)</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JHU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-1.27 (0.17)</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0.89 (0.99)</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-3.86 (0.37)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4.24 (0.72)</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NIES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-1.90 (0.15)</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0.57 (0.83)</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-3.07 (0.34)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-4.40 (0.65)</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-1.60 (0.3)</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0.57 (0.69)</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-3.35 (0.31)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-4.38 (0.60)</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TM5-4D</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-1.73 (0.22)</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0.66 (0.86)</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-3.30 (0.23)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-4.36 (0.73)</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-1.51 (0.11)</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1.44 (0.63)</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-4.37 (0.27)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-4.43 (0.74)</w:t>
            </w:r>
          </w:p>
        </w:tc>
      </w:tr>
      <w:tr w:rsidR="00A73BDC">
        <w:tc>
          <w:tcPr>
            <w:tcW w:w="1470" w:type="dxa"/>
            <w:shd w:val="clear" w:color="auto" w:fill="auto"/>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WOMBAT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-1.57 (0.16)</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0.74 (0.89)</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-3.53 (0.34)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-4.35 (0.64)</w:t>
            </w:r>
          </w:p>
        </w:tc>
      </w:tr>
      <w:tr w:rsidR="00A73BDC">
        <w:tc>
          <w:tcPr>
            <w:tcW w:w="1470" w:type="dxa"/>
            <w:shd w:val="clear" w:color="auto" w:fill="C9DAF8"/>
            <w:tcMar>
              <w:top w:w="100" w:type="dxa"/>
              <w:left w:w="100" w:type="dxa"/>
              <w:bottom w:w="100" w:type="dxa"/>
              <w:right w:w="100" w:type="dxa"/>
            </w:tcMar>
          </w:tcPr>
          <w:p w:rsidR="00A73BDC" w:rsidRDefault="00000000">
            <w:pPr>
              <w:widowControl w:val="0"/>
              <w:pBdr>
                <w:top w:val="nil"/>
                <w:left w:val="nil"/>
                <w:bottom w:val="nil"/>
                <w:right w:val="nil"/>
                <w:between w:val="nil"/>
              </w:pBd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Multi-model Mean</w:t>
            </w:r>
          </w:p>
        </w:tc>
        <w:tc>
          <w:tcPr>
            <w:tcW w:w="150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-1.49 (0.22)</w:t>
            </w:r>
          </w:p>
        </w:tc>
        <w:tc>
          <w:tcPr>
            <w:tcW w:w="147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0.62 (0.36)</w:t>
            </w:r>
          </w:p>
        </w:tc>
        <w:tc>
          <w:tcPr>
            <w:tcW w:w="1290" w:type="dxa"/>
            <w:tcBorders>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-3.49 (0.37)</w:t>
            </w:r>
          </w:p>
        </w:tc>
        <w:tc>
          <w:tcPr>
            <w:tcW w:w="150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-4.37 (0.09)</w:t>
            </w:r>
          </w:p>
        </w:tc>
      </w:tr>
    </w:tbl>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rPr>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r>
        <w:br w:type="page"/>
      </w:r>
    </w:p>
    <w:p w:rsidR="00A73BDC" w:rsidRPr="003A08C7" w:rsidRDefault="00000000" w:rsidP="003A08C7">
      <w:pPr>
        <w:spacing w:line="480" w:lineRule="auto"/>
        <w:jc w:val="both"/>
        <w:rPr>
          <w:rFonts w:ascii="Times New Roman" w:eastAsia="Times New Roman" w:hAnsi="Times New Roman" w:cs="Times New Roman"/>
        </w:rPr>
      </w:pPr>
      <w:r>
        <w:rPr>
          <w:rFonts w:ascii="Times New Roman" w:eastAsia="Times New Roman" w:hAnsi="Times New Roman" w:cs="Times New Roman"/>
          <w:b/>
        </w:rPr>
        <w:lastRenderedPageBreak/>
        <w:t>Table S4:</w:t>
      </w:r>
      <w:r>
        <w:rPr>
          <w:rFonts w:ascii="Times New Roman" w:eastAsia="Times New Roman" w:hAnsi="Times New Roman" w:cs="Times New Roman"/>
        </w:rPr>
        <w:t xml:space="preserve"> Same as Table S3 but for LNLG inversions.</w:t>
      </w:r>
    </w:p>
    <w:tbl>
      <w:tblPr>
        <w:tblStyle w:val="af0"/>
        <w:tblW w:w="72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70"/>
        <w:gridCol w:w="1500"/>
        <w:gridCol w:w="1470"/>
        <w:gridCol w:w="1290"/>
        <w:gridCol w:w="1500"/>
      </w:tblGrid>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Model</w:t>
            </w:r>
          </w:p>
        </w:tc>
        <w:tc>
          <w:tcPr>
            <w:tcW w:w="150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SHE</w:t>
            </w:r>
          </w:p>
        </w:tc>
        <w:tc>
          <w:tcPr>
            <w:tcW w:w="147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TRP</w:t>
            </w:r>
          </w:p>
        </w:tc>
        <w:tc>
          <w:tcPr>
            <w:tcW w:w="129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NHE</w:t>
            </w:r>
          </w:p>
        </w:tc>
        <w:tc>
          <w:tcPr>
            <w:tcW w:w="150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Global mean </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Ames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-1.64 (0.23)</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0.90 (0.57)</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-3.58 (0.34)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-4.32</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Baker</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-1.61 (0.17)</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0.85 (72)</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-3.66 (0.43)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-4.41</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CAMS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-1.15 (0.19)</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-0.15 (0.71)</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-3.30 (0.34)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-4.59</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CMS-Fl</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-1.42 (0.21)</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0.54 (0.70)</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-3.47 (0.36)</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-4.35</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COLA</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-1.54 (0.24)</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0.12 (0.58)</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-2.99 (0.22)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-4.41</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CSU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-1.38 (0.12)</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0.41 (0.66)</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-3.42 (0.11)</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-4.38</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-1.66 (0.24)</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0.48 (0.47)</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-3.17 (0.40)</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-4.35</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JHU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-1.29 (0.12)</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0.42 (0.84)</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-3.48 (0.24)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4.35</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NIES</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-2.01 (0.10)</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0.58 (0.68)</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-3.09 (0.23)</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-4.52</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OU</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-1.31 (0.21)</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0.48 (0.67)</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-3.59 (0.27)</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-4.42</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TM5-4D</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-1.39 (0.26)</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0.48 (0.68)</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-3.51 (0.32)</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-4.42</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-1.64 (0.09)</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0.76 (0.60)</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-3.54 (0.24)</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-4.42</w:t>
            </w:r>
          </w:p>
        </w:tc>
      </w:tr>
      <w:tr w:rsidR="00A73BDC">
        <w:tc>
          <w:tcPr>
            <w:tcW w:w="147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WOMBAT</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-1.52 (0.11)</w:t>
            </w:r>
          </w:p>
        </w:tc>
        <w:tc>
          <w:tcPr>
            <w:tcW w:w="147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0.46 (0.75)</w:t>
            </w:r>
          </w:p>
        </w:tc>
        <w:tc>
          <w:tcPr>
            <w:tcW w:w="12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-3.33 (0.26)</w:t>
            </w:r>
          </w:p>
        </w:tc>
        <w:tc>
          <w:tcPr>
            <w:tcW w:w="1500" w:type="dxa"/>
            <w:tcBorders>
              <w:bottom w:val="single" w:sz="8" w:space="0" w:color="000000"/>
              <w:right w:val="single" w:sz="8" w:space="0" w:color="000000"/>
            </w:tcBorders>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-4.40</w:t>
            </w:r>
          </w:p>
        </w:tc>
      </w:tr>
      <w:tr w:rsidR="00A73BDC">
        <w:tc>
          <w:tcPr>
            <w:tcW w:w="1470" w:type="dxa"/>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Multi-model Mean</w:t>
            </w:r>
          </w:p>
        </w:tc>
        <w:tc>
          <w:tcPr>
            <w:tcW w:w="150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-1.50 (0.21)</w:t>
            </w:r>
          </w:p>
        </w:tc>
        <w:tc>
          <w:tcPr>
            <w:tcW w:w="147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0.49 (0.27)</w:t>
            </w:r>
          </w:p>
        </w:tc>
        <w:tc>
          <w:tcPr>
            <w:tcW w:w="1290" w:type="dxa"/>
            <w:tcBorders>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-3.39 (0.20)</w:t>
            </w:r>
          </w:p>
        </w:tc>
        <w:tc>
          <w:tcPr>
            <w:tcW w:w="1500" w:type="dxa"/>
            <w:tcBorders>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-4.41 (0.07)</w:t>
            </w:r>
          </w:p>
        </w:tc>
      </w:tr>
    </w:tbl>
    <w:p w:rsidR="00A73BDC" w:rsidRDefault="00A73BDC">
      <w:pPr>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pPr>
    </w:p>
    <w:p w:rsidR="00A73BDC" w:rsidRDefault="00A73BDC">
      <w:pPr>
        <w:jc w:val="both"/>
      </w:pPr>
    </w:p>
    <w:p w:rsidR="00A73BDC" w:rsidRDefault="00A73BDC">
      <w:pPr>
        <w:jc w:val="both"/>
      </w:pPr>
    </w:p>
    <w:p w:rsidR="00A73BDC" w:rsidRDefault="00000000">
      <w:pPr>
        <w:jc w:val="both"/>
      </w:pPr>
      <w:r>
        <w:br w:type="page"/>
      </w:r>
    </w:p>
    <w:p w:rsidR="00A73BDC" w:rsidRDefault="00A73BDC">
      <w:pPr>
        <w:jc w:val="both"/>
      </w:pPr>
    </w:p>
    <w:p w:rsidR="00A73BDC" w:rsidRPr="00B130E9" w:rsidRDefault="00000000" w:rsidP="003A08C7">
      <w:pPr>
        <w:spacing w:line="480" w:lineRule="auto"/>
        <w:jc w:val="both"/>
      </w:pPr>
      <w:r>
        <w:rPr>
          <w:rFonts w:ascii="Times New Roman" w:eastAsia="Times New Roman" w:hAnsi="Times New Roman" w:cs="Times New Roman"/>
          <w:b/>
        </w:rPr>
        <w:t>Table S5:</w:t>
      </w:r>
      <w:r>
        <w:rPr>
          <w:rFonts w:ascii="Times New Roman" w:eastAsia="Times New Roman" w:hAnsi="Times New Roman" w:cs="Times New Roman"/>
        </w:rPr>
        <w:t xml:space="preserve"> </w:t>
      </w:r>
      <w:proofErr w:type="gramStart"/>
      <w:r>
        <w:rPr>
          <w:rFonts w:ascii="Times New Roman" w:eastAsia="Times New Roman" w:hAnsi="Times New Roman" w:cs="Times New Roman"/>
        </w:rPr>
        <w:t>Global ocean</w:t>
      </w:r>
      <w:proofErr w:type="gramEnd"/>
      <w:r>
        <w:rPr>
          <w:rFonts w:ascii="Times New Roman" w:eastAsia="Times New Roman" w:hAnsi="Times New Roman" w:cs="Times New Roman"/>
        </w:rPr>
        <w:t xml:space="preserve"> flux (Unit: PgC yr</w:t>
      </w:r>
      <w:r>
        <w:rPr>
          <w:rFonts w:ascii="Times New Roman" w:eastAsia="Times New Roman" w:hAnsi="Times New Roman" w:cs="Times New Roman"/>
          <w:vertAlign w:val="superscript"/>
        </w:rPr>
        <w:t>-1</w:t>
      </w:r>
      <w:r>
        <w:rPr>
          <w:rFonts w:ascii="Times New Roman" w:eastAsia="Times New Roman" w:hAnsi="Times New Roman" w:cs="Times New Roman"/>
        </w:rPr>
        <w:t>) during 2015 - 2016. MIROC4-ACTM is calculated separately and excluded from multi-model statistics.</w:t>
      </w:r>
      <w:r w:rsidR="00B130E9">
        <w:rPr>
          <w:rFonts w:ascii="Times New Roman" w:eastAsia="Times New Roman" w:hAnsi="Times New Roman" w:cs="Times New Roman"/>
        </w:rPr>
        <w:t xml:space="preserve"> </w:t>
      </w:r>
      <w:r>
        <w:rPr>
          <w:rFonts w:ascii="Times New Roman" w:eastAsia="Times New Roman" w:hAnsi="Times New Roman" w:cs="Times New Roman"/>
        </w:rPr>
        <w:t>Blue cells are the temporal mean and standard deviation of those individual year’s values while the light brown cells correspond to multi-model statistics.</w:t>
      </w:r>
    </w:p>
    <w:tbl>
      <w:tblPr>
        <w:tblStyle w:val="af1"/>
        <w:tblW w:w="10980" w:type="dxa"/>
        <w:tblInd w:w="-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5"/>
        <w:gridCol w:w="540"/>
        <w:gridCol w:w="645"/>
        <w:gridCol w:w="555"/>
        <w:gridCol w:w="645"/>
        <w:gridCol w:w="555"/>
        <w:gridCol w:w="660"/>
        <w:gridCol w:w="540"/>
        <w:gridCol w:w="660"/>
        <w:gridCol w:w="570"/>
        <w:gridCol w:w="645"/>
        <w:gridCol w:w="600"/>
        <w:gridCol w:w="645"/>
        <w:gridCol w:w="750"/>
        <w:gridCol w:w="645"/>
        <w:gridCol w:w="750"/>
        <w:gridCol w:w="630"/>
      </w:tblGrid>
      <w:tr w:rsidR="00A73BDC">
        <w:trPr>
          <w:trHeight w:val="404"/>
          <w:tblHeader/>
        </w:trPr>
        <w:tc>
          <w:tcPr>
            <w:tcW w:w="945" w:type="dxa"/>
            <w:vMerge w:val="restart"/>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Model</w:t>
            </w:r>
          </w:p>
        </w:tc>
        <w:tc>
          <w:tcPr>
            <w:tcW w:w="118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2015</w:t>
            </w:r>
          </w:p>
        </w:tc>
        <w:tc>
          <w:tcPr>
            <w:tcW w:w="1200"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2016</w:t>
            </w:r>
          </w:p>
        </w:tc>
        <w:tc>
          <w:tcPr>
            <w:tcW w:w="121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2017</w:t>
            </w:r>
          </w:p>
        </w:tc>
        <w:tc>
          <w:tcPr>
            <w:tcW w:w="1200"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2018</w:t>
            </w:r>
          </w:p>
        </w:tc>
        <w:tc>
          <w:tcPr>
            <w:tcW w:w="121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2019</w:t>
            </w:r>
          </w:p>
        </w:tc>
        <w:tc>
          <w:tcPr>
            <w:tcW w:w="124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2020</w:t>
            </w:r>
          </w:p>
        </w:tc>
        <w:tc>
          <w:tcPr>
            <w:tcW w:w="750"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Multi - model mean (spread) (IS)</w:t>
            </w:r>
          </w:p>
        </w:tc>
        <w:tc>
          <w:tcPr>
            <w:tcW w:w="645"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IAV spread 2015 - 2020 (IS)</w:t>
            </w:r>
          </w:p>
        </w:tc>
        <w:tc>
          <w:tcPr>
            <w:tcW w:w="750"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Multi - model mean (spread) (LNLG) </w:t>
            </w:r>
          </w:p>
        </w:tc>
        <w:tc>
          <w:tcPr>
            <w:tcW w:w="630"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IAV spread 2015 - 2020 (LNLG)</w:t>
            </w:r>
          </w:p>
        </w:tc>
      </w:tr>
      <w:tr w:rsidR="00A73BDC">
        <w:trPr>
          <w:trHeight w:val="420"/>
          <w:tblHeader/>
        </w:trPr>
        <w:tc>
          <w:tcPr>
            <w:tcW w:w="94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18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00"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1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00"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1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4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64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63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576"/>
          <w:tblHeader/>
        </w:trPr>
        <w:tc>
          <w:tcPr>
            <w:tcW w:w="94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54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5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5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6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4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6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7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60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64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63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576"/>
          <w:tblHeader/>
        </w:trPr>
        <w:tc>
          <w:tcPr>
            <w:tcW w:w="9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NC22-gc3t</w:t>
            </w:r>
          </w:p>
        </w:tc>
        <w:tc>
          <w:tcPr>
            <w:tcW w:w="54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-1.52</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-1.41</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-1.72</w:t>
            </w: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4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-1.52</w:t>
            </w: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7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0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-1.59</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750"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-1.56</w:t>
            </w:r>
          </w:p>
        </w:tc>
        <w:tc>
          <w:tcPr>
            <w:tcW w:w="645"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0.09</w:t>
            </w:r>
          </w:p>
        </w:tc>
        <w:tc>
          <w:tcPr>
            <w:tcW w:w="1380" w:type="dxa"/>
            <w:gridSpan w:val="2"/>
            <w:vMerge w:val="restart"/>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r>
      <w:tr w:rsidR="00A73BDC">
        <w:trPr>
          <w:trHeight w:val="576"/>
          <w:tblHeader/>
        </w:trPr>
        <w:tc>
          <w:tcPr>
            <w:tcW w:w="94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NC22-gvjf</w:t>
            </w:r>
          </w:p>
        </w:tc>
        <w:tc>
          <w:tcPr>
            <w:tcW w:w="54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-1.86</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-2.22</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4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-2.12</w:t>
            </w: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7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0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-2.30</w:t>
            </w:r>
          </w:p>
        </w:tc>
        <w:tc>
          <w:tcPr>
            <w:tcW w:w="64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750"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-2.17</w:t>
            </w:r>
          </w:p>
        </w:tc>
        <w:tc>
          <w:tcPr>
            <w:tcW w:w="645"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c>
          <w:tcPr>
            <w:tcW w:w="1380" w:type="dxa"/>
            <w:gridSpan w:val="2"/>
            <w:vMerge/>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Ames</w:t>
            </w:r>
          </w:p>
        </w:tc>
        <w:tc>
          <w:tcPr>
            <w:tcW w:w="5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-2.46</w:t>
            </w:r>
          </w:p>
        </w:tc>
        <w:tc>
          <w:tcPr>
            <w:tcW w:w="64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-2.84</w:t>
            </w:r>
          </w:p>
        </w:tc>
        <w:tc>
          <w:tcPr>
            <w:tcW w:w="55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-2.49</w:t>
            </w:r>
          </w:p>
        </w:tc>
        <w:tc>
          <w:tcPr>
            <w:tcW w:w="64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-3.43</w:t>
            </w:r>
          </w:p>
        </w:tc>
        <w:tc>
          <w:tcPr>
            <w:tcW w:w="55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66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-3.66</w:t>
            </w:r>
          </w:p>
        </w:tc>
        <w:tc>
          <w:tcPr>
            <w:tcW w:w="54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-2.01</w:t>
            </w:r>
          </w:p>
        </w:tc>
        <w:tc>
          <w:tcPr>
            <w:tcW w:w="66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-3.11</w:t>
            </w:r>
          </w:p>
        </w:tc>
        <w:tc>
          <w:tcPr>
            <w:tcW w:w="57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-2.21</w:t>
            </w:r>
          </w:p>
        </w:tc>
        <w:tc>
          <w:tcPr>
            <w:tcW w:w="64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-3.46</w:t>
            </w:r>
          </w:p>
        </w:tc>
        <w:tc>
          <w:tcPr>
            <w:tcW w:w="60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-2.63</w:t>
            </w:r>
          </w:p>
        </w:tc>
        <w:tc>
          <w:tcPr>
            <w:tcW w:w="64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-3.28</w:t>
            </w:r>
          </w:p>
        </w:tc>
        <w:tc>
          <w:tcPr>
            <w:tcW w:w="750" w:type="dxa"/>
            <w:tcBorders>
              <w:top w:val="single" w:sz="8" w:space="0" w:color="000000"/>
            </w:tcBorders>
            <w:tcMar>
              <w:top w:w="60" w:type="dxa"/>
              <w:left w:w="60" w:type="dxa"/>
              <w:bottom w:w="60" w:type="dxa"/>
              <w:right w:w="6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-2.35</w:t>
            </w:r>
          </w:p>
        </w:tc>
        <w:tc>
          <w:tcPr>
            <w:tcW w:w="645" w:type="dxa"/>
            <w:vMerge w:val="restart"/>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-3.30</w:t>
            </w:r>
          </w:p>
        </w:tc>
        <w:tc>
          <w:tcPr>
            <w:tcW w:w="630" w:type="dxa"/>
            <w:vMerge w:val="restart"/>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Baker</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-2.03</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-2.18</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-2.06</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-2.37</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-2.08</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-2.14</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-2.44</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-2.12</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-2.29</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CAMS</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-2.10</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-1.74</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-2.25</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-2.12</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-2.20</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-2.01</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-1.80</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-1.83</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-2.40</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-1.84</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-1.89</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CMS-Fl</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-2.00</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-2.43</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-2.84</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-2.20</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-2.54</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-1.92</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-2.24</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-2.13</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-2.59</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-2.17</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-2.51</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COLA</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-1.61</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-1.87</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-2.46</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-2.39</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-2.34</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-2.63</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-2.58</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-2.47</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-2.35</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CSU</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-1.32</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-1.32</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-1.31</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CT</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-3.28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-3.07</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-3.72</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-3.46</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-4.05</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-2.68</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-3.43</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-3.34</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-2.71</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-3.41</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-3.01</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-3.50</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JHU</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-2.29</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-2.29</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-2.31</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-2.31</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-2.31</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NIES</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-2.96</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-3.01</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-3.03</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-3.09</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-2.97</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-3.02</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-2.94</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-2.98</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-3.20</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-3.18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-3.17</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-3.03</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-3.08</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OU</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-2.88</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-3.10</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-2.93</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-2.18</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-2.61</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-2.45</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-2.61</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-2.52</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-2.82</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TM5-4D</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-2.14</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-2.97</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-2.87</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-1.68</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-2.60</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-1.89</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-3.34</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-2.36</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-1.84</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-2.71</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UT</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-2.60</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-2.61</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-2.67</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-2.65</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-2.69</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-2.59</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-2.56</w:t>
            </w: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-2.68</w:t>
            </w:r>
          </w:p>
        </w:tc>
        <w:tc>
          <w:tcPr>
            <w:tcW w:w="645"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-2.60</w:t>
            </w:r>
          </w:p>
        </w:tc>
        <w:tc>
          <w:tcPr>
            <w:tcW w:w="630"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945"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WOMBAT</w:t>
            </w:r>
          </w:p>
        </w:tc>
        <w:tc>
          <w:tcPr>
            <w:tcW w:w="54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-1.75</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-1.81</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w:t>
            </w:r>
          </w:p>
        </w:tc>
        <w:tc>
          <w:tcPr>
            <w:tcW w:w="55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54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w:t>
            </w:r>
          </w:p>
        </w:tc>
        <w:tc>
          <w:tcPr>
            <w:tcW w:w="66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-1.88</w:t>
            </w:r>
          </w:p>
        </w:tc>
        <w:tc>
          <w:tcPr>
            <w:tcW w:w="57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-2.04</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-2.10</w:t>
            </w:r>
          </w:p>
        </w:tc>
        <w:tc>
          <w:tcPr>
            <w:tcW w:w="600"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-2.11</w:t>
            </w:r>
          </w:p>
        </w:tc>
        <w:tc>
          <w:tcPr>
            <w:tcW w:w="645" w:type="dxa"/>
            <w:tcBorders>
              <w:bottom w:val="single" w:sz="8" w:space="0" w:color="000000"/>
              <w:right w:val="single" w:sz="8" w:space="0" w:color="000000"/>
            </w:tcBorders>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-2.16</w:t>
            </w:r>
          </w:p>
        </w:tc>
        <w:tc>
          <w:tcPr>
            <w:tcW w:w="750" w:type="dxa"/>
            <w:tcBorders>
              <w:top w:val="single" w:sz="8" w:space="0" w:color="000000"/>
              <w:bottom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645" w:type="dxa"/>
            <w:vMerge/>
            <w:tcBorders>
              <w:top w:val="single" w:sz="8" w:space="0" w:color="000000"/>
              <w:bottom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50" w:type="dxa"/>
            <w:tcBorders>
              <w:top w:val="single" w:sz="8" w:space="0" w:color="000000"/>
              <w:bottom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-1.97</w:t>
            </w:r>
          </w:p>
        </w:tc>
        <w:tc>
          <w:tcPr>
            <w:tcW w:w="630" w:type="dxa"/>
            <w:vMerge/>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576"/>
          <w:tblHeader/>
        </w:trPr>
        <w:tc>
          <w:tcPr>
            <w:tcW w:w="945" w:type="dxa"/>
            <w:shd w:val="clear" w:color="auto" w:fill="FCE5CD"/>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proofErr w:type="spellStart"/>
            <w:r>
              <w:rPr>
                <w:rFonts w:ascii="Times New Roman" w:eastAsia="Times New Roman" w:hAnsi="Times New Roman" w:cs="Times New Roman"/>
                <w:sz w:val="16"/>
                <w:szCs w:val="16"/>
              </w:rPr>
              <w:t>Mul_mod_mn</w:t>
            </w:r>
            <w:proofErr w:type="spellEnd"/>
          </w:p>
        </w:tc>
        <w:tc>
          <w:tcPr>
            <w:tcW w:w="540" w:type="dxa"/>
            <w:tcBorders>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-2.26</w:t>
            </w:r>
          </w:p>
        </w:tc>
        <w:tc>
          <w:tcPr>
            <w:tcW w:w="64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55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-2.40</w:t>
            </w:r>
          </w:p>
        </w:tc>
        <w:tc>
          <w:tcPr>
            <w:tcW w:w="64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55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660"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540"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-2.19</w:t>
            </w:r>
          </w:p>
        </w:tc>
        <w:tc>
          <w:tcPr>
            <w:tcW w:w="660"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-2.43</w:t>
            </w:r>
          </w:p>
        </w:tc>
        <w:tc>
          <w:tcPr>
            <w:tcW w:w="570"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64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-2.57</w:t>
            </w:r>
          </w:p>
        </w:tc>
        <w:tc>
          <w:tcPr>
            <w:tcW w:w="600"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645" w:type="dxa"/>
            <w:tcBorders>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-2.48</w:t>
            </w:r>
          </w:p>
        </w:tc>
        <w:tc>
          <w:tcPr>
            <w:tcW w:w="750"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-2.30 (0.43)</w:t>
            </w:r>
          </w:p>
        </w:tc>
        <w:tc>
          <w:tcPr>
            <w:tcW w:w="645" w:type="dxa"/>
            <w:tcBorders>
              <w:top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-2.31 (0.07)</w:t>
            </w:r>
          </w:p>
        </w:tc>
        <w:tc>
          <w:tcPr>
            <w:tcW w:w="750"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-2.51 (0.58)</w:t>
            </w:r>
          </w:p>
        </w:tc>
        <w:tc>
          <w:tcPr>
            <w:tcW w:w="630" w:type="dxa"/>
            <w:tcBorders>
              <w:top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-2.51 (0.11)</w:t>
            </w:r>
          </w:p>
        </w:tc>
      </w:tr>
    </w:tbl>
    <w:p w:rsidR="00A73BDC" w:rsidRDefault="00000000">
      <w:pPr>
        <w:jc w:val="both"/>
        <w:rPr>
          <w:rFonts w:ascii="Times New Roman" w:eastAsia="Times New Roman" w:hAnsi="Times New Roman" w:cs="Times New Roman"/>
          <w:b/>
        </w:rPr>
      </w:pPr>
      <w:r>
        <w:br w:type="page"/>
      </w:r>
    </w:p>
    <w:p w:rsidR="00A73BDC" w:rsidRDefault="00000000" w:rsidP="003A08C7">
      <w:pPr>
        <w:spacing w:line="480" w:lineRule="auto"/>
        <w:jc w:val="both"/>
        <w:rPr>
          <w:rFonts w:ascii="Times New Roman" w:eastAsia="Times New Roman" w:hAnsi="Times New Roman" w:cs="Times New Roman"/>
        </w:rPr>
      </w:pPr>
      <w:r>
        <w:rPr>
          <w:rFonts w:ascii="Times New Roman" w:eastAsia="Times New Roman" w:hAnsi="Times New Roman" w:cs="Times New Roman"/>
          <w:b/>
        </w:rPr>
        <w:lastRenderedPageBreak/>
        <w:t>Table S6:</w:t>
      </w:r>
      <w:r>
        <w:rPr>
          <w:rFonts w:ascii="Times New Roman" w:eastAsia="Times New Roman" w:hAnsi="Times New Roman" w:cs="Times New Roman"/>
        </w:rPr>
        <w:t xml:space="preserve"> Same as Table S5 but for land flux.</w:t>
      </w:r>
    </w:p>
    <w:tbl>
      <w:tblPr>
        <w:tblStyle w:val="af2"/>
        <w:tblW w:w="11200" w:type="dxa"/>
        <w:tblInd w:w="-1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
        <w:gridCol w:w="585"/>
        <w:gridCol w:w="585"/>
        <w:gridCol w:w="660"/>
        <w:gridCol w:w="555"/>
        <w:gridCol w:w="570"/>
        <w:gridCol w:w="555"/>
        <w:gridCol w:w="615"/>
        <w:gridCol w:w="630"/>
        <w:gridCol w:w="555"/>
        <w:gridCol w:w="585"/>
        <w:gridCol w:w="615"/>
        <w:gridCol w:w="585"/>
        <w:gridCol w:w="765"/>
        <w:gridCol w:w="750"/>
        <w:gridCol w:w="765"/>
        <w:gridCol w:w="805"/>
      </w:tblGrid>
      <w:tr w:rsidR="00A73BDC">
        <w:trPr>
          <w:trHeight w:val="404"/>
          <w:tblHeader/>
        </w:trPr>
        <w:tc>
          <w:tcPr>
            <w:tcW w:w="1020" w:type="dxa"/>
            <w:vMerge w:val="restart"/>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Model</w:t>
            </w:r>
          </w:p>
        </w:tc>
        <w:tc>
          <w:tcPr>
            <w:tcW w:w="1170"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2015</w:t>
            </w:r>
          </w:p>
        </w:tc>
        <w:tc>
          <w:tcPr>
            <w:tcW w:w="121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2016</w:t>
            </w:r>
          </w:p>
        </w:tc>
        <w:tc>
          <w:tcPr>
            <w:tcW w:w="112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2017</w:t>
            </w:r>
          </w:p>
        </w:tc>
        <w:tc>
          <w:tcPr>
            <w:tcW w:w="1245"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2018</w:t>
            </w:r>
          </w:p>
        </w:tc>
        <w:tc>
          <w:tcPr>
            <w:tcW w:w="1140"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2019</w:t>
            </w:r>
          </w:p>
        </w:tc>
        <w:tc>
          <w:tcPr>
            <w:tcW w:w="1200" w:type="dxa"/>
            <w:gridSpan w:val="2"/>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2020</w:t>
            </w:r>
          </w:p>
        </w:tc>
        <w:tc>
          <w:tcPr>
            <w:tcW w:w="765"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Multi - model mean (spread) (IS)</w:t>
            </w:r>
          </w:p>
        </w:tc>
        <w:tc>
          <w:tcPr>
            <w:tcW w:w="750"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IAV spread 2015 - 2020 (IS)</w:t>
            </w:r>
          </w:p>
        </w:tc>
        <w:tc>
          <w:tcPr>
            <w:tcW w:w="765"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Multi - model mean (spread) (LNLG) </w:t>
            </w:r>
          </w:p>
        </w:tc>
        <w:tc>
          <w:tcPr>
            <w:tcW w:w="805" w:type="dxa"/>
            <w:vMerge w:val="restart"/>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IAV spread 2015 - 2020 (LNLG)</w:t>
            </w:r>
          </w:p>
        </w:tc>
      </w:tr>
      <w:tr w:rsidR="00A73BDC">
        <w:trPr>
          <w:trHeight w:val="420"/>
          <w:tblHeader/>
        </w:trPr>
        <w:tc>
          <w:tcPr>
            <w:tcW w:w="102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170"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1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12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45"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140"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1200" w:type="dxa"/>
            <w:gridSpan w:val="2"/>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6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6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80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576"/>
          <w:tblHeader/>
        </w:trPr>
        <w:tc>
          <w:tcPr>
            <w:tcW w:w="102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58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58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66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55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7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55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61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63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55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58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61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IS</w:t>
            </w:r>
          </w:p>
        </w:tc>
        <w:tc>
          <w:tcPr>
            <w:tcW w:w="585"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LNLG</w:t>
            </w:r>
          </w:p>
        </w:tc>
        <w:tc>
          <w:tcPr>
            <w:tcW w:w="76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50"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6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805" w:type="dxa"/>
            <w:vMerge/>
            <w:shd w:val="clear" w:color="auto" w:fill="auto"/>
            <w:tcMar>
              <w:top w:w="100" w:type="dxa"/>
              <w:left w:w="100" w:type="dxa"/>
              <w:bottom w:w="100" w:type="dxa"/>
              <w:right w:w="10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576"/>
          <w:tblHeader/>
        </w:trPr>
        <w:tc>
          <w:tcPr>
            <w:tcW w:w="102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NC22-gc3t</w:t>
            </w:r>
          </w:p>
        </w:tc>
        <w:tc>
          <w:tcPr>
            <w:tcW w:w="585"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-1.94</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7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-3.55</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-3.31</w:t>
            </w:r>
          </w:p>
        </w:tc>
        <w:tc>
          <w:tcPr>
            <w:tcW w:w="63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-2.73</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765"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750"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0.63</w:t>
            </w:r>
          </w:p>
        </w:tc>
        <w:tc>
          <w:tcPr>
            <w:tcW w:w="1570" w:type="dxa"/>
            <w:gridSpan w:val="2"/>
            <w:vMerge w:val="restart"/>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r>
      <w:tr w:rsidR="00A73BDC">
        <w:trPr>
          <w:trHeight w:val="576"/>
          <w:tblHeader/>
        </w:trPr>
        <w:tc>
          <w:tcPr>
            <w:tcW w:w="1020" w:type="dxa"/>
            <w:shd w:val="clear" w:color="auto" w:fill="auto"/>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NC22-gvjf</w:t>
            </w:r>
          </w:p>
        </w:tc>
        <w:tc>
          <w:tcPr>
            <w:tcW w:w="585"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-1.61</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-1.40</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7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-3.19</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-3.04</w:t>
            </w:r>
          </w:p>
        </w:tc>
        <w:tc>
          <w:tcPr>
            <w:tcW w:w="63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-2.08</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-2.14</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c>
          <w:tcPr>
            <w:tcW w:w="765"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-2.24</w:t>
            </w:r>
          </w:p>
        </w:tc>
        <w:tc>
          <w:tcPr>
            <w:tcW w:w="750" w:type="dxa"/>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0.67</w:t>
            </w:r>
          </w:p>
        </w:tc>
        <w:tc>
          <w:tcPr>
            <w:tcW w:w="1570" w:type="dxa"/>
            <w:gridSpan w:val="2"/>
            <w:vMerge/>
            <w:tcBorders>
              <w:top w:val="single" w:sz="8" w:space="0" w:color="000000"/>
              <w:bottom w:val="single" w:sz="8" w:space="0" w:color="000000"/>
              <w:right w:val="single" w:sz="8" w:space="0" w:color="000000"/>
            </w:tcBorders>
            <w:shd w:val="clear" w:color="auto" w:fill="C9DAF8"/>
            <w:tcMar>
              <w:top w:w="60" w:type="dxa"/>
              <w:left w:w="60" w:type="dxa"/>
              <w:bottom w:w="60" w:type="dxa"/>
              <w:right w:w="60" w:type="dxa"/>
            </w:tcMar>
          </w:tcPr>
          <w:p w:rsidR="00A73BDC" w:rsidRDefault="00A73B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Ames</w:t>
            </w:r>
          </w:p>
        </w:tc>
        <w:tc>
          <w:tcPr>
            <w:tcW w:w="585"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-0.59</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-0.21</w:t>
            </w:r>
          </w:p>
        </w:tc>
        <w:tc>
          <w:tcPr>
            <w:tcW w:w="66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-0.60</w:t>
            </w:r>
          </w:p>
        </w:tc>
        <w:tc>
          <w:tcPr>
            <w:tcW w:w="57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-2.58</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-3.00</w:t>
            </w:r>
          </w:p>
        </w:tc>
        <w:tc>
          <w:tcPr>
            <w:tcW w:w="630"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-1.72</w:t>
            </w:r>
          </w:p>
        </w:tc>
        <w:tc>
          <w:tcPr>
            <w:tcW w:w="55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-1.94</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-1.21</w:t>
            </w:r>
          </w:p>
        </w:tc>
        <w:tc>
          <w:tcPr>
            <w:tcW w:w="61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585" w:type="dxa"/>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-0.85</w:t>
            </w:r>
          </w:p>
        </w:tc>
        <w:tc>
          <w:tcPr>
            <w:tcW w:w="765" w:type="dxa"/>
            <w:tcBorders>
              <w:top w:val="single" w:sz="8" w:space="0" w:color="000000"/>
            </w:tcBorders>
            <w:tcMar>
              <w:top w:w="60" w:type="dxa"/>
              <w:left w:w="60" w:type="dxa"/>
              <w:bottom w:w="60" w:type="dxa"/>
              <w:right w:w="60" w:type="dxa"/>
            </w:tcMar>
          </w:tcPr>
          <w:p w:rsidR="00A73BD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750" w:type="dxa"/>
            <w:vMerge w:val="restart"/>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-1.03</w:t>
            </w:r>
          </w:p>
        </w:tc>
        <w:tc>
          <w:tcPr>
            <w:tcW w:w="805" w:type="dxa"/>
            <w:vMerge w:val="restart"/>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Baker</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-1.62</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-1.20</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-1.81</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-1.77</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-2.83</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-2.78</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-2.96</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-2.34</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-2.13</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CAMS</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-1.37</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-1.69</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-1.94</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-3.42</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-3.58</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-3.21</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-3.24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-3.18</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-2.56</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-2.34</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-2.70</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CMS-Fl</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-0.38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-0.90</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-1.10</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-3.16</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-2.53</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-3.16</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-2.59</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-1.90</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-1.77</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-2.00</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-1.84</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COLA</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-1.56</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-0.68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-1.57</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-2.79</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-2.63</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-2.67</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-1.89</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-2.05</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-2.08</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CSU</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-2.60</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-2.59</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-3.78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-4.02</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-3.35</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-3.55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-2.93</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-3.07</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-3.17</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-2.92</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-3.07</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CT</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-0.72</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-0.19</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-0.14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-0.09</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-2.00</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-1.26</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-2.30</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-1.65</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-1.30</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-1.66</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-0.76</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-1.41</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-0.84</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JHU</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-0.92</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-0.73</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-1.43</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-3.13</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-3.07</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-2.49</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3.09</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-1.96</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-2.23</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-1.97</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-2.09</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NIES</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-0.54</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-0.54</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-0.95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-0.86</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-2.44</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-2.41</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-1.03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-1.50</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-1.20</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-1.13</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-1.38</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-1.44</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OU</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-0.78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-0.47</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-1.10</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-0.87</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-2.84</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-2.39</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-2.93</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-2.29</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-1.65</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-1.85</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-1.60</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TM5-4D</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-1.17</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-1.27</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-0.89</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-3.52</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-2.52</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-3.55</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-2.19</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-2.20</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-1.50</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-2.91</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-2.52</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-1.70</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UT</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-1.29</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-0.72</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-0.55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-1.19</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-2.75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-2.65</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-2.68</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-1.57</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-2.12</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-1.63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-1.85</w:t>
            </w: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-1.74</w:t>
            </w:r>
          </w:p>
        </w:tc>
        <w:tc>
          <w:tcPr>
            <w:tcW w:w="750" w:type="dxa"/>
            <w:vMerge/>
            <w:tcBorders>
              <w:top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-1.81</w:t>
            </w:r>
          </w:p>
        </w:tc>
        <w:tc>
          <w:tcPr>
            <w:tcW w:w="805" w:type="dxa"/>
            <w:vMerge/>
            <w:tcBorders>
              <w:top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419"/>
          <w:tblHeader/>
        </w:trPr>
        <w:tc>
          <w:tcPr>
            <w:tcW w:w="1020" w:type="dxa"/>
            <w:shd w:val="clear" w:color="auto" w:fill="auto"/>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WOMBAT</w:t>
            </w:r>
          </w:p>
        </w:tc>
        <w:tc>
          <w:tcPr>
            <w:tcW w:w="585" w:type="dxa"/>
            <w:tcBorders>
              <w:left w:val="single" w:sz="8" w:space="0" w:color="000000"/>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-1.58</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-1.34</w:t>
            </w:r>
          </w:p>
        </w:tc>
        <w:tc>
          <w:tcPr>
            <w:tcW w:w="66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-2.05</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-1.94</w:t>
            </w:r>
          </w:p>
        </w:tc>
        <w:tc>
          <w:tcPr>
            <w:tcW w:w="57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-3.38</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-3.30</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-2.87</w:t>
            </w:r>
          </w:p>
        </w:tc>
        <w:tc>
          <w:tcPr>
            <w:tcW w:w="630"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-3.20</w:t>
            </w:r>
          </w:p>
        </w:tc>
        <w:tc>
          <w:tcPr>
            <w:tcW w:w="55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-2.63</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-2.68</w:t>
            </w:r>
          </w:p>
        </w:tc>
        <w:tc>
          <w:tcPr>
            <w:tcW w:w="61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-1.87</w:t>
            </w:r>
          </w:p>
        </w:tc>
        <w:tc>
          <w:tcPr>
            <w:tcW w:w="585" w:type="dxa"/>
            <w:tcBorders>
              <w:bottom w:val="single" w:sz="8" w:space="0" w:color="000000"/>
              <w:right w:val="single" w:sz="8" w:space="0" w:color="000000"/>
            </w:tcBorders>
            <w:tcMar>
              <w:top w:w="60" w:type="dxa"/>
              <w:left w:w="60" w:type="dxa"/>
              <w:bottom w:w="60" w:type="dxa"/>
              <w:right w:w="6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-2.04</w:t>
            </w:r>
          </w:p>
        </w:tc>
        <w:tc>
          <w:tcPr>
            <w:tcW w:w="765" w:type="dxa"/>
            <w:tcBorders>
              <w:top w:val="single" w:sz="8" w:space="0" w:color="000000"/>
              <w:bottom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-2.40</w:t>
            </w:r>
          </w:p>
        </w:tc>
        <w:tc>
          <w:tcPr>
            <w:tcW w:w="750" w:type="dxa"/>
            <w:vMerge/>
            <w:tcBorders>
              <w:top w:val="single" w:sz="8" w:space="0" w:color="000000"/>
              <w:bottom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c>
          <w:tcPr>
            <w:tcW w:w="765" w:type="dxa"/>
            <w:tcBorders>
              <w:top w:val="single" w:sz="8" w:space="0" w:color="000000"/>
              <w:bottom w:val="single" w:sz="8" w:space="0" w:color="000000"/>
            </w:tcBorders>
            <w:tcMar>
              <w:top w:w="60" w:type="dxa"/>
              <w:left w:w="60" w:type="dxa"/>
              <w:bottom w:w="60" w:type="dxa"/>
              <w:right w:w="60" w:type="dxa"/>
            </w:tcMar>
          </w:tcPr>
          <w:p w:rsidR="00A73BDC" w:rsidRDefault="00000000">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-2.42</w:t>
            </w:r>
          </w:p>
        </w:tc>
        <w:tc>
          <w:tcPr>
            <w:tcW w:w="805" w:type="dxa"/>
            <w:vMerge/>
            <w:tcBorders>
              <w:top w:val="single" w:sz="8" w:space="0" w:color="000000"/>
              <w:bottom w:val="single" w:sz="8" w:space="0" w:color="000000"/>
              <w:right w:val="single" w:sz="8" w:space="0" w:color="000000"/>
            </w:tcBorders>
            <w:tcMar>
              <w:top w:w="60" w:type="dxa"/>
              <w:left w:w="60" w:type="dxa"/>
              <w:bottom w:w="60" w:type="dxa"/>
              <w:right w:w="60" w:type="dxa"/>
            </w:tcMar>
          </w:tcPr>
          <w:p w:rsidR="00A73BDC" w:rsidRDefault="00A73BDC">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p>
        </w:tc>
      </w:tr>
      <w:tr w:rsidR="00A73BDC">
        <w:trPr>
          <w:trHeight w:val="576"/>
          <w:tblHeader/>
        </w:trPr>
        <w:tc>
          <w:tcPr>
            <w:tcW w:w="1020" w:type="dxa"/>
            <w:shd w:val="clear" w:color="auto" w:fill="FCE5CD"/>
            <w:tcMar>
              <w:top w:w="100" w:type="dxa"/>
              <w:left w:w="100" w:type="dxa"/>
              <w:bottom w:w="100" w:type="dxa"/>
              <w:right w:w="100" w:type="dxa"/>
            </w:tcMar>
          </w:tcPr>
          <w:p w:rsidR="00A73BDC" w:rsidRDefault="00000000">
            <w:pPr>
              <w:widowControl w:val="0"/>
              <w:spacing w:line="240" w:lineRule="auto"/>
              <w:rPr>
                <w:rFonts w:ascii="Times New Roman" w:eastAsia="Times New Roman" w:hAnsi="Times New Roman" w:cs="Times New Roman"/>
                <w:sz w:val="16"/>
                <w:szCs w:val="16"/>
              </w:rPr>
            </w:pPr>
            <w:proofErr w:type="spellStart"/>
            <w:r>
              <w:rPr>
                <w:rFonts w:ascii="Times New Roman" w:eastAsia="Times New Roman" w:hAnsi="Times New Roman" w:cs="Times New Roman"/>
                <w:sz w:val="16"/>
                <w:szCs w:val="16"/>
              </w:rPr>
              <w:t>Mul_mod_mn</w:t>
            </w:r>
            <w:proofErr w:type="spellEnd"/>
          </w:p>
        </w:tc>
        <w:tc>
          <w:tcPr>
            <w:tcW w:w="58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-1.24</w:t>
            </w:r>
          </w:p>
        </w:tc>
        <w:tc>
          <w:tcPr>
            <w:tcW w:w="58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-0.99</w:t>
            </w:r>
          </w:p>
        </w:tc>
        <w:tc>
          <w:tcPr>
            <w:tcW w:w="660"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-1.38</w:t>
            </w:r>
          </w:p>
        </w:tc>
        <w:tc>
          <w:tcPr>
            <w:tcW w:w="55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-1.30</w:t>
            </w:r>
          </w:p>
        </w:tc>
        <w:tc>
          <w:tcPr>
            <w:tcW w:w="570"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-2.97</w:t>
            </w:r>
          </w:p>
        </w:tc>
        <w:tc>
          <w:tcPr>
            <w:tcW w:w="55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-2.69</w:t>
            </w:r>
          </w:p>
        </w:tc>
        <w:tc>
          <w:tcPr>
            <w:tcW w:w="61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-2.89</w:t>
            </w:r>
          </w:p>
        </w:tc>
        <w:tc>
          <w:tcPr>
            <w:tcW w:w="630"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-2.55</w:t>
            </w:r>
          </w:p>
        </w:tc>
        <w:tc>
          <w:tcPr>
            <w:tcW w:w="55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-1.95</w:t>
            </w:r>
          </w:p>
        </w:tc>
        <w:tc>
          <w:tcPr>
            <w:tcW w:w="58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-2.06</w:t>
            </w:r>
          </w:p>
        </w:tc>
        <w:tc>
          <w:tcPr>
            <w:tcW w:w="61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-1.9s</w:t>
            </w:r>
          </w:p>
        </w:tc>
        <w:tc>
          <w:tcPr>
            <w:tcW w:w="58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-1.84</w:t>
            </w:r>
          </w:p>
        </w:tc>
        <w:tc>
          <w:tcPr>
            <w:tcW w:w="76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-2.06 (0.41)</w:t>
            </w:r>
          </w:p>
        </w:tc>
        <w:tc>
          <w:tcPr>
            <w:tcW w:w="750" w:type="dxa"/>
            <w:tcBorders>
              <w:top w:val="single" w:sz="8" w:space="0" w:color="000000"/>
              <w:bottom w:val="single" w:sz="8" w:space="0" w:color="000000"/>
              <w:right w:val="single" w:sz="8" w:space="0" w:color="000000"/>
            </w:tcBorders>
            <w:shd w:val="clear" w:color="auto" w:fill="A4C2F4"/>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-2.06 (0.67)</w:t>
            </w:r>
          </w:p>
        </w:tc>
        <w:tc>
          <w:tcPr>
            <w:tcW w:w="765" w:type="dxa"/>
            <w:tcBorders>
              <w:top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-1.90 (0.60)</w:t>
            </w:r>
          </w:p>
        </w:tc>
        <w:tc>
          <w:tcPr>
            <w:tcW w:w="805" w:type="dxa"/>
            <w:tcBorders>
              <w:top w:val="single" w:sz="8" w:space="0" w:color="000000"/>
              <w:bottom w:val="single" w:sz="8" w:space="0" w:color="000000"/>
              <w:right w:val="single" w:sz="8" w:space="0" w:color="000000"/>
            </w:tcBorders>
            <w:shd w:val="clear" w:color="auto" w:fill="A4C2F4"/>
            <w:tcMar>
              <w:top w:w="100" w:type="dxa"/>
              <w:left w:w="100" w:type="dxa"/>
              <w:bottom w:w="100" w:type="dxa"/>
              <w:right w:w="100" w:type="dxa"/>
            </w:tcMar>
          </w:tcPr>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-1.90 (0.61)</w:t>
            </w:r>
          </w:p>
        </w:tc>
      </w:tr>
    </w:tbl>
    <w:p w:rsidR="00A73BDC"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rPr>
      </w:pPr>
      <w:r>
        <w:br w:type="page"/>
      </w:r>
      <w:r w:rsidR="00980F56">
        <w:rPr>
          <w:rFonts w:ascii="Times New Roman" w:eastAsia="Times New Roman" w:hAnsi="Times New Roman" w:cs="Times New Roman"/>
        </w:rPr>
        <w:lastRenderedPageBreak/>
        <w:t>References</w:t>
      </w:r>
    </w:p>
    <w:p w:rsidR="009771D3" w:rsidRPr="009771D3" w:rsidRDefault="00D84037" w:rsidP="009771D3">
      <w:pPr>
        <w:pStyle w:val="Bibliography"/>
        <w:rPr>
          <w:rFonts w:ascii="Times New Roman" w:hAnsi="Times New Roman" w:cs="Times New Roman"/>
          <w:lang w:val="en-US"/>
        </w:rPr>
      </w:pPr>
      <w:r>
        <w:rPr>
          <w:rFonts w:eastAsia="Times New Roman"/>
        </w:rPr>
        <w:fldChar w:fldCharType="begin"/>
      </w:r>
      <w:r>
        <w:rPr>
          <w:rFonts w:eastAsia="Times New Roman"/>
        </w:rPr>
        <w:instrText xml:space="preserve"> ADDIN ZOTERO_BIBL {"uncited":[],"omitted":[],"custom":[]} CSL_BIBLIOGRAPHY </w:instrText>
      </w:r>
      <w:r>
        <w:rPr>
          <w:rFonts w:eastAsia="Times New Roman"/>
        </w:rPr>
        <w:fldChar w:fldCharType="separate"/>
      </w:r>
      <w:r w:rsidR="009771D3" w:rsidRPr="009771D3">
        <w:rPr>
          <w:rFonts w:ascii="Times New Roman" w:hAnsi="Times New Roman" w:cs="Times New Roman"/>
          <w:lang w:val="en-US"/>
        </w:rPr>
        <w:t>1.</w:t>
      </w:r>
      <w:r w:rsidR="009771D3" w:rsidRPr="009771D3">
        <w:rPr>
          <w:rFonts w:ascii="Times New Roman" w:hAnsi="Times New Roman" w:cs="Times New Roman"/>
          <w:lang w:val="en-US"/>
        </w:rPr>
        <w:tab/>
        <w:t xml:space="preserve">Canadell, J. G. </w:t>
      </w:r>
      <w:r w:rsidR="009771D3" w:rsidRPr="009771D3">
        <w:rPr>
          <w:rFonts w:ascii="Times New Roman" w:hAnsi="Times New Roman" w:cs="Times New Roman"/>
          <w:i/>
          <w:iCs/>
          <w:lang w:val="en-US"/>
        </w:rPr>
        <w:t>et al.</w:t>
      </w:r>
      <w:r w:rsidR="009771D3" w:rsidRPr="009771D3">
        <w:rPr>
          <w:rFonts w:ascii="Times New Roman" w:hAnsi="Times New Roman" w:cs="Times New Roman"/>
          <w:lang w:val="en-US"/>
        </w:rPr>
        <w:t xml:space="preserve"> Global Carbon and other Biogeochemical Cycles and Feedbacks. in </w:t>
      </w:r>
      <w:r w:rsidR="009771D3" w:rsidRPr="009771D3">
        <w:rPr>
          <w:rFonts w:ascii="Times New Roman" w:hAnsi="Times New Roman" w:cs="Times New Roman"/>
          <w:i/>
          <w:iCs/>
          <w:lang w:val="en-US"/>
        </w:rPr>
        <w:t>IPCC AR6 WGI, Final Government Distribution</w:t>
      </w:r>
      <w:r w:rsidR="009771D3" w:rsidRPr="009771D3">
        <w:rPr>
          <w:rFonts w:ascii="Times New Roman" w:hAnsi="Times New Roman" w:cs="Times New Roman"/>
          <w:lang w:val="en-US"/>
        </w:rPr>
        <w:t xml:space="preserve"> chapter 5 (2021).</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2.</w:t>
      </w:r>
      <w:r w:rsidRPr="009771D3">
        <w:rPr>
          <w:rFonts w:ascii="Times New Roman" w:hAnsi="Times New Roman" w:cs="Times New Roman"/>
          <w:lang w:val="en-US"/>
        </w:rPr>
        <w:tab/>
        <w:t xml:space="preserve">Philip, S.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OCO-2 Satellite-Imposed Constraints on Terrestrial Biospheric CO2 Fluxes Over South Asia. </w:t>
      </w:r>
      <w:r w:rsidRPr="009771D3">
        <w:rPr>
          <w:rFonts w:ascii="Times New Roman" w:hAnsi="Times New Roman" w:cs="Times New Roman"/>
          <w:i/>
          <w:iCs/>
          <w:lang w:val="en-US"/>
        </w:rPr>
        <w:t>Journal of Geophysical Research: Atmospheres</w:t>
      </w:r>
      <w:r w:rsidRPr="009771D3">
        <w:rPr>
          <w:rFonts w:ascii="Times New Roman" w:hAnsi="Times New Roman" w:cs="Times New Roman"/>
          <w:lang w:val="en-US"/>
        </w:rPr>
        <w:t xml:space="preserve"> </w:t>
      </w:r>
      <w:r w:rsidRPr="009771D3">
        <w:rPr>
          <w:rFonts w:ascii="Times New Roman" w:hAnsi="Times New Roman" w:cs="Times New Roman"/>
          <w:b/>
          <w:bCs/>
          <w:lang w:val="en-US"/>
        </w:rPr>
        <w:t>127</w:t>
      </w:r>
      <w:r w:rsidRPr="009771D3">
        <w:rPr>
          <w:rFonts w:ascii="Times New Roman" w:hAnsi="Times New Roman" w:cs="Times New Roman"/>
          <w:lang w:val="en-US"/>
        </w:rPr>
        <w:t>, e2021JD035035 (2022).</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3.</w:t>
      </w:r>
      <w:r w:rsidRPr="009771D3">
        <w:rPr>
          <w:rFonts w:ascii="Times New Roman" w:hAnsi="Times New Roman" w:cs="Times New Roman"/>
          <w:lang w:val="en-US"/>
        </w:rPr>
        <w:tab/>
        <w:t xml:space="preserve">Baker, D. F., Doney, S. C. &amp; Schimel, D. S. Variational data assimilation for atmospheric CO2. </w:t>
      </w:r>
      <w:r w:rsidRPr="009771D3">
        <w:rPr>
          <w:rFonts w:ascii="Times New Roman" w:hAnsi="Times New Roman" w:cs="Times New Roman"/>
          <w:i/>
          <w:iCs/>
          <w:lang w:val="en-US"/>
        </w:rPr>
        <w:t>Tellus B: Chemical and Physical Meteorology</w:t>
      </w:r>
      <w:r w:rsidRPr="009771D3">
        <w:rPr>
          <w:rFonts w:ascii="Times New Roman" w:hAnsi="Times New Roman" w:cs="Times New Roman"/>
          <w:lang w:val="en-US"/>
        </w:rPr>
        <w:t xml:space="preserve"> </w:t>
      </w:r>
      <w:r w:rsidRPr="009771D3">
        <w:rPr>
          <w:rFonts w:ascii="Times New Roman" w:hAnsi="Times New Roman" w:cs="Times New Roman"/>
          <w:b/>
          <w:bCs/>
          <w:lang w:val="en-US"/>
        </w:rPr>
        <w:t>58</w:t>
      </w:r>
      <w:r w:rsidRPr="009771D3">
        <w:rPr>
          <w:rFonts w:ascii="Times New Roman" w:hAnsi="Times New Roman" w:cs="Times New Roman"/>
          <w:lang w:val="en-US"/>
        </w:rPr>
        <w:t>, 359–365 (2006).</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4.</w:t>
      </w:r>
      <w:r w:rsidRPr="009771D3">
        <w:rPr>
          <w:rFonts w:ascii="Times New Roman" w:hAnsi="Times New Roman" w:cs="Times New Roman"/>
          <w:lang w:val="en-US"/>
        </w:rPr>
        <w:tab/>
        <w:t xml:space="preserve">Chevallier, F.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Inferring CO2 sources and sinks from satellite observations: Method and application to TOVS data. </w:t>
      </w:r>
      <w:r w:rsidRPr="009771D3">
        <w:rPr>
          <w:rFonts w:ascii="Times New Roman" w:hAnsi="Times New Roman" w:cs="Times New Roman"/>
          <w:i/>
          <w:iCs/>
          <w:lang w:val="en-US"/>
        </w:rPr>
        <w:t>Journal of Geophysical Research: Atmospheres</w:t>
      </w:r>
      <w:r w:rsidRPr="009771D3">
        <w:rPr>
          <w:rFonts w:ascii="Times New Roman" w:hAnsi="Times New Roman" w:cs="Times New Roman"/>
          <w:lang w:val="en-US"/>
        </w:rPr>
        <w:t xml:space="preserve"> </w:t>
      </w:r>
      <w:r w:rsidRPr="009771D3">
        <w:rPr>
          <w:rFonts w:ascii="Times New Roman" w:hAnsi="Times New Roman" w:cs="Times New Roman"/>
          <w:b/>
          <w:bCs/>
          <w:lang w:val="en-US"/>
        </w:rPr>
        <w:t>110</w:t>
      </w:r>
      <w:r w:rsidRPr="009771D3">
        <w:rPr>
          <w:rFonts w:ascii="Times New Roman" w:hAnsi="Times New Roman" w:cs="Times New Roman"/>
          <w:lang w:val="en-US"/>
        </w:rPr>
        <w:t>, (2005).</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5.</w:t>
      </w:r>
      <w:r w:rsidRPr="009771D3">
        <w:rPr>
          <w:rFonts w:ascii="Times New Roman" w:hAnsi="Times New Roman" w:cs="Times New Roman"/>
          <w:lang w:val="en-US"/>
        </w:rPr>
        <w:tab/>
        <w:t xml:space="preserve">Liu, J.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Carbon Monitoring System Flux Net Biosphere Exchange 2020 (CMS-Flux NBE 2020). </w:t>
      </w:r>
      <w:r w:rsidRPr="009771D3">
        <w:rPr>
          <w:rFonts w:ascii="Times New Roman" w:hAnsi="Times New Roman" w:cs="Times New Roman"/>
          <w:i/>
          <w:iCs/>
          <w:lang w:val="en-US"/>
        </w:rPr>
        <w:t>Earth System Science Data</w:t>
      </w:r>
      <w:r w:rsidRPr="009771D3">
        <w:rPr>
          <w:rFonts w:ascii="Times New Roman" w:hAnsi="Times New Roman" w:cs="Times New Roman"/>
          <w:lang w:val="en-US"/>
        </w:rPr>
        <w:t xml:space="preserve"> </w:t>
      </w:r>
      <w:r w:rsidRPr="009771D3">
        <w:rPr>
          <w:rFonts w:ascii="Times New Roman" w:hAnsi="Times New Roman" w:cs="Times New Roman"/>
          <w:b/>
          <w:bCs/>
          <w:lang w:val="en-US"/>
        </w:rPr>
        <w:t>13</w:t>
      </w:r>
      <w:r w:rsidRPr="009771D3">
        <w:rPr>
          <w:rFonts w:ascii="Times New Roman" w:hAnsi="Times New Roman" w:cs="Times New Roman"/>
          <w:lang w:val="en-US"/>
        </w:rPr>
        <w:t>, 299–330 (2021).</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6.</w:t>
      </w:r>
      <w:r w:rsidRPr="009771D3">
        <w:rPr>
          <w:rFonts w:ascii="Times New Roman" w:hAnsi="Times New Roman" w:cs="Times New Roman"/>
          <w:lang w:val="en-US"/>
        </w:rPr>
        <w:tab/>
        <w:t xml:space="preserve">Liu, Z.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Improving the joint estimation of CO</w:t>
      </w:r>
      <w:r w:rsidRPr="009771D3">
        <w:rPr>
          <w:rFonts w:ascii="Times New Roman" w:hAnsi="Times New Roman" w:cs="Times New Roman"/>
          <w:vertAlign w:val="subscript"/>
          <w:lang w:val="en-US"/>
        </w:rPr>
        <w:t>2</w:t>
      </w:r>
      <w:r w:rsidRPr="009771D3">
        <w:rPr>
          <w:rFonts w:ascii="Times New Roman" w:hAnsi="Times New Roman" w:cs="Times New Roman"/>
          <w:lang w:val="en-US"/>
        </w:rPr>
        <w:t xml:space="preserve"> and surface carbon fluxes using a constrained ensemble Kalman filter in COLA (v1.0). </w:t>
      </w:r>
      <w:r w:rsidRPr="009771D3">
        <w:rPr>
          <w:rFonts w:ascii="Times New Roman" w:hAnsi="Times New Roman" w:cs="Times New Roman"/>
          <w:i/>
          <w:iCs/>
          <w:lang w:val="en-US"/>
        </w:rPr>
        <w:t>Geoscientific Model Development</w:t>
      </w:r>
      <w:r w:rsidRPr="009771D3">
        <w:rPr>
          <w:rFonts w:ascii="Times New Roman" w:hAnsi="Times New Roman" w:cs="Times New Roman"/>
          <w:lang w:val="en-US"/>
        </w:rPr>
        <w:t xml:space="preserve"> </w:t>
      </w:r>
      <w:r w:rsidRPr="009771D3">
        <w:rPr>
          <w:rFonts w:ascii="Times New Roman" w:hAnsi="Times New Roman" w:cs="Times New Roman"/>
          <w:b/>
          <w:bCs/>
          <w:lang w:val="en-US"/>
        </w:rPr>
        <w:t>15</w:t>
      </w:r>
      <w:r w:rsidRPr="009771D3">
        <w:rPr>
          <w:rFonts w:ascii="Times New Roman" w:hAnsi="Times New Roman" w:cs="Times New Roman"/>
          <w:lang w:val="en-US"/>
        </w:rPr>
        <w:t>, 5511–5528 (2022).</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7.</w:t>
      </w:r>
      <w:r w:rsidRPr="009771D3">
        <w:rPr>
          <w:rFonts w:ascii="Times New Roman" w:hAnsi="Times New Roman" w:cs="Times New Roman"/>
          <w:lang w:val="en-US"/>
        </w:rPr>
        <w:tab/>
        <w:t xml:space="preserve">Schuh, A. E.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Quantifying the Impact of Atmospheric Transport Uncertainty on CO2 Surface Flux Estimates. </w:t>
      </w:r>
      <w:r w:rsidRPr="009771D3">
        <w:rPr>
          <w:rFonts w:ascii="Times New Roman" w:hAnsi="Times New Roman" w:cs="Times New Roman"/>
          <w:i/>
          <w:iCs/>
          <w:lang w:val="en-US"/>
        </w:rPr>
        <w:t>Global Biogeochemical Cycles</w:t>
      </w:r>
      <w:r w:rsidRPr="009771D3">
        <w:rPr>
          <w:rFonts w:ascii="Times New Roman" w:hAnsi="Times New Roman" w:cs="Times New Roman"/>
          <w:lang w:val="en-US"/>
        </w:rPr>
        <w:t xml:space="preserve"> </w:t>
      </w:r>
      <w:r w:rsidRPr="009771D3">
        <w:rPr>
          <w:rFonts w:ascii="Times New Roman" w:hAnsi="Times New Roman" w:cs="Times New Roman"/>
          <w:b/>
          <w:bCs/>
          <w:lang w:val="en-US"/>
        </w:rPr>
        <w:t>33</w:t>
      </w:r>
      <w:r w:rsidRPr="009771D3">
        <w:rPr>
          <w:rFonts w:ascii="Times New Roman" w:hAnsi="Times New Roman" w:cs="Times New Roman"/>
          <w:lang w:val="en-US"/>
        </w:rPr>
        <w:t>, 484–500 (2019).</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8.</w:t>
      </w:r>
      <w:r w:rsidRPr="009771D3">
        <w:rPr>
          <w:rFonts w:ascii="Times New Roman" w:hAnsi="Times New Roman" w:cs="Times New Roman"/>
          <w:lang w:val="en-US"/>
        </w:rPr>
        <w:tab/>
        <w:t>Jacobson et al., N. Global Monitoring Laboratory - Carbon Cycle Greenhouse Gases. https://gml.noaa.gov/ccgg/carbontracker/CT2019B/CT2019B_doc.php.</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9.</w:t>
      </w:r>
      <w:r w:rsidRPr="009771D3">
        <w:rPr>
          <w:rFonts w:ascii="Times New Roman" w:hAnsi="Times New Roman" w:cs="Times New Roman"/>
          <w:lang w:val="en-US"/>
        </w:rPr>
        <w:tab/>
        <w:t xml:space="preserve">Miller, S. M., Saibaba, A. K., Trudeau, M. E., Mountain, M. E. &amp; Andrews, A. E. Geostatistical inverse modeling with very large datasets: an example from the Orbiting Carbon Observatory 2 (OCO-2) satellite. </w:t>
      </w:r>
      <w:r w:rsidRPr="009771D3">
        <w:rPr>
          <w:rFonts w:ascii="Times New Roman" w:hAnsi="Times New Roman" w:cs="Times New Roman"/>
          <w:i/>
          <w:iCs/>
          <w:lang w:val="en-US"/>
        </w:rPr>
        <w:t>Geoscientific Model Development</w:t>
      </w:r>
      <w:r w:rsidRPr="009771D3">
        <w:rPr>
          <w:rFonts w:ascii="Times New Roman" w:hAnsi="Times New Roman" w:cs="Times New Roman"/>
          <w:lang w:val="en-US"/>
        </w:rPr>
        <w:t xml:space="preserve"> </w:t>
      </w:r>
      <w:r w:rsidRPr="009771D3">
        <w:rPr>
          <w:rFonts w:ascii="Times New Roman" w:hAnsi="Times New Roman" w:cs="Times New Roman"/>
          <w:b/>
          <w:bCs/>
          <w:lang w:val="en-US"/>
        </w:rPr>
        <w:t>13</w:t>
      </w:r>
      <w:r w:rsidRPr="009771D3">
        <w:rPr>
          <w:rFonts w:ascii="Times New Roman" w:hAnsi="Times New Roman" w:cs="Times New Roman"/>
          <w:lang w:val="en-US"/>
        </w:rPr>
        <w:t>, 1771–1785 (2020).</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10.</w:t>
      </w:r>
      <w:r w:rsidRPr="009771D3">
        <w:rPr>
          <w:rFonts w:ascii="Times New Roman" w:hAnsi="Times New Roman" w:cs="Times New Roman"/>
          <w:lang w:val="en-US"/>
        </w:rPr>
        <w:tab/>
        <w:t xml:space="preserve">Weir, B.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Regional impacts of COVID-19 on carbon dioxide detected worldwide from space. </w:t>
      </w:r>
      <w:r w:rsidRPr="009771D3">
        <w:rPr>
          <w:rFonts w:ascii="Times New Roman" w:hAnsi="Times New Roman" w:cs="Times New Roman"/>
          <w:i/>
          <w:iCs/>
          <w:lang w:val="en-US"/>
        </w:rPr>
        <w:t>Science Advances</w:t>
      </w:r>
      <w:r w:rsidRPr="009771D3">
        <w:rPr>
          <w:rFonts w:ascii="Times New Roman" w:hAnsi="Times New Roman" w:cs="Times New Roman"/>
          <w:lang w:val="en-US"/>
        </w:rPr>
        <w:t xml:space="preserve"> </w:t>
      </w:r>
      <w:r w:rsidRPr="009771D3">
        <w:rPr>
          <w:rFonts w:ascii="Times New Roman" w:hAnsi="Times New Roman" w:cs="Times New Roman"/>
          <w:b/>
          <w:bCs/>
          <w:lang w:val="en-US"/>
        </w:rPr>
        <w:t>7</w:t>
      </w:r>
      <w:r w:rsidRPr="009771D3">
        <w:rPr>
          <w:rFonts w:ascii="Times New Roman" w:hAnsi="Times New Roman" w:cs="Times New Roman"/>
          <w:lang w:val="en-US"/>
        </w:rPr>
        <w:t>, eabf9415 (2021).</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11.</w:t>
      </w:r>
      <w:r w:rsidRPr="009771D3">
        <w:rPr>
          <w:rFonts w:ascii="Times New Roman" w:hAnsi="Times New Roman" w:cs="Times New Roman"/>
          <w:lang w:val="en-US"/>
        </w:rPr>
        <w:tab/>
        <w:t xml:space="preserve">Maksyutov, S.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Technical note: A high-resolution inverse modelling technique for estimating surface CO</w:t>
      </w:r>
      <w:r w:rsidRPr="009771D3">
        <w:rPr>
          <w:rFonts w:ascii="Times New Roman" w:hAnsi="Times New Roman" w:cs="Times New Roman"/>
          <w:vertAlign w:val="subscript"/>
          <w:lang w:val="en-US"/>
        </w:rPr>
        <w:t>2</w:t>
      </w:r>
      <w:r w:rsidRPr="009771D3">
        <w:rPr>
          <w:rFonts w:ascii="Times New Roman" w:hAnsi="Times New Roman" w:cs="Times New Roman"/>
          <w:lang w:val="en-US"/>
        </w:rPr>
        <w:t xml:space="preserve"> fluxes based on the NIES-TM–FLEXPART coupled transport model and its adjoint. </w:t>
      </w:r>
      <w:r w:rsidRPr="009771D3">
        <w:rPr>
          <w:rFonts w:ascii="Times New Roman" w:hAnsi="Times New Roman" w:cs="Times New Roman"/>
          <w:i/>
          <w:iCs/>
          <w:lang w:val="en-US"/>
        </w:rPr>
        <w:t>Atmospheric Chemistry and Physics</w:t>
      </w:r>
      <w:r w:rsidRPr="009771D3">
        <w:rPr>
          <w:rFonts w:ascii="Times New Roman" w:hAnsi="Times New Roman" w:cs="Times New Roman"/>
          <w:lang w:val="en-US"/>
        </w:rPr>
        <w:t xml:space="preserve"> </w:t>
      </w:r>
      <w:r w:rsidRPr="009771D3">
        <w:rPr>
          <w:rFonts w:ascii="Times New Roman" w:hAnsi="Times New Roman" w:cs="Times New Roman"/>
          <w:b/>
          <w:bCs/>
          <w:lang w:val="en-US"/>
        </w:rPr>
        <w:t>21</w:t>
      </w:r>
      <w:r w:rsidRPr="009771D3">
        <w:rPr>
          <w:rFonts w:ascii="Times New Roman" w:hAnsi="Times New Roman" w:cs="Times New Roman"/>
          <w:lang w:val="en-US"/>
        </w:rPr>
        <w:t>, 1245–1266 (2021).</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12.</w:t>
      </w:r>
      <w:r w:rsidRPr="009771D3">
        <w:rPr>
          <w:rFonts w:ascii="Times New Roman" w:hAnsi="Times New Roman" w:cs="Times New Roman"/>
          <w:lang w:val="en-US"/>
        </w:rPr>
        <w:tab/>
        <w:t xml:space="preserve">Crowell, S.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The 2015–2016 carbon cycle as seen from OCO-2 and the global in situ network. </w:t>
      </w:r>
      <w:r w:rsidRPr="009771D3">
        <w:rPr>
          <w:rFonts w:ascii="Times New Roman" w:hAnsi="Times New Roman" w:cs="Times New Roman"/>
          <w:i/>
          <w:iCs/>
          <w:lang w:val="en-US"/>
        </w:rPr>
        <w:t>Atmospheric Chemistry and Physics</w:t>
      </w:r>
      <w:r w:rsidRPr="009771D3">
        <w:rPr>
          <w:rFonts w:ascii="Times New Roman" w:hAnsi="Times New Roman" w:cs="Times New Roman"/>
          <w:lang w:val="en-US"/>
        </w:rPr>
        <w:t xml:space="preserve"> </w:t>
      </w:r>
      <w:r w:rsidRPr="009771D3">
        <w:rPr>
          <w:rFonts w:ascii="Times New Roman" w:hAnsi="Times New Roman" w:cs="Times New Roman"/>
          <w:b/>
          <w:bCs/>
          <w:lang w:val="en-US"/>
        </w:rPr>
        <w:t>19</w:t>
      </w:r>
      <w:r w:rsidRPr="009771D3">
        <w:rPr>
          <w:rFonts w:ascii="Times New Roman" w:hAnsi="Times New Roman" w:cs="Times New Roman"/>
          <w:lang w:val="en-US"/>
        </w:rPr>
        <w:t>, 9797–9831 (2019).</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lastRenderedPageBreak/>
        <w:t>13.</w:t>
      </w:r>
      <w:r w:rsidRPr="009771D3">
        <w:rPr>
          <w:rFonts w:ascii="Times New Roman" w:hAnsi="Times New Roman" w:cs="Times New Roman"/>
          <w:lang w:val="en-US"/>
        </w:rPr>
        <w:tab/>
        <w:t xml:space="preserve">Basu, S.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Global CO</w:t>
      </w:r>
      <w:r w:rsidRPr="009771D3">
        <w:rPr>
          <w:rFonts w:ascii="Times New Roman" w:hAnsi="Times New Roman" w:cs="Times New Roman"/>
          <w:vertAlign w:val="subscript"/>
          <w:lang w:val="en-US"/>
        </w:rPr>
        <w:t>2</w:t>
      </w:r>
      <w:r w:rsidRPr="009771D3">
        <w:rPr>
          <w:rFonts w:ascii="Times New Roman" w:hAnsi="Times New Roman" w:cs="Times New Roman"/>
          <w:lang w:val="en-US"/>
        </w:rPr>
        <w:t xml:space="preserve"> fluxes estimated from GOSAT retrievals of total column CO</w:t>
      </w:r>
      <w:r w:rsidRPr="009771D3">
        <w:rPr>
          <w:rFonts w:ascii="Times New Roman" w:hAnsi="Times New Roman" w:cs="Times New Roman"/>
          <w:vertAlign w:val="subscript"/>
          <w:lang w:val="en-US"/>
        </w:rPr>
        <w:t>2</w:t>
      </w:r>
      <w:r w:rsidRPr="009771D3">
        <w:rPr>
          <w:rFonts w:ascii="Times New Roman" w:hAnsi="Times New Roman" w:cs="Times New Roman"/>
          <w:lang w:val="en-US"/>
        </w:rPr>
        <w:t xml:space="preserve">. </w:t>
      </w:r>
      <w:r w:rsidRPr="009771D3">
        <w:rPr>
          <w:rFonts w:ascii="Times New Roman" w:hAnsi="Times New Roman" w:cs="Times New Roman"/>
          <w:i/>
          <w:iCs/>
          <w:lang w:val="en-US"/>
        </w:rPr>
        <w:t>Atmospheric Chemistry and Physics</w:t>
      </w:r>
      <w:r w:rsidRPr="009771D3">
        <w:rPr>
          <w:rFonts w:ascii="Times New Roman" w:hAnsi="Times New Roman" w:cs="Times New Roman"/>
          <w:lang w:val="en-US"/>
        </w:rPr>
        <w:t xml:space="preserve"> </w:t>
      </w:r>
      <w:r w:rsidRPr="009771D3">
        <w:rPr>
          <w:rFonts w:ascii="Times New Roman" w:hAnsi="Times New Roman" w:cs="Times New Roman"/>
          <w:b/>
          <w:bCs/>
          <w:lang w:val="en-US"/>
        </w:rPr>
        <w:t>13</w:t>
      </w:r>
      <w:r w:rsidRPr="009771D3">
        <w:rPr>
          <w:rFonts w:ascii="Times New Roman" w:hAnsi="Times New Roman" w:cs="Times New Roman"/>
          <w:lang w:val="en-US"/>
        </w:rPr>
        <w:t>, 8695–8717 (2013).</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14.</w:t>
      </w:r>
      <w:r w:rsidRPr="009771D3">
        <w:rPr>
          <w:rFonts w:ascii="Times New Roman" w:hAnsi="Times New Roman" w:cs="Times New Roman"/>
          <w:lang w:val="en-US"/>
        </w:rPr>
        <w:tab/>
        <w:t xml:space="preserve">Deng, F., Jones, D. B. A., O’Dell, C. W., Nassar, R. &amp; Parazoo, N. C. Combining GOSAT XCO2 observations over land and ocean to improve regional CO2 flux estimates. </w:t>
      </w:r>
      <w:r w:rsidRPr="009771D3">
        <w:rPr>
          <w:rFonts w:ascii="Times New Roman" w:hAnsi="Times New Roman" w:cs="Times New Roman"/>
          <w:i/>
          <w:iCs/>
          <w:lang w:val="en-US"/>
        </w:rPr>
        <w:t>Journal of Geophysical Research: Atmospheres</w:t>
      </w:r>
      <w:r w:rsidRPr="009771D3">
        <w:rPr>
          <w:rFonts w:ascii="Times New Roman" w:hAnsi="Times New Roman" w:cs="Times New Roman"/>
          <w:lang w:val="en-US"/>
        </w:rPr>
        <w:t xml:space="preserve"> </w:t>
      </w:r>
      <w:r w:rsidRPr="009771D3">
        <w:rPr>
          <w:rFonts w:ascii="Times New Roman" w:hAnsi="Times New Roman" w:cs="Times New Roman"/>
          <w:b/>
          <w:bCs/>
          <w:lang w:val="en-US"/>
        </w:rPr>
        <w:t>121</w:t>
      </w:r>
      <w:r w:rsidRPr="009771D3">
        <w:rPr>
          <w:rFonts w:ascii="Times New Roman" w:hAnsi="Times New Roman" w:cs="Times New Roman"/>
          <w:lang w:val="en-US"/>
        </w:rPr>
        <w:t>, 1896–1913 (2016).</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15.</w:t>
      </w:r>
      <w:r w:rsidRPr="009771D3">
        <w:rPr>
          <w:rFonts w:ascii="Times New Roman" w:hAnsi="Times New Roman" w:cs="Times New Roman"/>
          <w:lang w:val="en-US"/>
        </w:rPr>
        <w:tab/>
        <w:t xml:space="preserve">Zammit-Mangion, A.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WOMBAT v1.0: a fully Bayesian global flux-inversion framework. </w:t>
      </w:r>
      <w:r w:rsidRPr="009771D3">
        <w:rPr>
          <w:rFonts w:ascii="Times New Roman" w:hAnsi="Times New Roman" w:cs="Times New Roman"/>
          <w:i/>
          <w:iCs/>
          <w:lang w:val="en-US"/>
        </w:rPr>
        <w:t>Geoscientific Model Development</w:t>
      </w:r>
      <w:r w:rsidRPr="009771D3">
        <w:rPr>
          <w:rFonts w:ascii="Times New Roman" w:hAnsi="Times New Roman" w:cs="Times New Roman"/>
          <w:lang w:val="en-US"/>
        </w:rPr>
        <w:t xml:space="preserve"> </w:t>
      </w:r>
      <w:r w:rsidRPr="009771D3">
        <w:rPr>
          <w:rFonts w:ascii="Times New Roman" w:hAnsi="Times New Roman" w:cs="Times New Roman"/>
          <w:b/>
          <w:bCs/>
          <w:lang w:val="en-US"/>
        </w:rPr>
        <w:t>15</w:t>
      </w:r>
      <w:r w:rsidRPr="009771D3">
        <w:rPr>
          <w:rFonts w:ascii="Times New Roman" w:hAnsi="Times New Roman" w:cs="Times New Roman"/>
          <w:lang w:val="en-US"/>
        </w:rPr>
        <w:t>, 45–73 (2022).</w:t>
      </w:r>
    </w:p>
    <w:p w:rsidR="009771D3" w:rsidRPr="009771D3" w:rsidRDefault="009771D3" w:rsidP="009771D3">
      <w:pPr>
        <w:pStyle w:val="Bibliography"/>
        <w:rPr>
          <w:rFonts w:ascii="Times New Roman" w:hAnsi="Times New Roman" w:cs="Times New Roman"/>
          <w:lang w:val="en-US"/>
        </w:rPr>
      </w:pPr>
      <w:r w:rsidRPr="009771D3">
        <w:rPr>
          <w:rFonts w:ascii="Times New Roman" w:hAnsi="Times New Roman" w:cs="Times New Roman"/>
          <w:lang w:val="en-US"/>
        </w:rPr>
        <w:t>16.</w:t>
      </w:r>
      <w:r w:rsidRPr="009771D3">
        <w:rPr>
          <w:rFonts w:ascii="Times New Roman" w:hAnsi="Times New Roman" w:cs="Times New Roman"/>
          <w:lang w:val="en-US"/>
        </w:rPr>
        <w:tab/>
        <w:t xml:space="preserve">Peiro, H. </w:t>
      </w:r>
      <w:r w:rsidRPr="009771D3">
        <w:rPr>
          <w:rFonts w:ascii="Times New Roman" w:hAnsi="Times New Roman" w:cs="Times New Roman"/>
          <w:i/>
          <w:iCs/>
          <w:lang w:val="en-US"/>
        </w:rPr>
        <w:t>et al.</w:t>
      </w:r>
      <w:r w:rsidRPr="009771D3">
        <w:rPr>
          <w:rFonts w:ascii="Times New Roman" w:hAnsi="Times New Roman" w:cs="Times New Roman"/>
          <w:lang w:val="en-US"/>
        </w:rPr>
        <w:t xml:space="preserve"> Four years of global carbon cycle observed from the Orbiting Carbon Observatory 2 (OCO-2) version 9 and in situ data and comparison to OCO-2 version 7. </w:t>
      </w:r>
      <w:r w:rsidRPr="009771D3">
        <w:rPr>
          <w:rFonts w:ascii="Times New Roman" w:hAnsi="Times New Roman" w:cs="Times New Roman"/>
          <w:i/>
          <w:iCs/>
          <w:lang w:val="en-US"/>
        </w:rPr>
        <w:t>Atmospheric Chemistry and Physics</w:t>
      </w:r>
      <w:r w:rsidRPr="009771D3">
        <w:rPr>
          <w:rFonts w:ascii="Times New Roman" w:hAnsi="Times New Roman" w:cs="Times New Roman"/>
          <w:lang w:val="en-US"/>
        </w:rPr>
        <w:t xml:space="preserve"> </w:t>
      </w:r>
      <w:r w:rsidRPr="009771D3">
        <w:rPr>
          <w:rFonts w:ascii="Times New Roman" w:hAnsi="Times New Roman" w:cs="Times New Roman"/>
          <w:b/>
          <w:bCs/>
          <w:lang w:val="en-US"/>
        </w:rPr>
        <w:t>22</w:t>
      </w:r>
      <w:r w:rsidRPr="009771D3">
        <w:rPr>
          <w:rFonts w:ascii="Times New Roman" w:hAnsi="Times New Roman" w:cs="Times New Roman"/>
          <w:lang w:val="en-US"/>
        </w:rPr>
        <w:t>, 1097–1130 (2022).</w:t>
      </w:r>
    </w:p>
    <w:p w:rsidR="00980F56" w:rsidRDefault="00D840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Times New Roman" w:eastAsia="Times New Roman" w:hAnsi="Times New Roman" w:cs="Times New Roman"/>
        </w:rPr>
      </w:pPr>
      <w:r>
        <w:rPr>
          <w:rFonts w:ascii="Times New Roman" w:eastAsia="Times New Roman" w:hAnsi="Times New Roman" w:cs="Times New Roman"/>
        </w:rPr>
        <w:fldChar w:fldCharType="end"/>
      </w:r>
    </w:p>
    <w:sectPr w:rsidR="00980F56">
      <w:headerReference w:type="default" r:id="rId17"/>
      <w:footerReference w:type="default" r:id="rId1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A2A70" w:rsidRDefault="005A2A70">
      <w:pPr>
        <w:spacing w:line="240" w:lineRule="auto"/>
      </w:pPr>
      <w:r>
        <w:separator/>
      </w:r>
    </w:p>
  </w:endnote>
  <w:endnote w:type="continuationSeparator" w:id="0">
    <w:p w:rsidR="005A2A70" w:rsidRDefault="005A2A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Calibri"/>
    <w:panose1 w:val="020B0604020202020204"/>
    <w:charset w:val="00"/>
    <w:family w:val="auto"/>
    <w:pitch w:val="default"/>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73BDC" w:rsidRDefault="00A73BDC">
    <w:pPr>
      <w:widowControl w:val="0"/>
      <w:jc w:val="both"/>
      <w:rPr>
        <w:rFonts w:ascii="Times New Roman" w:eastAsia="Times New Roman" w:hAnsi="Times New Roman" w:cs="Times New Roman"/>
      </w:rPr>
    </w:pPr>
  </w:p>
  <w:p w:rsidR="00A73BDC" w:rsidRDefault="00A73BDC">
    <w:pPr>
      <w:rPr>
        <w:rFonts w:ascii="Times New Roman" w:eastAsia="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A2A70" w:rsidRDefault="005A2A70">
      <w:pPr>
        <w:spacing w:line="240" w:lineRule="auto"/>
      </w:pPr>
      <w:r>
        <w:separator/>
      </w:r>
    </w:p>
  </w:footnote>
  <w:footnote w:type="continuationSeparator" w:id="0">
    <w:p w:rsidR="005A2A70" w:rsidRDefault="005A2A7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73BDC" w:rsidRDefault="00000000">
    <w:pPr>
      <w:jc w:val="right"/>
    </w:pPr>
    <w:r>
      <w:fldChar w:fldCharType="begin"/>
    </w:r>
    <w:r>
      <w:instrText>PAGE</w:instrText>
    </w:r>
    <w:r>
      <w:fldChar w:fldCharType="separate"/>
    </w:r>
    <w:r w:rsidR="00A91129">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C9315D"/>
    <w:multiLevelType w:val="multilevel"/>
    <w:tmpl w:val="07BE5E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2186608"/>
    <w:multiLevelType w:val="multilevel"/>
    <w:tmpl w:val="F8C2B4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38011081">
    <w:abstractNumId w:val="0"/>
  </w:num>
  <w:num w:numId="2" w16cid:durableId="700478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BDC"/>
    <w:rsid w:val="001A6D99"/>
    <w:rsid w:val="002C6378"/>
    <w:rsid w:val="00316825"/>
    <w:rsid w:val="00373B87"/>
    <w:rsid w:val="003A08C7"/>
    <w:rsid w:val="00484604"/>
    <w:rsid w:val="004B1A34"/>
    <w:rsid w:val="005556FA"/>
    <w:rsid w:val="005906B8"/>
    <w:rsid w:val="005A2A70"/>
    <w:rsid w:val="0060038C"/>
    <w:rsid w:val="00606E23"/>
    <w:rsid w:val="00643D3B"/>
    <w:rsid w:val="0067428E"/>
    <w:rsid w:val="00710FAD"/>
    <w:rsid w:val="007435F7"/>
    <w:rsid w:val="00745BFA"/>
    <w:rsid w:val="00750DC5"/>
    <w:rsid w:val="007C73A1"/>
    <w:rsid w:val="007D7983"/>
    <w:rsid w:val="00832FBB"/>
    <w:rsid w:val="00912D5E"/>
    <w:rsid w:val="009541DA"/>
    <w:rsid w:val="009771D3"/>
    <w:rsid w:val="00980F56"/>
    <w:rsid w:val="009C7CAB"/>
    <w:rsid w:val="00A20B06"/>
    <w:rsid w:val="00A33804"/>
    <w:rsid w:val="00A73BDC"/>
    <w:rsid w:val="00A764FE"/>
    <w:rsid w:val="00A91129"/>
    <w:rsid w:val="00B10304"/>
    <w:rsid w:val="00B11EBF"/>
    <w:rsid w:val="00B130E9"/>
    <w:rsid w:val="00B2575B"/>
    <w:rsid w:val="00B30909"/>
    <w:rsid w:val="00B43AFE"/>
    <w:rsid w:val="00B8364A"/>
    <w:rsid w:val="00B8748A"/>
    <w:rsid w:val="00BB177B"/>
    <w:rsid w:val="00C300DD"/>
    <w:rsid w:val="00C6596C"/>
    <w:rsid w:val="00C923A5"/>
    <w:rsid w:val="00D84037"/>
    <w:rsid w:val="00DA7D34"/>
    <w:rsid w:val="00E3468A"/>
    <w:rsid w:val="00E82600"/>
    <w:rsid w:val="00E902DA"/>
    <w:rsid w:val="00EA7EEF"/>
    <w:rsid w:val="00ED016D"/>
    <w:rsid w:val="00F05479"/>
    <w:rsid w:val="00F32CBB"/>
    <w:rsid w:val="00F675F1"/>
    <w:rsid w:val="00FA61AA"/>
    <w:rsid w:val="00FB1E77"/>
    <w:rsid w:val="00FD442B"/>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B5EC87"/>
  <w15:docId w15:val="{FC99ACAB-A552-F244-9EC5-45D1AEDCB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5"/>
    </w:rPr>
  </w:style>
  <w:style w:type="character" w:customStyle="1" w:styleId="CommentTextChar">
    <w:name w:val="Comment Text Char"/>
    <w:basedOn w:val="DefaultParagraphFont"/>
    <w:link w:val="CommentText"/>
    <w:uiPriority w:val="99"/>
    <w:semiHidden/>
    <w:rPr>
      <w:sz w:val="20"/>
      <w:szCs w:val="25"/>
    </w:rPr>
  </w:style>
  <w:style w:type="character" w:styleId="CommentReference">
    <w:name w:val="annotation reference"/>
    <w:basedOn w:val="DefaultParagraphFont"/>
    <w:uiPriority w:val="99"/>
    <w:semiHidden/>
    <w:unhideWhenUsed/>
    <w:rPr>
      <w:sz w:val="16"/>
      <w:szCs w:val="16"/>
    </w:r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D84037"/>
    <w:pPr>
      <w:tabs>
        <w:tab w:val="left" w:pos="260"/>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S372cE+IER6I8G5ieF+39/VmgQ==">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22</Pages>
  <Words>11117</Words>
  <Characters>63369</Characters>
  <Application>Microsoft Office Word</Application>
  <DocSecurity>0</DocSecurity>
  <Lines>528</Lines>
  <Paragraphs>148</Paragraphs>
  <ScaleCrop>false</ScaleCrop>
  <Company/>
  <LinksUpToDate>false</LinksUpToDate>
  <CharactersWithSpaces>74338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SUMAN MAITY</cp:lastModifiedBy>
  <cp:revision>45</cp:revision>
  <dcterms:created xsi:type="dcterms:W3CDTF">2023-08-06T01:22:00Z</dcterms:created>
  <dcterms:modified xsi:type="dcterms:W3CDTF">2024-02-16T05:31:00Z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id="04QK874R"/&gt;&lt;style id="http://www.zotero.org/styles/nature" hasBibliography="1" bibliographyStyleHasBeenSet="1"/&gt;&lt;prefs&gt;&lt;pref name="fieldType" value="Field"/&gt;&lt;/prefs&gt;&lt;/data&gt;</vt:lpwstr>
  </property>
</Properties>
</file>