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A4512" w14:textId="6CE565A8" w:rsidR="00AE1649" w:rsidRPr="00653E50" w:rsidRDefault="00AE1649" w:rsidP="00DC2E0F">
      <w:pPr>
        <w:pStyle w:val="Title"/>
        <w:rPr>
          <w:rFonts w:ascii="Arial" w:hAnsi="Arial" w:cs="Arial"/>
        </w:rPr>
      </w:pPr>
      <w:r w:rsidRPr="00653E50">
        <w:rPr>
          <w:rFonts w:ascii="Arial" w:hAnsi="Arial" w:cs="Arial"/>
        </w:rPr>
        <w:t>Suppl</w:t>
      </w:r>
      <w:r w:rsidR="00DC2E0F" w:rsidRPr="00653E50">
        <w:rPr>
          <w:rFonts w:ascii="Arial" w:hAnsi="Arial" w:cs="Arial"/>
        </w:rPr>
        <w:t>e</w:t>
      </w:r>
      <w:r w:rsidRPr="00653E50">
        <w:rPr>
          <w:rFonts w:ascii="Arial" w:hAnsi="Arial" w:cs="Arial"/>
        </w:rPr>
        <w:t xml:space="preserve">mentary materials </w:t>
      </w:r>
    </w:p>
    <w:p w14:paraId="464C78A6" w14:textId="77777777" w:rsidR="00DC2E0F" w:rsidRPr="00653E50" w:rsidRDefault="00DC2E0F" w:rsidP="00DC2E0F">
      <w:pPr>
        <w:rPr>
          <w:rFonts w:ascii="Arial" w:hAnsi="Arial" w:cs="Arial"/>
        </w:rPr>
      </w:pPr>
    </w:p>
    <w:sdt>
      <w:sdtPr>
        <w:rPr>
          <w:rFonts w:ascii="Arial" w:hAnsi="Arial" w:cs="Arial"/>
        </w:rPr>
        <w:id w:val="1935549788"/>
        <w:docPartObj>
          <w:docPartGallery w:val="Table of Contents"/>
          <w:docPartUnique/>
        </w:docPartObj>
      </w:sdtPr>
      <w:sdtEndPr>
        <w:rPr>
          <w:rFonts w:eastAsiaTheme="minorHAnsi"/>
          <w:b/>
          <w:bCs/>
          <w:noProof/>
          <w:color w:val="auto"/>
          <w:sz w:val="22"/>
          <w:szCs w:val="22"/>
          <w:lang w:val="en-AU"/>
        </w:rPr>
      </w:sdtEndPr>
      <w:sdtContent>
        <w:p w14:paraId="56E49271" w14:textId="61489CAB" w:rsidR="00DC2E0F" w:rsidRPr="00653E50" w:rsidRDefault="00DC2E0F">
          <w:pPr>
            <w:pStyle w:val="TOCHeading"/>
            <w:rPr>
              <w:rFonts w:ascii="Arial" w:hAnsi="Arial" w:cs="Arial"/>
            </w:rPr>
          </w:pPr>
          <w:r w:rsidRPr="00653E50">
            <w:rPr>
              <w:rFonts w:ascii="Arial" w:hAnsi="Arial" w:cs="Arial"/>
            </w:rPr>
            <w:t>Contents</w:t>
          </w:r>
        </w:p>
        <w:p w14:paraId="7B71263B" w14:textId="77777777" w:rsidR="00DC2E0F" w:rsidRPr="00653E50" w:rsidRDefault="00DC2E0F" w:rsidP="00DC2E0F">
          <w:pPr>
            <w:rPr>
              <w:rFonts w:ascii="Arial" w:hAnsi="Arial" w:cs="Arial"/>
              <w:lang w:val="en-US"/>
            </w:rPr>
          </w:pPr>
        </w:p>
        <w:p w14:paraId="4214FDFC" w14:textId="719EB07E" w:rsidR="00653E50" w:rsidRDefault="00DC2E0F">
          <w:pPr>
            <w:pStyle w:val="TOC1"/>
            <w:tabs>
              <w:tab w:val="right" w:leader="dot" w:pos="9016"/>
            </w:tabs>
            <w:rPr>
              <w:rFonts w:eastAsiaTheme="minorEastAsia"/>
              <w:noProof/>
              <w:kern w:val="2"/>
              <w:lang w:eastAsia="en-AU"/>
              <w14:ligatures w14:val="standardContextual"/>
            </w:rPr>
          </w:pPr>
          <w:r w:rsidRPr="00653E50">
            <w:rPr>
              <w:rFonts w:ascii="Arial" w:hAnsi="Arial" w:cs="Arial"/>
            </w:rPr>
            <w:fldChar w:fldCharType="begin"/>
          </w:r>
          <w:r w:rsidRPr="00653E50">
            <w:rPr>
              <w:rFonts w:ascii="Arial" w:hAnsi="Arial" w:cs="Arial"/>
            </w:rPr>
            <w:instrText xml:space="preserve"> TOC \o "1-3" \h \z \u </w:instrText>
          </w:r>
          <w:r w:rsidRPr="00653E50">
            <w:rPr>
              <w:rFonts w:ascii="Arial" w:hAnsi="Arial" w:cs="Arial"/>
            </w:rPr>
            <w:fldChar w:fldCharType="separate"/>
          </w:r>
          <w:hyperlink w:anchor="_Toc158989029" w:history="1">
            <w:r w:rsidR="00653E50" w:rsidRPr="00EB3D38">
              <w:rPr>
                <w:rStyle w:val="Hyperlink"/>
                <w:rFonts w:ascii="Arial" w:hAnsi="Arial" w:cs="Arial"/>
                <w:noProof/>
              </w:rPr>
              <w:t>Supplementary 1: outline of recent green infrastructure metrics</w:t>
            </w:r>
            <w:r w:rsidR="00653E50">
              <w:rPr>
                <w:noProof/>
                <w:webHidden/>
              </w:rPr>
              <w:tab/>
            </w:r>
            <w:r w:rsidR="00653E50">
              <w:rPr>
                <w:noProof/>
                <w:webHidden/>
              </w:rPr>
              <w:fldChar w:fldCharType="begin"/>
            </w:r>
            <w:r w:rsidR="00653E50">
              <w:rPr>
                <w:noProof/>
                <w:webHidden/>
              </w:rPr>
              <w:instrText xml:space="preserve"> PAGEREF _Toc158989029 \h </w:instrText>
            </w:r>
            <w:r w:rsidR="00653E50">
              <w:rPr>
                <w:noProof/>
                <w:webHidden/>
              </w:rPr>
            </w:r>
            <w:r w:rsidR="00653E50">
              <w:rPr>
                <w:noProof/>
                <w:webHidden/>
              </w:rPr>
              <w:fldChar w:fldCharType="separate"/>
            </w:r>
            <w:r w:rsidR="00653E50">
              <w:rPr>
                <w:noProof/>
                <w:webHidden/>
              </w:rPr>
              <w:t>2</w:t>
            </w:r>
            <w:r w:rsidR="00653E50">
              <w:rPr>
                <w:noProof/>
                <w:webHidden/>
              </w:rPr>
              <w:fldChar w:fldCharType="end"/>
            </w:r>
          </w:hyperlink>
        </w:p>
        <w:p w14:paraId="3A608530" w14:textId="53AAD531" w:rsidR="00653E50" w:rsidRDefault="00653E50">
          <w:pPr>
            <w:pStyle w:val="TOC1"/>
            <w:tabs>
              <w:tab w:val="right" w:leader="dot" w:pos="9016"/>
            </w:tabs>
            <w:rPr>
              <w:rFonts w:eastAsiaTheme="minorEastAsia"/>
              <w:noProof/>
              <w:kern w:val="2"/>
              <w:lang w:eastAsia="en-AU"/>
              <w14:ligatures w14:val="standardContextual"/>
            </w:rPr>
          </w:pPr>
          <w:hyperlink w:anchor="_Toc158989030" w:history="1">
            <w:r w:rsidRPr="00EB3D38">
              <w:rPr>
                <w:rStyle w:val="Hyperlink"/>
                <w:rFonts w:ascii="Arial" w:hAnsi="Arial" w:cs="Arial"/>
                <w:noProof/>
              </w:rPr>
              <w:t>Supplementary 2: mapping a graded 3-30-300 metric</w:t>
            </w:r>
            <w:r>
              <w:rPr>
                <w:noProof/>
                <w:webHidden/>
              </w:rPr>
              <w:tab/>
            </w:r>
            <w:r>
              <w:rPr>
                <w:noProof/>
                <w:webHidden/>
              </w:rPr>
              <w:fldChar w:fldCharType="begin"/>
            </w:r>
            <w:r>
              <w:rPr>
                <w:noProof/>
                <w:webHidden/>
              </w:rPr>
              <w:instrText xml:space="preserve"> PAGEREF _Toc158989030 \h </w:instrText>
            </w:r>
            <w:r>
              <w:rPr>
                <w:noProof/>
                <w:webHidden/>
              </w:rPr>
            </w:r>
            <w:r>
              <w:rPr>
                <w:noProof/>
                <w:webHidden/>
              </w:rPr>
              <w:fldChar w:fldCharType="separate"/>
            </w:r>
            <w:r>
              <w:rPr>
                <w:noProof/>
                <w:webHidden/>
              </w:rPr>
              <w:t>2</w:t>
            </w:r>
            <w:r>
              <w:rPr>
                <w:noProof/>
                <w:webHidden/>
              </w:rPr>
              <w:fldChar w:fldCharType="end"/>
            </w:r>
          </w:hyperlink>
        </w:p>
        <w:p w14:paraId="23E257B5" w14:textId="3CEA93E9" w:rsidR="00653E50" w:rsidRDefault="00653E50">
          <w:pPr>
            <w:pStyle w:val="TOC1"/>
            <w:tabs>
              <w:tab w:val="right" w:leader="dot" w:pos="9016"/>
            </w:tabs>
            <w:rPr>
              <w:rFonts w:eastAsiaTheme="minorEastAsia"/>
              <w:noProof/>
              <w:kern w:val="2"/>
              <w:lang w:eastAsia="en-AU"/>
              <w14:ligatures w14:val="standardContextual"/>
            </w:rPr>
          </w:pPr>
          <w:hyperlink w:anchor="_Toc158989031" w:history="1">
            <w:r w:rsidRPr="00EB3D38">
              <w:rPr>
                <w:rStyle w:val="Hyperlink"/>
                <w:rFonts w:ascii="Arial" w:hAnsi="Arial" w:cs="Arial"/>
                <w:noProof/>
              </w:rPr>
              <w:t>Supplementary 3: Exploring impacts of parametric changes</w:t>
            </w:r>
            <w:r>
              <w:rPr>
                <w:noProof/>
                <w:webHidden/>
              </w:rPr>
              <w:tab/>
            </w:r>
            <w:r>
              <w:rPr>
                <w:noProof/>
                <w:webHidden/>
              </w:rPr>
              <w:fldChar w:fldCharType="begin"/>
            </w:r>
            <w:r>
              <w:rPr>
                <w:noProof/>
                <w:webHidden/>
              </w:rPr>
              <w:instrText xml:space="preserve"> PAGEREF _Toc158989031 \h </w:instrText>
            </w:r>
            <w:r>
              <w:rPr>
                <w:noProof/>
                <w:webHidden/>
              </w:rPr>
            </w:r>
            <w:r>
              <w:rPr>
                <w:noProof/>
                <w:webHidden/>
              </w:rPr>
              <w:fldChar w:fldCharType="separate"/>
            </w:r>
            <w:r>
              <w:rPr>
                <w:noProof/>
                <w:webHidden/>
              </w:rPr>
              <w:t>6</w:t>
            </w:r>
            <w:r>
              <w:rPr>
                <w:noProof/>
                <w:webHidden/>
              </w:rPr>
              <w:fldChar w:fldCharType="end"/>
            </w:r>
          </w:hyperlink>
        </w:p>
        <w:p w14:paraId="3D4B895B" w14:textId="72466981" w:rsidR="00653E50" w:rsidRDefault="00653E50">
          <w:pPr>
            <w:pStyle w:val="TOC1"/>
            <w:tabs>
              <w:tab w:val="right" w:leader="dot" w:pos="9016"/>
            </w:tabs>
            <w:rPr>
              <w:rFonts w:eastAsiaTheme="minorEastAsia"/>
              <w:noProof/>
              <w:kern w:val="2"/>
              <w:lang w:eastAsia="en-AU"/>
              <w14:ligatures w14:val="standardContextual"/>
            </w:rPr>
          </w:pPr>
          <w:hyperlink w:anchor="_Toc158989032" w:history="1">
            <w:r w:rsidRPr="00EB3D38">
              <w:rPr>
                <w:rStyle w:val="Hyperlink"/>
                <w:rFonts w:ascii="Arial" w:hAnsi="Arial" w:cs="Arial"/>
                <w:noProof/>
              </w:rPr>
              <w:t>Supplementary 4: Discussion of Methodological Frontiers</w:t>
            </w:r>
            <w:r>
              <w:rPr>
                <w:noProof/>
                <w:webHidden/>
              </w:rPr>
              <w:tab/>
            </w:r>
            <w:r>
              <w:rPr>
                <w:noProof/>
                <w:webHidden/>
              </w:rPr>
              <w:fldChar w:fldCharType="begin"/>
            </w:r>
            <w:r>
              <w:rPr>
                <w:noProof/>
                <w:webHidden/>
              </w:rPr>
              <w:instrText xml:space="preserve"> PAGEREF _Toc158989032 \h </w:instrText>
            </w:r>
            <w:r>
              <w:rPr>
                <w:noProof/>
                <w:webHidden/>
              </w:rPr>
            </w:r>
            <w:r>
              <w:rPr>
                <w:noProof/>
                <w:webHidden/>
              </w:rPr>
              <w:fldChar w:fldCharType="separate"/>
            </w:r>
            <w:r>
              <w:rPr>
                <w:noProof/>
                <w:webHidden/>
              </w:rPr>
              <w:t>11</w:t>
            </w:r>
            <w:r>
              <w:rPr>
                <w:noProof/>
                <w:webHidden/>
              </w:rPr>
              <w:fldChar w:fldCharType="end"/>
            </w:r>
          </w:hyperlink>
        </w:p>
        <w:p w14:paraId="15E1304B" w14:textId="45D80150" w:rsidR="00653E50" w:rsidRDefault="00653E50">
          <w:pPr>
            <w:pStyle w:val="TOC1"/>
            <w:tabs>
              <w:tab w:val="right" w:leader="dot" w:pos="9016"/>
            </w:tabs>
            <w:rPr>
              <w:rFonts w:eastAsiaTheme="minorEastAsia"/>
              <w:noProof/>
              <w:kern w:val="2"/>
              <w:lang w:eastAsia="en-AU"/>
              <w14:ligatures w14:val="standardContextual"/>
            </w:rPr>
          </w:pPr>
          <w:hyperlink w:anchor="_Toc158989033" w:history="1">
            <w:r w:rsidRPr="00EB3D38">
              <w:rPr>
                <w:rStyle w:val="Hyperlink"/>
                <w:rFonts w:ascii="Arial" w:hAnsi="Arial" w:cs="Arial"/>
                <w:noProof/>
              </w:rPr>
              <w:t>Supplementary 5: data sources</w:t>
            </w:r>
            <w:r>
              <w:rPr>
                <w:noProof/>
                <w:webHidden/>
              </w:rPr>
              <w:tab/>
            </w:r>
            <w:r>
              <w:rPr>
                <w:noProof/>
                <w:webHidden/>
              </w:rPr>
              <w:fldChar w:fldCharType="begin"/>
            </w:r>
            <w:r>
              <w:rPr>
                <w:noProof/>
                <w:webHidden/>
              </w:rPr>
              <w:instrText xml:space="preserve"> PAGEREF _Toc158989033 \h </w:instrText>
            </w:r>
            <w:r>
              <w:rPr>
                <w:noProof/>
                <w:webHidden/>
              </w:rPr>
            </w:r>
            <w:r>
              <w:rPr>
                <w:noProof/>
                <w:webHidden/>
              </w:rPr>
              <w:fldChar w:fldCharType="separate"/>
            </w:r>
            <w:r>
              <w:rPr>
                <w:noProof/>
                <w:webHidden/>
              </w:rPr>
              <w:t>13</w:t>
            </w:r>
            <w:r>
              <w:rPr>
                <w:noProof/>
                <w:webHidden/>
              </w:rPr>
              <w:fldChar w:fldCharType="end"/>
            </w:r>
          </w:hyperlink>
        </w:p>
        <w:p w14:paraId="7B06649D" w14:textId="2B7E2508" w:rsidR="00653E50" w:rsidRDefault="00653E50">
          <w:pPr>
            <w:pStyle w:val="TOC1"/>
            <w:tabs>
              <w:tab w:val="right" w:leader="dot" w:pos="9016"/>
            </w:tabs>
            <w:rPr>
              <w:rFonts w:eastAsiaTheme="minorEastAsia"/>
              <w:noProof/>
              <w:kern w:val="2"/>
              <w:lang w:eastAsia="en-AU"/>
              <w14:ligatures w14:val="standardContextual"/>
            </w:rPr>
          </w:pPr>
          <w:hyperlink w:anchor="_Toc158989034" w:history="1">
            <w:r w:rsidRPr="00EB3D38">
              <w:rPr>
                <w:rStyle w:val="Hyperlink"/>
                <w:rFonts w:ascii="Arial" w:hAnsi="Arial" w:cs="Arial"/>
                <w:noProof/>
              </w:rPr>
              <w:t>Supplementary 6: FME workflows and intermediate result example</w:t>
            </w:r>
            <w:r>
              <w:rPr>
                <w:noProof/>
                <w:webHidden/>
              </w:rPr>
              <w:tab/>
            </w:r>
            <w:r>
              <w:rPr>
                <w:noProof/>
                <w:webHidden/>
              </w:rPr>
              <w:fldChar w:fldCharType="begin"/>
            </w:r>
            <w:r>
              <w:rPr>
                <w:noProof/>
                <w:webHidden/>
              </w:rPr>
              <w:instrText xml:space="preserve"> PAGEREF _Toc158989034 \h </w:instrText>
            </w:r>
            <w:r>
              <w:rPr>
                <w:noProof/>
                <w:webHidden/>
              </w:rPr>
            </w:r>
            <w:r>
              <w:rPr>
                <w:noProof/>
                <w:webHidden/>
              </w:rPr>
              <w:fldChar w:fldCharType="separate"/>
            </w:r>
            <w:r>
              <w:rPr>
                <w:noProof/>
                <w:webHidden/>
              </w:rPr>
              <w:t>14</w:t>
            </w:r>
            <w:r>
              <w:rPr>
                <w:noProof/>
                <w:webHidden/>
              </w:rPr>
              <w:fldChar w:fldCharType="end"/>
            </w:r>
          </w:hyperlink>
        </w:p>
        <w:p w14:paraId="3F4EE428" w14:textId="6B73E5AF" w:rsidR="00653E50" w:rsidRDefault="00653E50">
          <w:pPr>
            <w:pStyle w:val="TOC1"/>
            <w:tabs>
              <w:tab w:val="right" w:leader="dot" w:pos="9016"/>
            </w:tabs>
            <w:rPr>
              <w:rFonts w:eastAsiaTheme="minorEastAsia"/>
              <w:noProof/>
              <w:kern w:val="2"/>
              <w:lang w:eastAsia="en-AU"/>
              <w14:ligatures w14:val="standardContextual"/>
            </w:rPr>
          </w:pPr>
          <w:hyperlink w:anchor="_Toc158989035" w:history="1">
            <w:r w:rsidRPr="00EB3D38">
              <w:rPr>
                <w:rStyle w:val="Hyperlink"/>
                <w:rFonts w:ascii="Arial" w:hAnsi="Arial" w:cs="Arial"/>
                <w:noProof/>
              </w:rPr>
              <w:t>Supplementary 7: detailed outline of limitations</w:t>
            </w:r>
            <w:r>
              <w:rPr>
                <w:noProof/>
                <w:webHidden/>
              </w:rPr>
              <w:tab/>
            </w:r>
            <w:r>
              <w:rPr>
                <w:noProof/>
                <w:webHidden/>
              </w:rPr>
              <w:fldChar w:fldCharType="begin"/>
            </w:r>
            <w:r>
              <w:rPr>
                <w:noProof/>
                <w:webHidden/>
              </w:rPr>
              <w:instrText xml:space="preserve"> PAGEREF _Toc158989035 \h </w:instrText>
            </w:r>
            <w:r>
              <w:rPr>
                <w:noProof/>
                <w:webHidden/>
              </w:rPr>
            </w:r>
            <w:r>
              <w:rPr>
                <w:noProof/>
                <w:webHidden/>
              </w:rPr>
              <w:fldChar w:fldCharType="separate"/>
            </w:r>
            <w:r>
              <w:rPr>
                <w:noProof/>
                <w:webHidden/>
              </w:rPr>
              <w:t>16</w:t>
            </w:r>
            <w:r>
              <w:rPr>
                <w:noProof/>
                <w:webHidden/>
              </w:rPr>
              <w:fldChar w:fldCharType="end"/>
            </w:r>
          </w:hyperlink>
        </w:p>
        <w:p w14:paraId="50939597" w14:textId="0B526F3C" w:rsidR="00653E50" w:rsidRDefault="00653E50">
          <w:pPr>
            <w:pStyle w:val="TOC3"/>
            <w:tabs>
              <w:tab w:val="right" w:leader="dot" w:pos="9016"/>
            </w:tabs>
            <w:rPr>
              <w:rFonts w:eastAsiaTheme="minorEastAsia"/>
              <w:noProof/>
              <w:kern w:val="2"/>
              <w:lang w:eastAsia="en-AU"/>
              <w14:ligatures w14:val="standardContextual"/>
            </w:rPr>
          </w:pPr>
          <w:hyperlink w:anchor="_Toc158989036" w:history="1">
            <w:r w:rsidRPr="00EB3D38">
              <w:rPr>
                <w:rStyle w:val="Hyperlink"/>
                <w:rFonts w:ascii="Arial" w:hAnsi="Arial" w:cs="Arial"/>
                <w:noProof/>
              </w:rPr>
              <w:t>Processing limitations</w:t>
            </w:r>
            <w:r>
              <w:rPr>
                <w:noProof/>
                <w:webHidden/>
              </w:rPr>
              <w:tab/>
            </w:r>
            <w:r>
              <w:rPr>
                <w:noProof/>
                <w:webHidden/>
              </w:rPr>
              <w:fldChar w:fldCharType="begin"/>
            </w:r>
            <w:r>
              <w:rPr>
                <w:noProof/>
                <w:webHidden/>
              </w:rPr>
              <w:instrText xml:space="preserve"> PAGEREF _Toc158989036 \h </w:instrText>
            </w:r>
            <w:r>
              <w:rPr>
                <w:noProof/>
                <w:webHidden/>
              </w:rPr>
            </w:r>
            <w:r>
              <w:rPr>
                <w:noProof/>
                <w:webHidden/>
              </w:rPr>
              <w:fldChar w:fldCharType="separate"/>
            </w:r>
            <w:r>
              <w:rPr>
                <w:noProof/>
                <w:webHidden/>
              </w:rPr>
              <w:t>17</w:t>
            </w:r>
            <w:r>
              <w:rPr>
                <w:noProof/>
                <w:webHidden/>
              </w:rPr>
              <w:fldChar w:fldCharType="end"/>
            </w:r>
          </w:hyperlink>
        </w:p>
        <w:p w14:paraId="48DEB180" w14:textId="49EF570C" w:rsidR="00653E50" w:rsidRDefault="00653E50">
          <w:pPr>
            <w:pStyle w:val="TOC3"/>
            <w:tabs>
              <w:tab w:val="right" w:leader="dot" w:pos="9016"/>
            </w:tabs>
            <w:rPr>
              <w:rFonts w:eastAsiaTheme="minorEastAsia"/>
              <w:noProof/>
              <w:kern w:val="2"/>
              <w:lang w:eastAsia="en-AU"/>
              <w14:ligatures w14:val="standardContextual"/>
            </w:rPr>
          </w:pPr>
          <w:hyperlink w:anchor="_Toc158989037" w:history="1">
            <w:r w:rsidRPr="00EB3D38">
              <w:rPr>
                <w:rStyle w:val="Hyperlink"/>
                <w:rFonts w:ascii="Arial" w:hAnsi="Arial" w:cs="Arial"/>
                <w:noProof/>
              </w:rPr>
              <w:t>Data limitations</w:t>
            </w:r>
            <w:r>
              <w:rPr>
                <w:noProof/>
                <w:webHidden/>
              </w:rPr>
              <w:tab/>
            </w:r>
            <w:r>
              <w:rPr>
                <w:noProof/>
                <w:webHidden/>
              </w:rPr>
              <w:fldChar w:fldCharType="begin"/>
            </w:r>
            <w:r>
              <w:rPr>
                <w:noProof/>
                <w:webHidden/>
              </w:rPr>
              <w:instrText xml:space="preserve"> PAGEREF _Toc158989037 \h </w:instrText>
            </w:r>
            <w:r>
              <w:rPr>
                <w:noProof/>
                <w:webHidden/>
              </w:rPr>
            </w:r>
            <w:r>
              <w:rPr>
                <w:noProof/>
                <w:webHidden/>
              </w:rPr>
              <w:fldChar w:fldCharType="separate"/>
            </w:r>
            <w:r>
              <w:rPr>
                <w:noProof/>
                <w:webHidden/>
              </w:rPr>
              <w:t>17</w:t>
            </w:r>
            <w:r>
              <w:rPr>
                <w:noProof/>
                <w:webHidden/>
              </w:rPr>
              <w:fldChar w:fldCharType="end"/>
            </w:r>
          </w:hyperlink>
        </w:p>
        <w:p w14:paraId="224C47B4" w14:textId="04F29E0A" w:rsidR="00653E50" w:rsidRDefault="00653E50">
          <w:pPr>
            <w:pStyle w:val="TOC1"/>
            <w:tabs>
              <w:tab w:val="right" w:leader="dot" w:pos="9016"/>
            </w:tabs>
            <w:rPr>
              <w:rFonts w:eastAsiaTheme="minorEastAsia"/>
              <w:noProof/>
              <w:kern w:val="2"/>
              <w:lang w:eastAsia="en-AU"/>
              <w14:ligatures w14:val="standardContextual"/>
            </w:rPr>
          </w:pPr>
          <w:hyperlink w:anchor="_Toc158989038" w:history="1">
            <w:r w:rsidRPr="00EB3D38">
              <w:rPr>
                <w:rStyle w:val="Hyperlink"/>
                <w:rFonts w:ascii="Arial" w:hAnsi="Arial" w:cs="Arial"/>
                <w:noProof/>
              </w:rPr>
              <w:t>References (supplementary)</w:t>
            </w:r>
            <w:r>
              <w:rPr>
                <w:noProof/>
                <w:webHidden/>
              </w:rPr>
              <w:tab/>
            </w:r>
            <w:r>
              <w:rPr>
                <w:noProof/>
                <w:webHidden/>
              </w:rPr>
              <w:fldChar w:fldCharType="begin"/>
            </w:r>
            <w:r>
              <w:rPr>
                <w:noProof/>
                <w:webHidden/>
              </w:rPr>
              <w:instrText xml:space="preserve"> PAGEREF _Toc158989038 \h </w:instrText>
            </w:r>
            <w:r>
              <w:rPr>
                <w:noProof/>
                <w:webHidden/>
              </w:rPr>
            </w:r>
            <w:r>
              <w:rPr>
                <w:noProof/>
                <w:webHidden/>
              </w:rPr>
              <w:fldChar w:fldCharType="separate"/>
            </w:r>
            <w:r>
              <w:rPr>
                <w:noProof/>
                <w:webHidden/>
              </w:rPr>
              <w:t>19</w:t>
            </w:r>
            <w:r>
              <w:rPr>
                <w:noProof/>
                <w:webHidden/>
              </w:rPr>
              <w:fldChar w:fldCharType="end"/>
            </w:r>
          </w:hyperlink>
        </w:p>
        <w:p w14:paraId="19D2DD15" w14:textId="636793D0" w:rsidR="00DC2E0F" w:rsidRPr="00653E50" w:rsidRDefault="00DC2E0F">
          <w:pPr>
            <w:rPr>
              <w:rFonts w:ascii="Arial" w:hAnsi="Arial" w:cs="Arial"/>
            </w:rPr>
          </w:pPr>
          <w:r w:rsidRPr="00653E50">
            <w:rPr>
              <w:rFonts w:ascii="Arial" w:hAnsi="Arial" w:cs="Arial"/>
              <w:b/>
              <w:bCs/>
              <w:noProof/>
            </w:rPr>
            <w:fldChar w:fldCharType="end"/>
          </w:r>
        </w:p>
      </w:sdtContent>
    </w:sdt>
    <w:p w14:paraId="3E8F77ED" w14:textId="77777777" w:rsidR="00DC2E0F" w:rsidRPr="00653E50" w:rsidRDefault="00DC2E0F" w:rsidP="00DC2E0F">
      <w:pPr>
        <w:rPr>
          <w:rFonts w:ascii="Arial" w:hAnsi="Arial" w:cs="Arial"/>
        </w:rPr>
      </w:pPr>
    </w:p>
    <w:p w14:paraId="260ACDEA" w14:textId="65DB70FB" w:rsidR="00AE1649" w:rsidRPr="00653E50" w:rsidRDefault="00AE1649">
      <w:pPr>
        <w:rPr>
          <w:rFonts w:ascii="Arial" w:eastAsiaTheme="majorEastAsia" w:hAnsi="Arial" w:cs="Arial"/>
          <w:color w:val="2F5496" w:themeColor="accent1" w:themeShade="BF"/>
          <w:sz w:val="32"/>
          <w:szCs w:val="32"/>
        </w:rPr>
      </w:pPr>
      <w:r w:rsidRPr="00653E50">
        <w:rPr>
          <w:rFonts w:ascii="Arial" w:hAnsi="Arial" w:cs="Arial"/>
        </w:rPr>
        <w:br w:type="page"/>
      </w:r>
    </w:p>
    <w:p w14:paraId="1A00A499" w14:textId="336ADF71" w:rsidR="008E7844" w:rsidRPr="00653E50" w:rsidRDefault="008E7844" w:rsidP="008E7844">
      <w:pPr>
        <w:pStyle w:val="Heading1"/>
        <w:rPr>
          <w:rFonts w:ascii="Arial" w:hAnsi="Arial" w:cs="Arial"/>
        </w:rPr>
      </w:pPr>
      <w:bookmarkStart w:id="0" w:name="_Toc158989029"/>
      <w:r w:rsidRPr="00653E50">
        <w:rPr>
          <w:rFonts w:ascii="Arial" w:hAnsi="Arial" w:cs="Arial"/>
        </w:rPr>
        <w:lastRenderedPageBreak/>
        <w:t xml:space="preserve">Supplementary </w:t>
      </w:r>
      <w:r w:rsidR="00AE1649" w:rsidRPr="00653E50">
        <w:rPr>
          <w:rFonts w:ascii="Arial" w:hAnsi="Arial" w:cs="Arial"/>
        </w:rPr>
        <w:t>1</w:t>
      </w:r>
      <w:r w:rsidRPr="00653E50">
        <w:rPr>
          <w:rFonts w:ascii="Arial" w:hAnsi="Arial" w:cs="Arial"/>
        </w:rPr>
        <w:t xml:space="preserve">: outline of </w:t>
      </w:r>
      <w:r w:rsidR="00AE1649" w:rsidRPr="00653E50">
        <w:rPr>
          <w:rFonts w:ascii="Arial" w:hAnsi="Arial" w:cs="Arial"/>
        </w:rPr>
        <w:t>recent</w:t>
      </w:r>
      <w:r w:rsidRPr="00653E50">
        <w:rPr>
          <w:rFonts w:ascii="Arial" w:hAnsi="Arial" w:cs="Arial"/>
        </w:rPr>
        <w:t xml:space="preserve"> green infrastructure metrics</w:t>
      </w:r>
      <w:bookmarkEnd w:id="0"/>
    </w:p>
    <w:p w14:paraId="25B73B5B" w14:textId="77777777" w:rsidR="008E7844" w:rsidRPr="00653E50" w:rsidRDefault="008E7844" w:rsidP="008E7844">
      <w:pPr>
        <w:rPr>
          <w:rFonts w:ascii="Arial" w:hAnsi="Arial" w:cs="Arial"/>
        </w:rPr>
      </w:pPr>
    </w:p>
    <w:p w14:paraId="016CC743" w14:textId="77777777" w:rsidR="008E7844" w:rsidRPr="00653E50" w:rsidRDefault="008E7844" w:rsidP="008E7844">
      <w:pPr>
        <w:rPr>
          <w:rFonts w:ascii="Arial" w:hAnsi="Arial" w:cs="Arial"/>
        </w:rPr>
      </w:pPr>
      <w:r w:rsidRPr="00653E50">
        <w:rPr>
          <w:rFonts w:ascii="Arial" w:hAnsi="Arial" w:cs="Arial"/>
        </w:rPr>
        <w:t>Barron et al. (</w:t>
      </w:r>
      <w:r w:rsidRPr="00653E50">
        <w:rPr>
          <w:rFonts w:ascii="Arial" w:hAnsi="Arial" w:cs="Arial"/>
        </w:rPr>
        <w:fldChar w:fldCharType="begin" w:fldLock="1"/>
      </w:r>
      <w:r w:rsidRPr="00653E50">
        <w:rPr>
          <w:rFonts w:ascii="Arial" w:hAnsi="Arial" w:cs="Arial"/>
        </w:rPr>
        <w:instrText>ADDIN CSL_CITATION {"citationItems":[{"id":"ITEM-1","itemData":{"DOI":"10.3390/f7090208","ISSN":"19994907","abstract":"This paper describes a research project exploring future urban forests. This study uses a Delphi approach to develop a set of key indicators for healthy, resilient urban forests. Two groups of experts participated in the Delphi survey: International academics and local practitioners. The results of the Delphi indicate that \"urban tree diversity\" and \"physical access to nature\" are indicators of high importance. \"Tree risk\" and \"energy conservation\" were rated as indicators of relatively low importance. Results revealed some differences between academics and practitioners in terms of their rating of the indicators. The research shows that some indicators rated as high importance are not necessarily the ones measured or promoted by many municipal urban forestry programs. In particular, social indicators of human health and well-being were rated highly by participants, but not routinely measured by urban forestry programs.","author":[{"dropping-particle":"","family":"Barron","given":"Sara","non-dropping-particle":"","parse-names":false,"suffix":""},{"dropping-particle":"","family":"Sheppard","given":"Stephen R.J.","non-dropping-particle":"","parse-names":false,"suffix":""},{"dropping-particle":"","family":"Condon","given":"Patrick M.","non-dropping-particle":"","parse-names":false,"suffix":""}],"container-title":"Forests","id":"ITEM-1","issue":"9","issued":{"date-parts":[["2016"]]},"page":"1-17","title":"Urban forest indicators for planning and designing future forests","type":"article-journal","volume":"7"},"uris":["http://www.mendeley.com/documents/?uuid=00a420e6-87ba-41be-9b50-d0be20e18c00"]}],"mendeley":{"formattedCitation":"(Barron et al., 2016)","manualFormatting":"2016)","plainTextFormattedCitation":"(Barron et al., 2016)","previouslyFormattedCitation":"(Barron et al., 2016)"},"properties":{"noteIndex":0},"schema":"https://github.com/citation-style-language/schema/raw/master/csl-citation.json"}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2016)</w:t>
      </w:r>
      <w:r w:rsidRPr="00653E50">
        <w:rPr>
          <w:rFonts w:ascii="Arial" w:hAnsi="Arial" w:cs="Arial"/>
        </w:rPr>
        <w:fldChar w:fldCharType="end"/>
      </w:r>
      <w:r w:rsidRPr="00653E50">
        <w:rPr>
          <w:rFonts w:ascii="Arial" w:hAnsi="Arial" w:cs="Arial"/>
        </w:rPr>
        <w:t xml:space="preserve"> propose a ranked set of 9 broad indicators of urban forest structure and function, based on expert elicitation, for use in scenario analysis. </w:t>
      </w:r>
      <w:proofErr w:type="spellStart"/>
      <w:r w:rsidRPr="00653E50">
        <w:rPr>
          <w:rFonts w:ascii="Arial" w:hAnsi="Arial" w:cs="Arial"/>
        </w:rPr>
        <w:t>GreenR</w:t>
      </w:r>
      <w:proofErr w:type="spellEnd"/>
      <w:r w:rsidRPr="00653E50">
        <w:rPr>
          <w:rFonts w:ascii="Arial" w:hAnsi="Arial" w:cs="Arial"/>
        </w:rPr>
        <w:t xml:space="preserve"> is a package for the R programming language which relies on OpenStreetMap data to generate a relative measure of greenness for street segments, promising a very scalable metric where open data quality is high, though it does not set thresholds of adequacy </w:t>
      </w:r>
      <w:r w:rsidRPr="00653E50">
        <w:rPr>
          <w:rFonts w:ascii="Arial" w:hAnsi="Arial" w:cs="Arial"/>
        </w:rPr>
        <w:fldChar w:fldCharType="begin" w:fldLock="1"/>
      </w:r>
      <w:r w:rsidRPr="00653E50">
        <w:rPr>
          <w:rFonts w:ascii="Arial" w:hAnsi="Arial" w:cs="Arial"/>
        </w:rPr>
        <w:instrText>ADDIN CSL_CITATION {"citationItems":[{"id":"ITEM-1","itemData":{"URL":"https://github.com/sachit27/greenR","accessed":{"date-parts":[["2024","1","24"]]},"author":[{"dropping-particle":"","family":"Majahan","given":"Sachit","non-dropping-particle":"","parse-names":false,"suffix":""}],"container-title":"GitHub","id":"ITEM-1","issued":{"date-parts":[["2023"]]},"title":"greenR: An Open-Source Framework for Quantifying Urban Greenness","type":"webpage"},"uris":["http://www.mendeley.com/documents/?uuid=1e76a13c-d6c4-4457-a083-71d2319b172a"]}],"mendeley":{"formattedCitation":"(Majahan, 2023)","plainTextFormattedCitation":"(Majahan, 2023)","previouslyFormattedCitation":"(Majahan, 2023)"},"properties":{"noteIndex":0},"schema":"https://github.com/citation-style-language/schema/raw/master/csl-citation.json"}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(Majahan, 2023)</w:t>
      </w:r>
      <w:r w:rsidRPr="00653E50">
        <w:rPr>
          <w:rFonts w:ascii="Arial" w:hAnsi="Arial" w:cs="Arial"/>
        </w:rPr>
        <w:fldChar w:fldCharType="end"/>
      </w:r>
      <w:r w:rsidRPr="00653E50">
        <w:rPr>
          <w:rFonts w:ascii="Arial" w:hAnsi="Arial" w:cs="Arial"/>
        </w:rPr>
        <w:t xml:space="preserve">. The Tree Equity Score (produced so far for the US and UK) is a canopy-based metric which borrows elements of the 3-30-300 rule, but focuses strongly on equity, factoring in metrics of risk exposure such as age, </w:t>
      </w:r>
      <w:proofErr w:type="gramStart"/>
      <w:r w:rsidRPr="00653E50">
        <w:rPr>
          <w:rFonts w:ascii="Arial" w:hAnsi="Arial" w:cs="Arial"/>
        </w:rPr>
        <w:t>employment</w:t>
      </w:r>
      <w:proofErr w:type="gramEnd"/>
      <w:r w:rsidRPr="00653E50">
        <w:rPr>
          <w:rFonts w:ascii="Arial" w:hAnsi="Arial" w:cs="Arial"/>
        </w:rPr>
        <w:t xml:space="preserve"> and income. Interestingly this metric includes a step which reduces canopy requirements in higher-density neighbourhoods, targeting as little as 20% canopy in denser neighbourhoods due to perceived limits to </w:t>
      </w:r>
      <w:proofErr w:type="spellStart"/>
      <w:r w:rsidRPr="00653E50">
        <w:rPr>
          <w:rFonts w:ascii="Arial" w:hAnsi="Arial" w:cs="Arial"/>
        </w:rPr>
        <w:t>plantable</w:t>
      </w:r>
      <w:proofErr w:type="spellEnd"/>
      <w:r w:rsidRPr="00653E50">
        <w:rPr>
          <w:rFonts w:ascii="Arial" w:hAnsi="Arial" w:cs="Arial"/>
        </w:rPr>
        <w:t xml:space="preserve"> area </w:t>
      </w:r>
      <w:r w:rsidRPr="00653E50">
        <w:rPr>
          <w:rFonts w:ascii="Arial" w:hAnsi="Arial" w:cs="Arial"/>
        </w:rPr>
        <w:fldChar w:fldCharType="begin" w:fldLock="1"/>
      </w:r>
      <w:r w:rsidRPr="00653E50">
        <w:rPr>
          <w:rFonts w:ascii="Arial" w:hAnsi="Arial" w:cs="Arial"/>
        </w:rPr>
        <w:instrText>ADDIN CSL_CITATION {"citationItems":[{"id":"ITEM-1","itemData":{"URL":"https://uk.treeequityscore.org/","accessed":{"date-parts":[["2024","1","24"]]},"author":[{"dropping-particle":"","family":"American Forests","given":"","non-dropping-particle":"","parse-names":false,"suffix":""}],"id":"ITEM-1","issued":{"date-parts":[["2023"]]},"title":"Tree Equity Score UK","type":"webpage"},"uris":["http://www.mendeley.com/documents/?uuid=c6829162-0798-4a4d-86b0-055c9b67dfc3"]}],"mendeley":{"formattedCitation":"(American Forests, 2023)","plainTextFormattedCitation":"(American Forests, 2023)","previouslyFormattedCitation":"(American Forests, 2023)"},"properties":{"noteIndex":0},"schema":"https://github.com/citation-style-language/schema/raw/master/csl-citation.json"}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(American Forests, 2023)</w:t>
      </w:r>
      <w:r w:rsidRPr="00653E50">
        <w:rPr>
          <w:rFonts w:ascii="Arial" w:hAnsi="Arial" w:cs="Arial"/>
        </w:rPr>
        <w:fldChar w:fldCharType="end"/>
      </w:r>
      <w:r w:rsidRPr="00653E50">
        <w:rPr>
          <w:rFonts w:ascii="Arial" w:hAnsi="Arial" w:cs="Arial"/>
        </w:rPr>
        <w:t>. MIT’s ‘</w:t>
      </w:r>
      <w:proofErr w:type="spellStart"/>
      <w:r w:rsidRPr="00653E50">
        <w:rPr>
          <w:rFonts w:ascii="Arial" w:hAnsi="Arial" w:cs="Arial"/>
        </w:rPr>
        <w:t>Treepedia</w:t>
      </w:r>
      <w:proofErr w:type="spellEnd"/>
      <w:r w:rsidRPr="00653E50">
        <w:rPr>
          <w:rFonts w:ascii="Arial" w:hAnsi="Arial" w:cs="Arial"/>
        </w:rPr>
        <w:t xml:space="preserve">’ processes Streetview data to simply derive a percentage of visible greenery from each photographed location in Streetview for a number of cities globally; while the use green view indices is now more common </w:t>
      </w:r>
      <w:r w:rsidRPr="00653E50">
        <w:rPr>
          <w:rFonts w:ascii="Arial" w:hAnsi="Arial" w:cs="Arial"/>
        </w:rPr>
        <w:fldChar w:fldCharType="begin" w:fldLock="1"/>
      </w:r>
      <w:r w:rsidRPr="00653E50">
        <w:rPr>
          <w:rFonts w:ascii="Arial" w:hAnsi="Arial" w:cs="Arial"/>
        </w:rPr>
        <w:instrText>ADDIN CSL_CITATION {"citationItems":[{"id":"ITEM-1","itemData":{"DOI":"10.1016/j.scitotenv.2020.143050","ISSN":"18791026","PMID":"33129523","abstract":"The visibility of natural greenness is associated with several health benefits along multiple pathways, including stress recovery and attention restoration mechanisms. However, existing methodologies are inadequate for capturing eye-level greenness visibility exposure at high spatial resolutions for observers located on the ground. As a response, we developed an innovative methodological approach to model and map eye-level greenness visibility exposure for 5 m interval locations within a large study area. We used multi-source spatial data and applied viewshed analysis in conjunction with a distance decay model to compute a novel Viewshed Greenness Visibility Index (VGVI) at more than 86 million observer locations. We compared our eye-level visibility exposure map with traditional top-down greenness exposure metrics such as Normalised Differential Vegetation Index (NDVI) and a Street view based Green View Index (SGVI). Furthermore, we compared greenness visibility at street-only locations with total neighbourhood greenness visibility. We found strong to moderate correlations (r = 0.65–0.42, p &lt; 0.05) between greenness visibility and mean NDVI, with a decreasing trend in correlation strength at increasing buffer distances from observer locations. Our findings suggest that top-down and eye-level measurements of greenness are two distinct metrics for assessing greenness exposure. Additionally, VGVI showed a strong correlation (r = 0.481, p &lt; 0.01) with SGVI. Although the new VGVI has good agreement with existing street view based measures, we found that street-only greenness visibility values are not wholly representative of total neighbourhood visibility due to the under-representation of visible greenness in locations such as backyards and community parks. Our new methodology overcomes such underestimations, is easily transferable, and offers a computationally efficient approach to assessing eye-level greenness exposure.","author":[{"dropping-particle":"","family":"Labib","given":"S. M.","non-dropping-particle":"","parse-names":false,"suffix":""},{"dropping-particle":"","family":"Huck","given":"Jonny J.","non-dropping-particle":"","parse-names":false,"suffix":""},{"dropping-particle":"","family":"Lindley","given":"Sarah","non-dropping-particle":"","parse-names":false,"suffix":""}],"container-title":"Science of the Total Environment","id":"ITEM-1","issued":{"date-parts":[["2021"]]},"page":"143050","publisher":"The Authors","title":"Modelling and mapping eye-level greenness visibility exposure using multi-source data at high spatial resolutions","type":"article-journal","volume":"755"},"uris":["http://www.mendeley.com/documents/?uuid=666fe257-c553-48a6-bbf2-a88a163946c2"]},{"id":"ITEM-2","itemData":{"author":[{"dropping-particle":"","family":"Abril","given":"Ilse","non-dropping-particle":"","parse-names":false,"suffix":""},{"dropping-particle":"","family":"Sánchez","given":"Vázquez","non-dropping-particle":"","parse-names":false,"suffix":""}],"id":"ITEM-2","issued":{"date-parts":[["2023"]]},"page":"1-34","title":"Accessing Eye-level Greenness Visibility from Open- Source Street View Images : A methodological development and implementation in multi-city and multi-country contexts","type":"article-journal"},"uris":["http://www.mendeley.com/documents/?uuid=f621b264-2018-4ab2-874d-2d51d29a8ddb"]}],"mendeley":{"formattedCitation":"(Abril &amp; Sánchez, 2023; Labib et al., 2021)","manualFormatting":"(e.g. Abril &amp; Sánchez, 2023; Labib et al., 2021)","plainTextFormattedCitation":"(Abril &amp; Sánchez, 2023; Labib et al., 2021)","previouslyFormattedCitation":"(Abril &amp; Sánchez, 2023; Labib et al., 2021)"},"properties":{"noteIndex":0},"schema":"https://github.com/citation-style-language/schema/raw/master/csl-citation.json"}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(e.g. Abril &amp; Sánchez, 2023; Labib et al., 2021)</w:t>
      </w:r>
      <w:r w:rsidRPr="00653E50">
        <w:rPr>
          <w:rFonts w:ascii="Arial" w:hAnsi="Arial" w:cs="Arial"/>
        </w:rPr>
        <w:fldChar w:fldCharType="end"/>
      </w:r>
      <w:r w:rsidRPr="00653E50">
        <w:rPr>
          <w:rFonts w:ascii="Arial" w:hAnsi="Arial" w:cs="Arial"/>
        </w:rPr>
        <w:t xml:space="preserve">, the release of the metric drew strong media attention, partly due to its intuitive presentation and easy comparison between world cities </w:t>
      </w:r>
      <w:r w:rsidRPr="00653E50">
        <w:rPr>
          <w:rFonts w:ascii="Arial" w:hAnsi="Arial" w:cs="Arial"/>
        </w:rPr>
        <w:fldChar w:fldCharType="begin" w:fldLock="1"/>
      </w:r>
      <w:r w:rsidRPr="00653E50">
        <w:rPr>
          <w:rFonts w:ascii="Arial" w:hAnsi="Arial" w:cs="Arial"/>
        </w:rPr>
        <w:instrText>ADDIN CSL_CITATION {"citationItems":[{"id":"ITEM-1","itemData":{"URL":"https://www.theguardian.com/cities/2019/nov/05/green-streets-which-city-has-the-most-trees","accessed":{"date-parts":[["2024","1","24"]]},"author":[{"dropping-particle":"","family":"Balch","given":"Oliver","non-dropping-particle":"","parse-names":false,"suffix":""}],"container-title":"The Guardian","id":"ITEM-1","issued":{"date-parts":[["2019"]]},"title":"Green streets: which city has the most trees?","type":"webpage"},"uris":["http://www.mendeley.com/documents/?uuid=9bce914c-c0f4-3e3a-8246-41f11132d430"]}],"mendeley":{"formattedCitation":"(Balch, 2019)","plainTextFormattedCitation":"(Balch, 2019)","previouslyFormattedCitation":"(Balch, 2019)"},"properties":{"noteIndex":0},"schema":"https://github.com/citation-style-language/schema/raw/master/csl-citation.json"}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(Balch, 2019)</w:t>
      </w:r>
      <w:r w:rsidRPr="00653E50">
        <w:rPr>
          <w:rFonts w:ascii="Arial" w:hAnsi="Arial" w:cs="Arial"/>
        </w:rPr>
        <w:fldChar w:fldCharType="end"/>
      </w:r>
      <w:r w:rsidRPr="00653E50">
        <w:rPr>
          <w:rFonts w:ascii="Arial" w:hAnsi="Arial" w:cs="Arial"/>
        </w:rPr>
        <w:t xml:space="preserve">. The index does not consider park access, only visible canopy </w:t>
      </w:r>
      <w:r w:rsidRPr="00653E50">
        <w:rPr>
          <w:rFonts w:ascii="Arial" w:hAnsi="Arial" w:cs="Arial"/>
        </w:rPr>
        <w:fldChar w:fldCharType="begin" w:fldLock="1"/>
      </w:r>
      <w:r w:rsidRPr="00653E50">
        <w:rPr>
          <w:rFonts w:ascii="Arial" w:hAnsi="Arial" w:cs="Arial"/>
        </w:rPr>
        <w:instrText>ADDIN CSL_CITATION {"citationItems":[{"id":"ITEM-1","itemData":{"DOI":"10.1016/j.ufug.2015.06.006","ISSN":"16108167","abstract":"We explored Google Street View (GSV) as a street-level, urban greenery assessment tool. Street-level greenery has long played a critical role in the visual quality of urban landscapes. This living landscape element can and should be assessed for the quality of visual impact with the GSV information, and the assessed street-level greenery information could be incorporated into urban landscape planning and management. Information on street-level views of urban greenery assessment, however, is rare or nonexistent. Planners and managers' ability to plan and manage urban landscapes effectively and efficiently is, therefore, limited. GSV is one tool that might provide street-level, profile views of urban landscape and greenery, yet no research on GSV for urban planning seems available in literature. We modified an existing Green View Index (GVI) formula and conducted a case study assessment of street greenery using GSV images in the area of East Village, Manhattan District, New York City. We found that GSV to be well suited for assessing street-level greenery. We suggest further that the modified GVI may be a relatively objective measurement of street-level greenery, and that GSV in combination with GVI may be well suited in guiding urban landscape planning and management.","author":[{"dropping-particle":"","family":"Li","given":"Xiaojiang","non-dropping-particle":"","parse-names":false,"suffix":""},{"dropping-particle":"","family":"Zhang","given":"Chuanrong","non-dropping-particle":"","parse-names":false,"suffix":""},{"dropping-particle":"","family":"Li","given":"Weidong","non-dropping-particle":"","parse-names":false,"suffix":""},{"dropping-particle":"","family":"Ricard","given":"Robert","non-dropping-particle":"","parse-names":false,"suffix":""},{"dropping-particle":"","family":"Meng","given":"Qingyan","non-dropping-particle":"","parse-names":false,"suffix":""},{"dropping-particle":"","family":"Zhang","given":"Weixing","non-dropping-particle":"","parse-names":false,"suffix":""}],"container-title":"Urban Forestry and Urban Greening","id":"ITEM-1","issue":"3","issued":{"date-parts":[["2015"]]},"page":"675-685","publisher":"Elsevier GmbH.","title":"Assessing street-level urban greenery using Google Street View and a modified green view index","type":"article-journal","volume":"14"},"uris":["http://www.mendeley.com/documents/?uuid=60f88d85-2d1d-4d4a-8a34-62f26963175d"]}],"mendeley":{"formattedCitation":"(Li et al., 2015)","plainTextFormattedCitation":"(Li et al., 2015)","previouslyFormattedCitation":"(Li et al., 2015)"},"properties":{"noteIndex":0},"schema":"https://github.com/citation-style-language/schema/raw/master/csl-citation.json"}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(Li et al., 2015)</w:t>
      </w:r>
      <w:r w:rsidRPr="00653E50">
        <w:rPr>
          <w:rFonts w:ascii="Arial" w:hAnsi="Arial" w:cs="Arial"/>
        </w:rPr>
        <w:fldChar w:fldCharType="end"/>
      </w:r>
      <w:r w:rsidRPr="00653E50">
        <w:rPr>
          <w:rFonts w:ascii="Arial" w:hAnsi="Arial" w:cs="Arial"/>
        </w:rPr>
        <w:t xml:space="preserve">. Finally, the Singapore Index on Cities’ Biodiversity is a set of 28 diverse metrics ranging from canopy cover to invasive species to institutional capacity, budgets and public education </w:t>
      </w:r>
      <w:r w:rsidRPr="00653E50">
        <w:rPr>
          <w:rFonts w:ascii="Arial" w:hAnsi="Arial" w:cs="Arial"/>
        </w:rPr>
        <w:fldChar w:fldCharType="begin" w:fldLock="1"/>
      </w:r>
      <w:r w:rsidRPr="00653E50">
        <w:rPr>
          <w:rFonts w:ascii="Arial" w:hAnsi="Arial" w:cs="Arial"/>
        </w:rPr>
        <w:instrText>ADDIN CSL_CITATION {"citationItems":[{"id":"ITEM-1","itemData":{"author":[{"dropping-particle":"","family":"Secretariat of the Convention on Biological Diversity","given":"","non-dropping-particle":"","parse-names":false,"suffix":""}],"id":"ITEM-1","issued":{"date-parts":[["2021"]]},"publisher-place":"Montreal","title":"Handbook on the Singapore Index of Cites' Biodiversity","type":"report"},"uris":["http://www.mendeley.com/documents/?uuid=b42c4824-e88d-4e68-80d9-5191437b8307"]}],"mendeley":{"formattedCitation":"(Secretariat of the Convention on Biological Diversity, 2021)","plainTextFormattedCitation":"(Secretariat of the Convention on Biological Diversity, 2021)","previouslyFormattedCitation":"(Secretariat of the Convention on Biological Diversity, 2021)"},"properties":{"noteIndex":0},"schema":"https://github.com/citation-style-language/schema/raw/master/csl-citation.json"}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(Secretariat of the Convention on Biological Diversity, 2021)</w:t>
      </w:r>
      <w:r w:rsidRPr="00653E50">
        <w:rPr>
          <w:rFonts w:ascii="Arial" w:hAnsi="Arial" w:cs="Arial"/>
        </w:rPr>
        <w:fldChar w:fldCharType="end"/>
      </w:r>
      <w:r w:rsidRPr="00653E50">
        <w:rPr>
          <w:rFonts w:ascii="Arial" w:hAnsi="Arial" w:cs="Arial"/>
        </w:rPr>
        <w:t>.</w:t>
      </w:r>
    </w:p>
    <w:p w14:paraId="7752CE0C" w14:textId="59CDDFA5" w:rsidR="00DC2E0F" w:rsidRPr="00653E50" w:rsidRDefault="00DC2E0F" w:rsidP="00DC2E0F">
      <w:pPr>
        <w:pStyle w:val="Heading1"/>
        <w:rPr>
          <w:rFonts w:ascii="Arial" w:hAnsi="Arial" w:cs="Arial"/>
        </w:rPr>
      </w:pPr>
      <w:bookmarkStart w:id="1" w:name="_Toc158989030"/>
      <w:r w:rsidRPr="00653E50">
        <w:rPr>
          <w:rFonts w:ascii="Arial" w:hAnsi="Arial" w:cs="Arial"/>
        </w:rPr>
        <w:t xml:space="preserve">Supplementary 2: mapping a graded 3-30-300 </w:t>
      </w:r>
      <w:proofErr w:type="gramStart"/>
      <w:r w:rsidRPr="00653E50">
        <w:rPr>
          <w:rFonts w:ascii="Arial" w:hAnsi="Arial" w:cs="Arial"/>
        </w:rPr>
        <w:t>metric</w:t>
      </w:r>
      <w:bookmarkEnd w:id="1"/>
      <w:proofErr w:type="gramEnd"/>
    </w:p>
    <w:p w14:paraId="3EB78916" w14:textId="77777777" w:rsidR="00DC2E0F" w:rsidRPr="00653E50" w:rsidRDefault="00DC2E0F" w:rsidP="00DC2E0F">
      <w:pPr>
        <w:rPr>
          <w:rFonts w:ascii="Arial" w:hAnsi="Arial" w:cs="Arial"/>
        </w:rPr>
      </w:pPr>
    </w:p>
    <w:p w14:paraId="2212EC08" w14:textId="77777777" w:rsidR="00DC2E0F" w:rsidRPr="00653E50" w:rsidRDefault="00DC2E0F" w:rsidP="00DC2E0F">
      <w:pPr>
        <w:pStyle w:val="Heading4"/>
        <w:rPr>
          <w:rFonts w:ascii="Arial" w:hAnsi="Arial" w:cs="Arial"/>
        </w:rPr>
      </w:pPr>
      <w:r w:rsidRPr="00653E50">
        <w:rPr>
          <w:rFonts w:ascii="Arial" w:hAnsi="Arial" w:cs="Arial"/>
        </w:rPr>
        <w:t xml:space="preserve">Methods </w:t>
      </w:r>
    </w:p>
    <w:p w14:paraId="3E4AC3B9" w14:textId="77777777" w:rsidR="00DC2E0F" w:rsidRPr="00653E50" w:rsidRDefault="00DC2E0F" w:rsidP="00DC2E0F">
      <w:pPr>
        <w:rPr>
          <w:rFonts w:ascii="Arial" w:hAnsi="Arial" w:cs="Arial"/>
        </w:rPr>
      </w:pPr>
    </w:p>
    <w:p w14:paraId="505FCD5D" w14:textId="232785F5" w:rsidR="00DC2E0F" w:rsidRPr="00653E50" w:rsidRDefault="00DC2E0F" w:rsidP="00DC2E0F">
      <w:pPr>
        <w:rPr>
          <w:rFonts w:ascii="Arial" w:hAnsi="Arial" w:cs="Arial"/>
        </w:rPr>
      </w:pPr>
      <w:r w:rsidRPr="00653E50">
        <w:rPr>
          <w:rFonts w:ascii="Arial" w:hAnsi="Arial" w:cs="Arial"/>
        </w:rPr>
        <w:t xml:space="preserve">Simply assessing whether buildings meet each of the 3-30-300 tests yields a simple ‘yes/no’ binary of achievement for each answer – effectively a score out of three points. This can be mapped to give a basic view of which locations fail to meet the standard. However, it offers little insight into how close each non-achieving building might be to meeting each of the three benchmarks. Accordingly, partial achievement in each of the three tests was graded to derive a score out of ten, as follows: </w:t>
      </w:r>
    </w:p>
    <w:p w14:paraId="06563D02" w14:textId="77777777" w:rsidR="00DC2E0F" w:rsidRPr="00653E50" w:rsidRDefault="00DC2E0F" w:rsidP="00DC2E0F">
      <w:pPr>
        <w:pStyle w:val="ListParagraph"/>
        <w:numPr>
          <w:ilvl w:val="0"/>
          <w:numId w:val="1"/>
        </w:numPr>
        <w:rPr>
          <w:rFonts w:ascii="Arial" w:hAnsi="Arial" w:cs="Arial"/>
        </w:rPr>
      </w:pPr>
      <w:r w:rsidRPr="00653E50">
        <w:rPr>
          <w:rFonts w:ascii="Arial" w:hAnsi="Arial" w:cs="Arial"/>
        </w:rPr>
        <w:t xml:space="preserve">For the ‘3’ test, buildings scored 1 point for having one tree visible, 2 points for two trees visible, and 3 points for having three or more trees visible. </w:t>
      </w:r>
    </w:p>
    <w:p w14:paraId="356F2F7F" w14:textId="77777777" w:rsidR="00DC2E0F" w:rsidRPr="00653E50" w:rsidRDefault="00DC2E0F" w:rsidP="00DC2E0F">
      <w:pPr>
        <w:pStyle w:val="ListParagraph"/>
        <w:numPr>
          <w:ilvl w:val="0"/>
          <w:numId w:val="1"/>
        </w:numPr>
        <w:rPr>
          <w:rFonts w:ascii="Arial" w:hAnsi="Arial" w:cs="Arial"/>
        </w:rPr>
      </w:pPr>
      <w:r w:rsidRPr="00653E50">
        <w:rPr>
          <w:rFonts w:ascii="Arial" w:hAnsi="Arial" w:cs="Arial"/>
        </w:rPr>
        <w:t xml:space="preserve">For the ‘30’ test, buildings scored 1 point for having canopy over 10%, 2 points for canopy over 20%, 3 points for canopy over 25% and 4 points for canopy over 30%. </w:t>
      </w:r>
    </w:p>
    <w:p w14:paraId="057DF6B4" w14:textId="77777777" w:rsidR="00DC2E0F" w:rsidRPr="00653E50" w:rsidRDefault="00DC2E0F" w:rsidP="00DC2E0F">
      <w:pPr>
        <w:pStyle w:val="ListParagraph"/>
        <w:numPr>
          <w:ilvl w:val="0"/>
          <w:numId w:val="1"/>
        </w:numPr>
        <w:rPr>
          <w:rFonts w:ascii="Arial" w:hAnsi="Arial" w:cs="Arial"/>
        </w:rPr>
      </w:pPr>
      <w:r w:rsidRPr="00653E50">
        <w:rPr>
          <w:rFonts w:ascii="Arial" w:hAnsi="Arial" w:cs="Arial"/>
        </w:rPr>
        <w:t xml:space="preserve">For the ‘300’ test, buildings scored 1 point for being within 500m walk of a park, 2 points for being within 400m, and 3 points for being within 300m. </w:t>
      </w:r>
    </w:p>
    <w:p w14:paraId="4C6E0984" w14:textId="77777777" w:rsidR="00DC2E0F" w:rsidRPr="00653E50" w:rsidRDefault="00DC2E0F" w:rsidP="00DC2E0F">
      <w:pPr>
        <w:rPr>
          <w:rFonts w:ascii="Arial" w:hAnsi="Arial" w:cs="Arial"/>
        </w:rPr>
      </w:pPr>
      <w:r w:rsidRPr="00653E50">
        <w:rPr>
          <w:rFonts w:ascii="Arial" w:hAnsi="Arial" w:cs="Arial"/>
        </w:rPr>
        <w:t xml:space="preserve">This difference was visualised for Denver and compared to a simple scoring out of three to demonstrate the finer insights that a graded scoring can offer. </w:t>
      </w:r>
    </w:p>
    <w:p w14:paraId="46EF8925" w14:textId="77777777" w:rsidR="00DC2E0F" w:rsidRPr="00653E50" w:rsidRDefault="00DC2E0F" w:rsidP="00DC2E0F">
      <w:pPr>
        <w:pStyle w:val="Heading4"/>
        <w:rPr>
          <w:rFonts w:ascii="Arial" w:hAnsi="Arial" w:cs="Arial"/>
        </w:rPr>
      </w:pPr>
      <w:r w:rsidRPr="00653E50">
        <w:rPr>
          <w:rFonts w:ascii="Arial" w:hAnsi="Arial" w:cs="Arial"/>
        </w:rPr>
        <w:t>Results</w:t>
      </w:r>
    </w:p>
    <w:p w14:paraId="0979DD32" w14:textId="77777777" w:rsidR="00DC2E0F" w:rsidRPr="00653E50" w:rsidRDefault="00DC2E0F" w:rsidP="00DC2E0F">
      <w:pPr>
        <w:rPr>
          <w:rFonts w:ascii="Arial" w:hAnsi="Arial" w:cs="Arial"/>
        </w:rPr>
      </w:pPr>
    </w:p>
    <w:p w14:paraId="6E6D3E49" w14:textId="08545A88" w:rsidR="00DC2E0F" w:rsidRPr="00653E50" w:rsidRDefault="00DC2E0F" w:rsidP="00DC2E0F">
      <w:pPr>
        <w:rPr>
          <w:rFonts w:ascii="Arial" w:hAnsi="Arial" w:cs="Arial"/>
        </w:rPr>
      </w:pPr>
      <w:r w:rsidRPr="00653E50">
        <w:rPr>
          <w:rFonts w:ascii="Arial" w:hAnsi="Arial" w:cs="Arial"/>
        </w:rPr>
        <w:t xml:space="preserve">Mapping overall achievement rates in a city paints a clear picture of the spatial heterogeneity of green infrastructure provision in urban areas. Figure </w:t>
      </w:r>
      <w:r w:rsidR="00653E50" w:rsidRPr="00653E50">
        <w:rPr>
          <w:rFonts w:ascii="Arial" w:hAnsi="Arial" w:cs="Arial"/>
        </w:rPr>
        <w:t>1a</w:t>
      </w:r>
      <w:r w:rsidRPr="00653E50">
        <w:rPr>
          <w:rFonts w:ascii="Arial" w:hAnsi="Arial" w:cs="Arial"/>
        </w:rPr>
        <w:t xml:space="preserve"> examines downtown </w:t>
      </w:r>
      <w:proofErr w:type="gramStart"/>
      <w:r w:rsidRPr="00653E50">
        <w:rPr>
          <w:rFonts w:ascii="Arial" w:hAnsi="Arial" w:cs="Arial"/>
        </w:rPr>
        <w:t>Denver, and</w:t>
      </w:r>
      <w:proofErr w:type="gramEnd"/>
      <w:r w:rsidRPr="00653E50">
        <w:rPr>
          <w:rFonts w:ascii="Arial" w:hAnsi="Arial" w:cs="Arial"/>
        </w:rPr>
        <w:t xml:space="preserve"> has been colourised to highlight total failures to meet the rule. The central city is strikingly </w:t>
      </w:r>
      <w:r w:rsidRPr="00653E50">
        <w:rPr>
          <w:rFonts w:ascii="Arial" w:hAnsi="Arial" w:cs="Arial"/>
        </w:rPr>
        <w:lastRenderedPageBreak/>
        <w:t xml:space="preserve">bright (indicating low achievement of the 3-30-300 rule) compared to its adjacent suburbs. However, the histogram shows such a predominance of buildings scoring ‘0’ or ‘1’ that a user of this map may struggle to decide where action should be prioritised. </w:t>
      </w:r>
    </w:p>
    <w:p w14:paraId="6FFB5B4C" w14:textId="2721CE14" w:rsidR="00DC2E0F" w:rsidRPr="00653E50" w:rsidRDefault="00DC2E0F" w:rsidP="00DC2E0F">
      <w:pPr>
        <w:rPr>
          <w:rFonts w:ascii="Arial" w:hAnsi="Arial" w:cs="Arial"/>
        </w:rPr>
      </w:pPr>
      <w:r w:rsidRPr="00653E50">
        <w:rPr>
          <w:rFonts w:ascii="Arial" w:hAnsi="Arial" w:cs="Arial"/>
        </w:rPr>
        <w:t xml:space="preserve">Figure </w:t>
      </w:r>
      <w:r w:rsidR="00653E50" w:rsidRPr="00653E50">
        <w:rPr>
          <w:rFonts w:ascii="Arial" w:hAnsi="Arial" w:cs="Arial"/>
        </w:rPr>
        <w:t>1a</w:t>
      </w:r>
      <w:r w:rsidRPr="00653E50">
        <w:rPr>
          <w:rFonts w:ascii="Arial" w:hAnsi="Arial" w:cs="Arial"/>
        </w:rPr>
        <w:t xml:space="preserve"> – Denver – simple scorings indicating achievement of each 3-30-300 standard. </w:t>
      </w:r>
    </w:p>
    <w:p w14:paraId="18EA584A" w14:textId="77777777" w:rsidR="00DC2E0F" w:rsidRPr="00653E50" w:rsidRDefault="00DC2E0F" w:rsidP="00DC2E0F">
      <w:pPr>
        <w:rPr>
          <w:rFonts w:ascii="Arial" w:hAnsi="Arial" w:cs="Arial"/>
        </w:rPr>
      </w:pPr>
      <w:r w:rsidRPr="00653E50">
        <w:rPr>
          <w:rFonts w:ascii="Arial" w:hAnsi="Arial" w:cs="Arial"/>
          <w:noProof/>
        </w:rPr>
        <w:drawing>
          <wp:inline distT="0" distB="0" distL="0" distR="0" wp14:anchorId="3CA37BC6" wp14:editId="66D03A16">
            <wp:extent cx="5731510" cy="3364230"/>
            <wp:effectExtent l="0" t="0" r="2540" b="7620"/>
            <wp:docPr id="4" name="Picture 4"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map of a city&#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364230"/>
                    </a:xfrm>
                    <a:prstGeom prst="rect">
                      <a:avLst/>
                    </a:prstGeom>
                  </pic:spPr>
                </pic:pic>
              </a:graphicData>
            </a:graphic>
          </wp:inline>
        </w:drawing>
      </w:r>
    </w:p>
    <w:p w14:paraId="7149D517" w14:textId="77777777" w:rsidR="00DC2E0F" w:rsidRPr="00653E50" w:rsidRDefault="00DC2E0F" w:rsidP="00DC2E0F">
      <w:pPr>
        <w:rPr>
          <w:rFonts w:ascii="Arial" w:hAnsi="Arial" w:cs="Arial"/>
        </w:rPr>
      </w:pPr>
      <w:r w:rsidRPr="00653E50">
        <w:rPr>
          <w:rFonts w:ascii="Arial" w:hAnsi="Arial" w:cs="Arial"/>
          <w:noProof/>
        </w:rPr>
        <w:drawing>
          <wp:inline distT="0" distB="0" distL="0" distR="0" wp14:anchorId="5D51520E" wp14:editId="13C5CACA">
            <wp:extent cx="5731510" cy="1816100"/>
            <wp:effectExtent l="0" t="0" r="2540" b="12700"/>
            <wp:docPr id="11" name="Chart 11">
              <a:extLst xmlns:a="http://schemas.openxmlformats.org/drawingml/2006/main">
                <a:ext uri="{FF2B5EF4-FFF2-40B4-BE49-F238E27FC236}">
                  <a16:creationId xmlns:a16="http://schemas.microsoft.com/office/drawing/2014/main" id="{8BCD98AA-E764-D43D-A8BF-901074E5F1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BEE185F" w14:textId="77777777" w:rsidR="00653E50" w:rsidRPr="00653E50" w:rsidRDefault="00DC2E0F" w:rsidP="00DC2E0F">
      <w:pPr>
        <w:rPr>
          <w:rFonts w:ascii="Arial" w:hAnsi="Arial" w:cs="Arial"/>
        </w:rPr>
      </w:pPr>
      <w:r w:rsidRPr="00653E50">
        <w:rPr>
          <w:rFonts w:ascii="Arial" w:hAnsi="Arial" w:cs="Arial"/>
        </w:rPr>
        <w:t xml:space="preserve">As one aim of this study was to understand not only the ‘pass/fail’ result for each building but also how far buildings have fallen short, we modified our scorings to make partial achievement visible in spatial visualisations. Figure 4b is the result; it seeks to offer a better degree of differentiation between near-success, </w:t>
      </w:r>
      <w:proofErr w:type="gramStart"/>
      <w:r w:rsidRPr="00653E50">
        <w:rPr>
          <w:rFonts w:ascii="Arial" w:hAnsi="Arial" w:cs="Arial"/>
        </w:rPr>
        <w:t>mediocrity</w:t>
      </w:r>
      <w:proofErr w:type="gramEnd"/>
      <w:r w:rsidRPr="00653E50">
        <w:rPr>
          <w:rFonts w:ascii="Arial" w:hAnsi="Arial" w:cs="Arial"/>
        </w:rPr>
        <w:t xml:space="preserve"> and abject failure. By assigning each building a score out of ten, where 10/10 represents full achievement of the 3-30-300 rule, we see that the downtown area of Denver still is severely lacking green infrastructure, but also that there is some variability in access. Truly low scores stand out more clearly, and much more of the difference between the suburbs in the east and the west is apparent. The histogram of scores in figure 4b also offers a much clearer sense that halfway achievements of the standard (scores between 4-6) are common, and outright failures are rarer. This contrasts with the picture painted in figure 4a of a city with buildings mainly scoring 0 and 1. </w:t>
      </w:r>
    </w:p>
    <w:p w14:paraId="1829A6A4" w14:textId="263443D3" w:rsidR="00653E50" w:rsidRPr="00653E50" w:rsidRDefault="00653E50" w:rsidP="00653E50">
      <w:pPr>
        <w:rPr>
          <w:rFonts w:ascii="Arial" w:hAnsi="Arial" w:cs="Arial"/>
        </w:rPr>
      </w:pPr>
      <w:r w:rsidRPr="00653E50">
        <w:rPr>
          <w:rFonts w:ascii="Arial" w:hAnsi="Arial" w:cs="Arial"/>
        </w:rPr>
        <w:t xml:space="preserve">Figure </w:t>
      </w:r>
      <w:r w:rsidRPr="00653E50">
        <w:rPr>
          <w:rFonts w:ascii="Arial" w:hAnsi="Arial" w:cs="Arial"/>
        </w:rPr>
        <w:t>1</w:t>
      </w:r>
      <w:r w:rsidRPr="00653E50">
        <w:rPr>
          <w:rFonts w:ascii="Arial" w:hAnsi="Arial" w:cs="Arial"/>
        </w:rPr>
        <w:t xml:space="preserve">b - </w:t>
      </w:r>
      <w:proofErr w:type="gramStart"/>
      <w:r w:rsidRPr="00653E50">
        <w:rPr>
          <w:rFonts w:ascii="Arial" w:hAnsi="Arial" w:cs="Arial"/>
        </w:rPr>
        <w:t>graded</w:t>
      </w:r>
      <w:proofErr w:type="gramEnd"/>
    </w:p>
    <w:p w14:paraId="10EAA8EA" w14:textId="77777777" w:rsidR="00653E50" w:rsidRPr="00653E50" w:rsidRDefault="00653E50" w:rsidP="00653E50">
      <w:pPr>
        <w:rPr>
          <w:rFonts w:ascii="Arial" w:hAnsi="Arial" w:cs="Arial"/>
        </w:rPr>
      </w:pPr>
      <w:r w:rsidRPr="00653E50">
        <w:rPr>
          <w:rFonts w:ascii="Arial" w:hAnsi="Arial" w:cs="Arial"/>
          <w:noProof/>
        </w:rPr>
        <w:lastRenderedPageBreak/>
        <w:drawing>
          <wp:inline distT="0" distB="0" distL="0" distR="0" wp14:anchorId="1CB40A62" wp14:editId="41FF0A06">
            <wp:extent cx="5731510" cy="3371850"/>
            <wp:effectExtent l="0" t="0" r="2540" b="0"/>
            <wp:docPr id="5" name="Picture 5"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map of a city&#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371850"/>
                    </a:xfrm>
                    <a:prstGeom prst="rect">
                      <a:avLst/>
                    </a:prstGeom>
                  </pic:spPr>
                </pic:pic>
              </a:graphicData>
            </a:graphic>
          </wp:inline>
        </w:drawing>
      </w:r>
    </w:p>
    <w:p w14:paraId="155EC97D" w14:textId="77777777" w:rsidR="00653E50" w:rsidRPr="00653E50" w:rsidRDefault="00653E50" w:rsidP="00653E50">
      <w:pPr>
        <w:rPr>
          <w:rFonts w:ascii="Arial" w:hAnsi="Arial" w:cs="Arial"/>
        </w:rPr>
      </w:pPr>
      <w:r w:rsidRPr="00653E50">
        <w:rPr>
          <w:rFonts w:ascii="Arial" w:hAnsi="Arial" w:cs="Arial"/>
          <w:noProof/>
        </w:rPr>
        <w:drawing>
          <wp:inline distT="0" distB="0" distL="0" distR="0" wp14:anchorId="70305966" wp14:editId="09E29A5D">
            <wp:extent cx="5731510" cy="1836420"/>
            <wp:effectExtent l="0" t="0" r="2540" b="11430"/>
            <wp:docPr id="10" name="Chart 10">
              <a:extLst xmlns:a="http://schemas.openxmlformats.org/drawingml/2006/main">
                <a:ext uri="{FF2B5EF4-FFF2-40B4-BE49-F238E27FC236}">
                  <a16:creationId xmlns:a16="http://schemas.microsoft.com/office/drawing/2014/main" id="{FFA52BF0-F098-3627-CC95-9E2A8A4604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06487E4" w14:textId="02E92326" w:rsidR="00653E50" w:rsidRPr="00653E50" w:rsidRDefault="00653E50" w:rsidP="00653E50">
      <w:pPr>
        <w:rPr>
          <w:rFonts w:ascii="Arial" w:hAnsi="Arial" w:cs="Arial"/>
        </w:rPr>
      </w:pPr>
      <w:r w:rsidRPr="00653E50">
        <w:rPr>
          <w:rFonts w:ascii="Arial" w:hAnsi="Arial" w:cs="Arial"/>
        </w:rPr>
        <w:t xml:space="preserve">Exploring a map using the graded scoring demonstrated in Figure 4b allows a better understanding of what these mid-range results look like. Figure </w:t>
      </w:r>
      <w:r w:rsidRPr="00653E50">
        <w:rPr>
          <w:rFonts w:ascii="Arial" w:hAnsi="Arial" w:cs="Arial"/>
        </w:rPr>
        <w:t>3</w:t>
      </w:r>
      <w:r w:rsidRPr="00653E50">
        <w:rPr>
          <w:rFonts w:ascii="Arial" w:hAnsi="Arial" w:cs="Arial"/>
        </w:rPr>
        <w:t xml:space="preserve"> offers examples of streetscapes in Denver, contrasting a street scoring mostly a 5 with streets scoring 0 and 10. While the 0 result is predictably stark, it is striking that the 5 result – which represents multiple failures to meet a minimum standard – is not as clearly inadequate, with numerous smaller trees visible, and a park four blocks (~500m) north. </w:t>
      </w:r>
    </w:p>
    <w:p w14:paraId="5BBE1A9B" w14:textId="77777777" w:rsidR="00653E50" w:rsidRPr="00653E50" w:rsidRDefault="00653E50" w:rsidP="00653E50">
      <w:pPr>
        <w:rPr>
          <w:rFonts w:ascii="Arial" w:hAnsi="Arial" w:cs="Arial"/>
        </w:rPr>
      </w:pPr>
      <w:r w:rsidRPr="00653E50">
        <w:rPr>
          <w:rFonts w:ascii="Arial" w:hAnsi="Arial" w:cs="Arial"/>
          <w:noProof/>
        </w:rPr>
        <w:lastRenderedPageBreak/>
        <w:drawing>
          <wp:inline distT="0" distB="0" distL="0" distR="0" wp14:anchorId="5548A273" wp14:editId="5E8CE640">
            <wp:extent cx="5731510" cy="8488045"/>
            <wp:effectExtent l="0" t="0" r="2540" b="8255"/>
            <wp:docPr id="924589185" name="Picture 1" descr="A screenshot of a vide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589185" name="Picture 1" descr="A screenshot of a vide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8488045"/>
                    </a:xfrm>
                    <a:prstGeom prst="rect">
                      <a:avLst/>
                    </a:prstGeom>
                  </pic:spPr>
                </pic:pic>
              </a:graphicData>
            </a:graphic>
          </wp:inline>
        </w:drawing>
      </w:r>
    </w:p>
    <w:p w14:paraId="270F91FD" w14:textId="327ED5B5" w:rsidR="00653E50" w:rsidRPr="00653E50" w:rsidRDefault="00653E50" w:rsidP="00653E50">
      <w:pPr>
        <w:rPr>
          <w:rFonts w:ascii="Arial" w:hAnsi="Arial" w:cs="Arial"/>
        </w:rPr>
      </w:pPr>
      <w:r w:rsidRPr="00653E50">
        <w:rPr>
          <w:rFonts w:ascii="Arial" w:hAnsi="Arial" w:cs="Arial"/>
        </w:rPr>
        <w:t xml:space="preserve">Figure 3 – Streetview images of scored streets in Denver. </w:t>
      </w:r>
    </w:p>
    <w:p w14:paraId="3F21A037" w14:textId="22630AE0" w:rsidR="00DB7290" w:rsidRPr="00653E50" w:rsidRDefault="00DB7290" w:rsidP="00DB7290">
      <w:pPr>
        <w:pStyle w:val="Heading1"/>
        <w:rPr>
          <w:rFonts w:ascii="Arial" w:hAnsi="Arial" w:cs="Arial"/>
        </w:rPr>
      </w:pPr>
      <w:bookmarkStart w:id="2" w:name="_Toc158989031"/>
      <w:r w:rsidRPr="00653E50">
        <w:rPr>
          <w:rFonts w:ascii="Arial" w:hAnsi="Arial" w:cs="Arial"/>
        </w:rPr>
        <w:lastRenderedPageBreak/>
        <w:t>Supplementary 3: Exploring impacts of parametric changes</w:t>
      </w:r>
      <w:bookmarkEnd w:id="2"/>
    </w:p>
    <w:p w14:paraId="080C4503" w14:textId="77777777" w:rsidR="00DB7290" w:rsidRPr="00653E50" w:rsidRDefault="00DB7290" w:rsidP="00DB7290">
      <w:pPr>
        <w:rPr>
          <w:rFonts w:ascii="Arial" w:hAnsi="Arial" w:cs="Arial"/>
        </w:rPr>
      </w:pPr>
    </w:p>
    <w:p w14:paraId="59C02E33" w14:textId="46FB5410" w:rsidR="00DB7290" w:rsidRPr="00653E50" w:rsidRDefault="00DB7290" w:rsidP="00DB7290">
      <w:pPr>
        <w:rPr>
          <w:rFonts w:ascii="Arial" w:hAnsi="Arial" w:cs="Arial"/>
        </w:rPr>
      </w:pPr>
      <w:r w:rsidRPr="00653E50">
        <w:rPr>
          <w:rFonts w:ascii="Arial" w:hAnsi="Arial" w:cs="Arial"/>
        </w:rPr>
        <w:t xml:space="preserve">In this analysis, we prepared and re-ran </w:t>
      </w:r>
      <w:proofErr w:type="gramStart"/>
      <w:r w:rsidRPr="00653E50">
        <w:rPr>
          <w:rFonts w:ascii="Arial" w:hAnsi="Arial" w:cs="Arial"/>
        </w:rPr>
        <w:t>a number of</w:t>
      </w:r>
      <w:proofErr w:type="gramEnd"/>
      <w:r w:rsidRPr="00653E50">
        <w:rPr>
          <w:rFonts w:ascii="Arial" w:hAnsi="Arial" w:cs="Arial"/>
        </w:rPr>
        <w:t xml:space="preserve"> variants to the analysis in New York, examining how results changed when the parameters of the analysis changed (for example in relation to how distances were calculated, or which trees were deemed eligible parts of the analysis).</w:t>
      </w:r>
    </w:p>
    <w:p w14:paraId="3CB93784" w14:textId="77777777" w:rsidR="00DB7290" w:rsidRPr="00653E50" w:rsidRDefault="00DB7290" w:rsidP="00DB7290">
      <w:pPr>
        <w:rPr>
          <w:rFonts w:ascii="Arial" w:hAnsi="Arial" w:cs="Arial"/>
          <w:highlight w:val="yellow"/>
        </w:rPr>
      </w:pPr>
      <w:r w:rsidRPr="00653E50">
        <w:rPr>
          <w:rFonts w:ascii="Arial" w:hAnsi="Arial" w:cs="Arial"/>
          <w:highlight w:val="yellow"/>
        </w:rPr>
        <w:br w:type="page"/>
      </w:r>
    </w:p>
    <w:p w14:paraId="28938664" w14:textId="77777777" w:rsidR="00DB7290" w:rsidRPr="00653E50" w:rsidRDefault="00DB7290" w:rsidP="00DB7290">
      <w:pPr>
        <w:pStyle w:val="Heading4"/>
        <w:rPr>
          <w:rFonts w:ascii="Arial" w:hAnsi="Arial" w:cs="Arial"/>
        </w:rPr>
      </w:pPr>
    </w:p>
    <w:p w14:paraId="3E977016" w14:textId="77777777" w:rsidR="00DB7290" w:rsidRPr="00653E50" w:rsidRDefault="00DB7290" w:rsidP="00DB7290">
      <w:pPr>
        <w:pStyle w:val="Heading4"/>
        <w:rPr>
          <w:rFonts w:ascii="Arial" w:hAnsi="Arial" w:cs="Arial"/>
        </w:rPr>
      </w:pPr>
      <w:r w:rsidRPr="00653E50">
        <w:rPr>
          <w:rFonts w:ascii="Arial" w:hAnsi="Arial" w:cs="Arial"/>
        </w:rPr>
        <w:t xml:space="preserve">Methods employed in </w:t>
      </w:r>
      <w:proofErr w:type="gramStart"/>
      <w:r w:rsidRPr="00653E50">
        <w:rPr>
          <w:rFonts w:ascii="Arial" w:hAnsi="Arial" w:cs="Arial"/>
        </w:rPr>
        <w:t>testing</w:t>
      </w:r>
      <w:proofErr w:type="gramEnd"/>
    </w:p>
    <w:p w14:paraId="52B3D9F4" w14:textId="77777777" w:rsidR="00DB7290" w:rsidRPr="00653E50" w:rsidRDefault="00DB7290" w:rsidP="00DB7290">
      <w:pPr>
        <w:rPr>
          <w:rFonts w:ascii="Arial" w:hAnsi="Arial" w:cs="Arial"/>
        </w:rPr>
      </w:pPr>
    </w:p>
    <w:p w14:paraId="58BD36F0" w14:textId="77777777" w:rsidR="00DB7290" w:rsidRPr="00653E50" w:rsidRDefault="00DB7290" w:rsidP="00DB7290">
      <w:pPr>
        <w:rPr>
          <w:rFonts w:ascii="Arial" w:hAnsi="Arial" w:cs="Arial"/>
        </w:rPr>
      </w:pPr>
      <w:r w:rsidRPr="00653E50">
        <w:rPr>
          <w:rFonts w:ascii="Arial" w:hAnsi="Arial" w:cs="Arial"/>
        </w:rPr>
        <w:t xml:space="preserve">The 3-30-300 rule specifies that visible trees meeting the ‘3’ must be ‘established’. This is a difficult trait to capture with a single metric, but </w:t>
      </w:r>
      <w:r w:rsidRPr="00653E50">
        <w:rPr>
          <w:rFonts w:ascii="Arial" w:hAnsi="Arial" w:cs="Arial"/>
        </w:rPr>
        <w:fldChar w:fldCharType="begin" w:fldLock="1"/>
      </w:r>
      <w:r w:rsidRPr="00653E50">
        <w:rPr>
          <w:rFonts w:ascii="Arial" w:hAnsi="Arial" w:cs="Arial"/>
        </w:rPr>
        <w:instrText>ADDIN CSL_CITATION {"citationItems":[{"id":"ITEM-1","itemData":{"DOI":"10.1007/s11676-022-01523-z","ISBN":"0123456789","ISSN":"19930607","abstract":"The important contributions of urban trees and green spaces to for example, climate moderation and public health have been recognized. This paper discusses guidelines and norms that promote the benefits of viewing green, living amongst green, and having easy access to green spaces for recreational use. Having trees and other vegetation in sight from one’s home, place of work, or school has important mental health and performance benefits. Local tree canopy cover is positively associated with cooling and other aspects of climate moderation. With public green spaces in proximity to one’s home stimulates regular use of these areas and results in positive impacts on mental, physical, and social health. After analyzing existing guidelines and rules for urban green space planning and provision, a new, comprehensive guideline is presented, known as the ‘3–30–300 rule’ for urban forestry. This guideline aims to provide equitable access to trees and green spaces and their benefits by setting the thresholds of having at least 3 well-established trees in view from every home, school, and place of work, no less than a 30% tree canopy in every neighbourhood; and no more than 300 m to the nearest public green space from every residence. Current implementation of this new guideline is discussed, as well as the advantages and disadvantages of using this evidence-based but also clear and simple rules.","author":[{"dropping-particle":"","family":"Konijnendijk","given":"Cecil C.","non-dropping-particle":"","parse-names":false,"suffix":""}],"container-title":"Journal of Forestry Research","id":"ITEM-1","issued":{"date-parts":[["2022"]]},"publisher":"Springer Nature Singapore","title":"Evidence-based guidelines for greener, healthier, more resilient neighbourhoods: Introducing the 3–30–300 rule","type":"article-journal"},"uris":["http://www.mendeley.com/documents/?uuid=1da3b3f8-9198-4bc3-934a-e21f9f7a6ec4"]}],"mendeley":{"formattedCitation":"&lt;sup&gt;21&lt;/sup&gt;","manualFormatting":"Konijnendijk (2022)","plainTextFormattedCitation":"21","previouslyFormattedCitation":"&lt;sup&gt;21&lt;/sup&gt;"},"properties":{"noteIndex":0},"schema":"https://github.com/citation-style-language/schema/raw/master/csl-citation.json"}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Konijnendijk (2022)</w:t>
      </w:r>
      <w:r w:rsidRPr="00653E50">
        <w:rPr>
          <w:rFonts w:ascii="Arial" w:hAnsi="Arial" w:cs="Arial"/>
        </w:rPr>
        <w:fldChar w:fldCharType="end"/>
      </w:r>
      <w:r w:rsidRPr="00653E50">
        <w:rPr>
          <w:rFonts w:ascii="Arial" w:hAnsi="Arial" w:cs="Arial"/>
        </w:rPr>
        <w:t xml:space="preserve"> suggests a canopy of at least 24sqm as a possible test for established trees. Without actively interrogating the suitability of this threshold, we tested </w:t>
      </w:r>
      <w:proofErr w:type="gramStart"/>
      <w:r w:rsidRPr="00653E50">
        <w:rPr>
          <w:rFonts w:ascii="Arial" w:hAnsi="Arial" w:cs="Arial"/>
        </w:rPr>
        <w:t>it’s</w:t>
      </w:r>
      <w:proofErr w:type="gramEnd"/>
      <w:r w:rsidRPr="00653E50">
        <w:rPr>
          <w:rFonts w:ascii="Arial" w:hAnsi="Arial" w:cs="Arial"/>
        </w:rPr>
        <w:t xml:space="preserve"> application in New York, which had sufficiently detailed data within its tree inventory (point) layer. Most cities in this study do not have canopy data for individual trees. By filtering the trees dataset by attributes, trees above 24sqm could be isolated, and then run through the generic ‘3’ test described above. Joining this dataset to the original tree dataset allowed this study to establish which buildings had views of 3 or more </w:t>
      </w:r>
      <w:r w:rsidRPr="00653E50">
        <w:rPr>
          <w:rFonts w:ascii="Arial" w:hAnsi="Arial" w:cs="Arial"/>
          <w:i/>
          <w:iCs/>
        </w:rPr>
        <w:t>established</w:t>
      </w:r>
      <w:r w:rsidRPr="00653E50">
        <w:rPr>
          <w:rFonts w:ascii="Arial" w:hAnsi="Arial" w:cs="Arial"/>
        </w:rPr>
        <w:t xml:space="preserve"> trees, which buildings only meet the 3 </w:t>
      </w:r>
      <w:proofErr w:type="gramStart"/>
      <w:r w:rsidRPr="00653E50">
        <w:rPr>
          <w:rFonts w:ascii="Arial" w:hAnsi="Arial" w:cs="Arial"/>
        </w:rPr>
        <w:t>rule</w:t>
      </w:r>
      <w:proofErr w:type="gramEnd"/>
      <w:r w:rsidRPr="00653E50">
        <w:rPr>
          <w:rFonts w:ascii="Arial" w:hAnsi="Arial" w:cs="Arial"/>
        </w:rPr>
        <w:t xml:space="preserve"> if views of small trees are counted, and which locations failed both tests. </w:t>
      </w:r>
    </w:p>
    <w:p w14:paraId="6DF17219" w14:textId="77777777" w:rsidR="00DB7290" w:rsidRPr="00653E50" w:rsidRDefault="00DB7290" w:rsidP="00DB7290">
      <w:pPr>
        <w:rPr>
          <w:rFonts w:ascii="Arial" w:hAnsi="Arial" w:cs="Arial"/>
        </w:rPr>
      </w:pPr>
      <w:r w:rsidRPr="00653E50">
        <w:rPr>
          <w:rFonts w:ascii="Arial" w:hAnsi="Arial" w:cs="Arial"/>
        </w:rPr>
        <w:t xml:space="preserve">The ’30’ rule requires 30% neighbourhood canopy, but the best available proxy for ‘neighbourhood’ varied in definition from city to city, and in many </w:t>
      </w:r>
      <w:proofErr w:type="gramStart"/>
      <w:r w:rsidRPr="00653E50">
        <w:rPr>
          <w:rFonts w:ascii="Arial" w:hAnsi="Arial" w:cs="Arial"/>
        </w:rPr>
        <w:t>cases</w:t>
      </w:r>
      <w:proofErr w:type="gramEnd"/>
      <w:r w:rsidRPr="00653E50">
        <w:rPr>
          <w:rFonts w:ascii="Arial" w:hAnsi="Arial" w:cs="Arial"/>
        </w:rPr>
        <w:t xml:space="preserve"> we used census-based spatial units. This does change the level of spatial aggregation applied in the canopy test. In New York we were able to identify and test three different options to use as ‘neighbourhoods’ for this test: a set of census tracts, a set of administrative districts used by the municipality, and a set of boundaries that attempt to identify neighbourhoods as social units. Each of these was visualised and compared to identify the effects of spatial aggregation. </w:t>
      </w:r>
    </w:p>
    <w:p w14:paraId="62B30BE9" w14:textId="77777777" w:rsidR="00DB7290" w:rsidRPr="00653E50" w:rsidRDefault="00DB7290" w:rsidP="00DB7290">
      <w:pPr>
        <w:rPr>
          <w:rFonts w:ascii="Arial" w:hAnsi="Arial" w:cs="Arial"/>
        </w:rPr>
      </w:pPr>
      <w:r w:rsidRPr="00653E50">
        <w:rPr>
          <w:rFonts w:ascii="Arial" w:hAnsi="Arial" w:cs="Arial"/>
        </w:rPr>
        <w:fldChar w:fldCharType="begin" w:fldLock="1"/>
      </w:r>
      <w:r w:rsidRPr="00653E50">
        <w:rPr>
          <w:rFonts w:ascii="Arial" w:hAnsi="Arial" w:cs="Arial"/>
        </w:rPr>
        <w:instrText>ADDIN CSL_CITATION {"citationItems":[{"id":"ITEM-1","itemData":{"DOI":"10.1016/j.scitotenv.2023.167739","ISSN":"18791026","PMID":"37832672","abstract":"The 3-30-300 rule offers benchmarks for cities to promote equitable nature access. It dictates that individuals should see three trees from their dwelling, have 30 % tree canopy in their neighborhood, and live within 300 m of a high-quality green space. Implementing this demands thorough measurement, monitoring, and evaluation methods, yet little guidance is currently available to pursue these actions. To overcome this gap, we employed an expert-based consensus approach to review the available ways to measure 3-30-300 as well as each measure's strengths and weaknesses. We described seven relevant data and processes: vegetation indices, street level analyses, tree inventories, questionnaires, window view analyses, land cover maps, and green space maps. Based on the reviewed strengths and weaknesses of each measure, we presented a suitability matrix to link recommended measures with each component of the rule. These recommendations included surveys and window-view analyses for the ‘3 component’, high-resolution land cover maps for the ‘30 component’, and green space maps with network analyses for the ‘300 component’. These methods, responsive to local situations and resources, not only implement the 3-30-300 rule but foster broader dialogue on local desires and requirements. Consequently, these techniques can guide strategic investments in urban greening for health, equity, biodiversity, and climate adaptation.","author":[{"dropping-particle":"","family":"Browning","given":"M. H.E.M.","non-dropping-particle":"","parse-names":false,"suffix":""},{"dropping-particle":"","family":"Locke","given":"D. H.","non-dropping-particle":"","parse-names":false,"suffix":""},{"dropping-particle":"","family":"Konijnendijk","given":"C.","non-dropping-particle":"","parse-names":false,"suffix":""},{"dropping-particle":"","family":"Labib","given":"S. M.","non-dropping-particle":"","parse-names":false,"suffix":""},{"dropping-particle":"","family":"Rigolon","given":"A.","non-dropping-particle":"","parse-names":false,"suffix":""},{"dropping-particle":"","family":"Yeager","given":"R.","non-dropping-particle":"","parse-names":false,"suffix":""},{"dropping-particle":"","family":"Bardhan","given":"M.","non-dropping-particle":"","parse-names":false,"suffix":""},{"dropping-particle":"","family":"Berland","given":"A.","non-dropping-particle":"","parse-names":false,"suffix":""},{"dropping-particle":"","family":"Dadvand","given":"P.","non-dropping-particle":"","parse-names":false,"suffix":""},{"dropping-particle":"","family":"Helbich","given":"M.","non-dropping-particle":"","parse-names":false,"suffix":""},{"dropping-particle":"","family":"Li","given":"F.","non-dropping-particle":"","parse-names":false,"suffix":""},{"dropping-particle":"","family":"Li","given":"H.","non-dropping-particle":"","parse-names":false,"suffix":""},{"dropping-particle":"","family":"James","given":"P.","non-dropping-particle":"","parse-names":false,"suffix":""},{"dropping-particle":"","family":"Klompmaker","given":"J.","non-dropping-particle":"","parse-names":false,"suffix":""},{"dropping-particle":"","family":"Reuben","given":"A.","non-dropping-particle":"","parse-names":false,"suffix":""},{"dropping-particle":"","family":"Roman","given":"L. A.","non-dropping-particle":"","parse-names":false,"suffix":""},{"dropping-particle":"","family":"Tsai","given":"W. L.","non-dropping-particle":"","parse-names":false,"suffix":""},{"dropping-particle":"","family":"Patwary","given":"M.","non-dropping-particle":"","parse-names":false,"suffix":""},{"dropping-particle":"","family":"O'Neil-Dunne","given":"J.","non-dropping-particle":"","parse-names":false,"suffix":""},{"dropping-particle":"","family":"Ossola","given":"A.","non-dropping-particle":"","parse-names":false,"suffix":""},{"dropping-particle":"","family":"Wang","given":"R.","non-dropping-particle":"","parse-names":false,"suffix":""},{"dropping-particle":"","family":"Yang","given":"B.","non-dropping-particle":"","parse-names":false,"suffix":""},{"dropping-particle":"","family":"Yi","given":"L.","non-dropping-particle":"","parse-names":false,"suffix":""},{"dropping-particle":"","family":"Zhang","given":"J.","non-dropping-particle":"","parse-names":false,"suffix":""},{"dropping-particle":"","family":"Nieuwenhuijsen","given":"M.","non-dropping-particle":"","parse-names":false,"suffix":""}],"container-title":"Science of the Total Environment","id":"ITEM-1","issue":"October 2023","issued":{"date-parts":[["2024"]]},"title":"Measuring the 3-30-300 rule to help cities meet nature access thresholds","type":"article-journal","volume":"907"},"uris":["http://www.mendeley.com/documents/?uuid=2bda9663-2bce-49fb-85fa-8f25aed08794"]}],"mendeley":{"formattedCitation":"&lt;sup&gt;24&lt;/sup&gt;","manualFormatting":"Browning et al. (2024)","plainTextFormattedCitation":"24","previouslyFormattedCitation":"&lt;sup&gt;24&lt;/sup&gt;"},"properties":{"noteIndex":0},"schema":"https://github.com/citation-style-language/schema/raw/master/csl-citation.json"}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Browning et al. (2024)</w:t>
      </w:r>
      <w:r w:rsidRPr="00653E50">
        <w:rPr>
          <w:rFonts w:ascii="Arial" w:hAnsi="Arial" w:cs="Arial"/>
        </w:rPr>
        <w:fldChar w:fldCharType="end"/>
      </w:r>
      <w:r w:rsidRPr="00653E50">
        <w:rPr>
          <w:rFonts w:ascii="Arial" w:hAnsi="Arial" w:cs="Arial"/>
        </w:rPr>
        <w:t xml:space="preserve"> note that there is also some ambiguity in the calculation of the ‘300’ test. While network analysis is recommended, they do countenance the use of simple buffers, which effectively calculate a direct linear distance (i.e. ‘as the crow flies’). This is not a precise measure, especially where road networks are disconnected and/or circuitous (e.g. in cul-de-sac neighbourhood designs</w:t>
      </w:r>
      <w:proofErr w:type="gramStart"/>
      <w:r w:rsidRPr="00653E50">
        <w:rPr>
          <w:rFonts w:ascii="Arial" w:hAnsi="Arial" w:cs="Arial"/>
        </w:rPr>
        <w:t>), but</w:t>
      </w:r>
      <w:proofErr w:type="gramEnd"/>
      <w:r w:rsidRPr="00653E50">
        <w:rPr>
          <w:rFonts w:ascii="Arial" w:hAnsi="Arial" w:cs="Arial"/>
        </w:rPr>
        <w:t xml:space="preserve"> could give a broad estimate and avoid the processing demands and (occasionally substantial) routing failures associated with network analysis. Accordingly, New York was analysed using a simple buffer-based analysis, where buffers of 100,200, 300, 400 and 500m were generated around parks, and the number of properties within each buffer set was counted. This was compared to the network-based result to understand both how similar the results might be, </w:t>
      </w:r>
      <w:proofErr w:type="gramStart"/>
      <w:r w:rsidRPr="00653E50">
        <w:rPr>
          <w:rFonts w:ascii="Arial" w:hAnsi="Arial" w:cs="Arial"/>
        </w:rPr>
        <w:t>and also</w:t>
      </w:r>
      <w:proofErr w:type="gramEnd"/>
      <w:r w:rsidRPr="00653E50">
        <w:rPr>
          <w:rFonts w:ascii="Arial" w:hAnsi="Arial" w:cs="Arial"/>
        </w:rPr>
        <w:t xml:space="preserve"> how different the demands of calculation were. </w:t>
      </w:r>
    </w:p>
    <w:p w14:paraId="09DCD9F7" w14:textId="77777777" w:rsidR="00DB7290" w:rsidRPr="00653E50" w:rsidRDefault="00DB7290" w:rsidP="00DB7290">
      <w:pPr>
        <w:rPr>
          <w:rFonts w:ascii="Arial" w:hAnsi="Arial" w:cs="Arial"/>
        </w:rPr>
      </w:pPr>
      <w:r w:rsidRPr="00653E50">
        <w:rPr>
          <w:rFonts w:ascii="Arial" w:hAnsi="Arial" w:cs="Arial"/>
        </w:rPr>
        <w:t xml:space="preserve">Finally, this study’s generic process for calculating ‘300’ involved all parks from each city, but a strict reading of the 3-30-300 rule would exclude all parks under 0.5ha (5000sqm). In a dense city like New York, where numerous ‘pocket parks’ offer high-quality locations for passive recreation (e.g. Greenacre Park, Manhattan), this rule would exclude a significant number of the city’s green spaces. To determine how results change when a strict 0.5ha limit is applied to parks, we re-ran the generic ‘300’ test but added an attribute filter to exclude all parks under this size. This enables an understanding of how many buildings rely on smaller parks in New York. </w:t>
      </w:r>
    </w:p>
    <w:p w14:paraId="78A296EB" w14:textId="77777777" w:rsidR="00DB7290" w:rsidRPr="00653E50" w:rsidRDefault="00DB7290" w:rsidP="00DB7290">
      <w:pPr>
        <w:pStyle w:val="Heading4"/>
        <w:rPr>
          <w:rFonts w:ascii="Arial" w:hAnsi="Arial" w:cs="Arial"/>
          <w:highlight w:val="yellow"/>
        </w:rPr>
      </w:pPr>
      <w:r w:rsidRPr="00653E50">
        <w:rPr>
          <w:rFonts w:ascii="Arial" w:hAnsi="Arial" w:cs="Arial"/>
        </w:rPr>
        <w:t>Results of parametric testing</w:t>
      </w:r>
    </w:p>
    <w:p w14:paraId="1084AC6F" w14:textId="77777777" w:rsidR="00DB7290" w:rsidRPr="00653E50" w:rsidRDefault="00DB7290" w:rsidP="00DB7290">
      <w:pPr>
        <w:rPr>
          <w:rFonts w:ascii="Arial" w:hAnsi="Arial" w:cs="Arial"/>
          <w:i/>
          <w:iCs/>
        </w:rPr>
      </w:pPr>
    </w:p>
    <w:p w14:paraId="4CD7E9ED" w14:textId="0ADD9D00" w:rsidR="00DB7290" w:rsidRPr="00653E50" w:rsidRDefault="00DB7290" w:rsidP="00DB7290">
      <w:pPr>
        <w:rPr>
          <w:rFonts w:ascii="Arial" w:hAnsi="Arial" w:cs="Arial"/>
        </w:rPr>
      </w:pPr>
      <w:r w:rsidRPr="00653E50">
        <w:rPr>
          <w:rFonts w:ascii="Arial" w:hAnsi="Arial" w:cs="Arial"/>
        </w:rPr>
        <w:t xml:space="preserve">Our experiments with changes to our method in New York highlighted the scope for variances in results depending on the quality of analysis and data that is possible within a given city. Figure 1 shows that three different approaches to the definition of ‘neighbourhood’ yield three quite different spatial distributions of achievement of the rule, with the use of census tracts (which was our approach in the main study for all US cities) proving the most </w:t>
      </w:r>
      <w:r w:rsidRPr="00653E50">
        <w:rPr>
          <w:rFonts w:ascii="Arial" w:hAnsi="Arial" w:cs="Arial"/>
        </w:rPr>
        <w:lastRenderedPageBreak/>
        <w:t xml:space="preserve">generous and fine-grained. </w:t>
      </w:r>
      <w:proofErr w:type="gramStart"/>
      <w:r w:rsidRPr="00653E50">
        <w:rPr>
          <w:rFonts w:ascii="Arial" w:hAnsi="Arial" w:cs="Arial"/>
        </w:rPr>
        <w:t>It is clear that the</w:t>
      </w:r>
      <w:proofErr w:type="gramEnd"/>
      <w:r w:rsidRPr="00653E50">
        <w:rPr>
          <w:rFonts w:ascii="Arial" w:hAnsi="Arial" w:cs="Arial"/>
        </w:rPr>
        <w:t xml:space="preserve"> way ‘neighbourhood’ is defined has potential to sway results considerably. Our finding also indicates that pockets of high canopy are more likely to achieve the ‘30’ rule in smaller neighbourhood units, suggesting that what canopy does exist is very patchy and easily diluted by surrounding low-canopy areas. While the results in Figure 1 do show spatial variance, all three represent an achievement rate of under 2% of the total building stock.</w:t>
      </w:r>
    </w:p>
    <w:p w14:paraId="12360D81" w14:textId="77777777" w:rsidR="00DB7290" w:rsidRPr="00653E50" w:rsidRDefault="00DB7290" w:rsidP="00DB7290">
      <w:pPr>
        <w:keepNext/>
        <w:rPr>
          <w:rFonts w:ascii="Arial" w:hAnsi="Arial" w:cs="Arial"/>
        </w:rPr>
      </w:pPr>
      <w:r w:rsidRPr="00653E50">
        <w:rPr>
          <w:rFonts w:ascii="Arial" w:hAnsi="Arial" w:cs="Arial"/>
          <w:noProof/>
        </w:rPr>
        <w:drawing>
          <wp:inline distT="0" distB="0" distL="0" distR="0" wp14:anchorId="13B16DB7" wp14:editId="18CAD1AF">
            <wp:extent cx="6231165" cy="1362075"/>
            <wp:effectExtent l="0" t="0" r="0" b="0"/>
            <wp:docPr id="8" name="Picture 8"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map of the united state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31165" cy="1362075"/>
                    </a:xfrm>
                    <a:prstGeom prst="rect">
                      <a:avLst/>
                    </a:prstGeom>
                  </pic:spPr>
                </pic:pic>
              </a:graphicData>
            </a:graphic>
          </wp:inline>
        </w:drawing>
      </w:r>
    </w:p>
    <w:p w14:paraId="3EB0D0A0" w14:textId="195424B4" w:rsidR="00DB7290" w:rsidRPr="00653E50" w:rsidRDefault="00DB7290" w:rsidP="00DB7290">
      <w:pPr>
        <w:rPr>
          <w:rFonts w:ascii="Arial" w:hAnsi="Arial" w:cs="Arial"/>
          <w:sz w:val="18"/>
          <w:szCs w:val="18"/>
        </w:rPr>
      </w:pPr>
      <w:r w:rsidRPr="00653E50">
        <w:rPr>
          <w:rFonts w:ascii="Arial" w:hAnsi="Arial" w:cs="Arial"/>
          <w:b/>
          <w:bCs/>
          <w:sz w:val="18"/>
          <w:szCs w:val="18"/>
        </w:rPr>
        <w:t>Figure 1 –</w:t>
      </w:r>
      <w:r w:rsidRPr="00653E50">
        <w:rPr>
          <w:rFonts w:ascii="Arial" w:hAnsi="Arial" w:cs="Arial"/>
          <w:sz w:val="18"/>
          <w:szCs w:val="18"/>
        </w:rPr>
        <w:t xml:space="preserve"> Count of buildings meeting 30% standard under different ‘neighbourhood’ boundaries. Census tracts are the default unit used in this study. Districts are an administrative unit defined by the municipal government, whereas the neighbourhood dataset sought to capture socially-defined neighbourhood boundaries. </w:t>
      </w:r>
    </w:p>
    <w:p w14:paraId="7FBB4800" w14:textId="77777777" w:rsidR="00DB7290" w:rsidRPr="00653E50" w:rsidRDefault="00DB7290" w:rsidP="00DB7290">
      <w:pPr>
        <w:rPr>
          <w:rFonts w:ascii="Arial" w:hAnsi="Arial" w:cs="Arial"/>
        </w:rPr>
      </w:pPr>
      <w:r w:rsidRPr="00653E50">
        <w:rPr>
          <w:rFonts w:ascii="Arial" w:hAnsi="Arial" w:cs="Arial"/>
        </w:rPr>
        <w:t xml:space="preserve">Other experiments with methodological changes in New York focused on how rates of achievement of specific standards changed; these are visualised in Figure 2. </w:t>
      </w:r>
    </w:p>
    <w:p w14:paraId="195EC659" w14:textId="77777777" w:rsidR="00DB7290" w:rsidRPr="00653E50" w:rsidRDefault="00DB7290" w:rsidP="00DB7290">
      <w:pPr>
        <w:rPr>
          <w:rStyle w:val="CommentReference"/>
          <w:rFonts w:ascii="Arial" w:hAnsi="Arial" w:cs="Arial"/>
        </w:rPr>
      </w:pPr>
      <w:r w:rsidRPr="00653E50">
        <w:rPr>
          <w:rFonts w:ascii="Arial" w:hAnsi="Arial" w:cs="Arial"/>
          <w:b/>
          <w:bCs/>
          <w:noProof/>
        </w:rPr>
        <w:drawing>
          <wp:inline distT="0" distB="0" distL="0" distR="0" wp14:anchorId="63EBFE8D" wp14:editId="6F91463B">
            <wp:extent cx="5633413" cy="4538341"/>
            <wp:effectExtent l="0" t="0" r="5715" b="0"/>
            <wp:docPr id="181099511" name="Picture 3" descr="A group of colorful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99511" name="Picture 3" descr="A group of colorful circles&#10;&#10;Description automatically generated"/>
                    <pic:cNvPicPr/>
                  </pic:nvPicPr>
                  <pic:blipFill rotWithShape="1">
                    <a:blip r:embed="rId14" cstate="print">
                      <a:extLst>
                        <a:ext uri="{28A0092B-C50C-407E-A947-70E740481C1C}">
                          <a14:useLocalDpi xmlns:a14="http://schemas.microsoft.com/office/drawing/2010/main" val="0"/>
                        </a:ext>
                      </a:extLst>
                    </a:blip>
                    <a:srcRect r="12205"/>
                    <a:stretch/>
                  </pic:blipFill>
                  <pic:spPr bwMode="auto">
                    <a:xfrm>
                      <a:off x="0" y="0"/>
                      <a:ext cx="5650196" cy="4551862"/>
                    </a:xfrm>
                    <a:prstGeom prst="rect">
                      <a:avLst/>
                    </a:prstGeom>
                    <a:ln>
                      <a:noFill/>
                    </a:ln>
                    <a:extLst>
                      <a:ext uri="{53640926-AAD7-44D8-BBD7-CCE9431645EC}">
                        <a14:shadowObscured xmlns:a14="http://schemas.microsoft.com/office/drawing/2010/main"/>
                      </a:ext>
                    </a:extLst>
                  </pic:spPr>
                </pic:pic>
              </a:graphicData>
            </a:graphic>
          </wp:inline>
        </w:drawing>
      </w:r>
      <w:r w:rsidRPr="00653E50">
        <w:rPr>
          <w:rFonts w:ascii="Arial" w:hAnsi="Arial" w:cs="Arial"/>
          <w:b/>
          <w:bCs/>
        </w:rPr>
        <w:t xml:space="preserve">Figure 2 </w:t>
      </w:r>
      <w:r w:rsidRPr="00653E50">
        <w:rPr>
          <w:rFonts w:ascii="Arial" w:hAnsi="Arial" w:cs="Arial"/>
        </w:rPr>
        <w:t xml:space="preserve">– Changes in results observed in New York when methods or definitions were modified. </w:t>
      </w:r>
    </w:p>
    <w:p w14:paraId="238DFE3A" w14:textId="77777777" w:rsidR="00DB7290" w:rsidRPr="00653E50" w:rsidRDefault="00DB7290" w:rsidP="00DB7290">
      <w:pPr>
        <w:rPr>
          <w:rFonts w:ascii="Arial" w:hAnsi="Arial" w:cs="Arial"/>
        </w:rPr>
      </w:pPr>
    </w:p>
    <w:p w14:paraId="20405DE6" w14:textId="4EC62BE0" w:rsidR="00DB7290" w:rsidRPr="00653E50" w:rsidRDefault="00DB7290" w:rsidP="00DB7290">
      <w:pPr>
        <w:rPr>
          <w:rFonts w:ascii="Arial" w:hAnsi="Arial" w:cs="Arial"/>
        </w:rPr>
      </w:pPr>
      <w:r w:rsidRPr="00653E50">
        <w:rPr>
          <w:rFonts w:ascii="Arial" w:hAnsi="Arial" w:cs="Arial"/>
        </w:rPr>
        <w:lastRenderedPageBreak/>
        <w:t>The use of 300m buffers instead of walking distances led to a 19% rise in achievement of the standard (Panel A). New York’s very high achievement of the standard ‘3’ test meant that the use of a 30m buffer instead of testing sightlines showed only a modest difference in achievement of the standard (5%, Panel B).The exclusion of small trees (&lt;24m</w:t>
      </w:r>
      <w:r w:rsidRPr="00653E50">
        <w:rPr>
          <w:rFonts w:ascii="Arial" w:hAnsi="Arial" w:cs="Arial"/>
          <w:vertAlign w:val="superscript"/>
        </w:rPr>
        <w:t>2</w:t>
      </w:r>
      <w:r w:rsidRPr="00653E50">
        <w:rPr>
          <w:rFonts w:ascii="Arial" w:hAnsi="Arial" w:cs="Arial"/>
        </w:rPr>
        <w:t xml:space="preserve">, as per </w:t>
      </w:r>
      <w:proofErr w:type="spellStart"/>
      <w:r w:rsidRPr="00653E50">
        <w:rPr>
          <w:rFonts w:ascii="Arial" w:hAnsi="Arial" w:cs="Arial"/>
        </w:rPr>
        <w:t>Konijnendijk</w:t>
      </w:r>
      <w:proofErr w:type="spellEnd"/>
      <w:r w:rsidRPr="00653E50">
        <w:rPr>
          <w:rFonts w:ascii="Arial" w:hAnsi="Arial" w:cs="Arial"/>
        </w:rPr>
        <w:t xml:space="preserve"> (2023)) from the ‘3’ test reduced achievement of the standard from over 90% to 66%, suggesting that where this exclusion is possible (i.e., where canopy data is available for each tree) it offers valuable distinction between locations (Panel C). Inclusion of parks under 0.5ha in park walking distance analyses adds </w:t>
      </w:r>
      <w:proofErr w:type="gramStart"/>
      <w:r w:rsidRPr="00653E50">
        <w:rPr>
          <w:rFonts w:ascii="Arial" w:hAnsi="Arial" w:cs="Arial"/>
        </w:rPr>
        <w:t>a large number of</w:t>
      </w:r>
      <w:proofErr w:type="gramEnd"/>
      <w:r w:rsidRPr="00653E50">
        <w:rPr>
          <w:rFonts w:ascii="Arial" w:hAnsi="Arial" w:cs="Arial"/>
        </w:rPr>
        <w:t xml:space="preserve"> small parks to the analysis, resulting in an additional 21% of buildings meeting the standard (Panel D). Histograms for each of these analyses are included below in Figure 3.  </w:t>
      </w:r>
    </w:p>
    <w:p w14:paraId="3631E3AA" w14:textId="6F612C62" w:rsidR="00DB7290" w:rsidRPr="00653E50" w:rsidRDefault="00DB7290" w:rsidP="00DB7290">
      <w:pPr>
        <w:rPr>
          <w:rFonts w:ascii="Arial" w:hAnsi="Arial" w:cs="Arial"/>
        </w:rPr>
      </w:pPr>
    </w:p>
    <w:p w14:paraId="669A2776" w14:textId="36A0FDAC" w:rsidR="00DB7290" w:rsidRPr="00653E50" w:rsidRDefault="00DB7290" w:rsidP="00DB7290">
      <w:pPr>
        <w:rPr>
          <w:rFonts w:ascii="Arial" w:hAnsi="Arial" w:cs="Arial"/>
        </w:rPr>
      </w:pPr>
    </w:p>
    <w:p w14:paraId="7517AEDA" w14:textId="752AB9CB" w:rsidR="00DB7290" w:rsidRPr="00653E50" w:rsidRDefault="00DB7290" w:rsidP="00DB7290">
      <w:pPr>
        <w:rPr>
          <w:rFonts w:ascii="Arial" w:hAnsi="Arial" w:cs="Arial"/>
        </w:rPr>
      </w:pPr>
    </w:p>
    <w:p w14:paraId="7F5C5536" w14:textId="593082CE" w:rsidR="00DB7290" w:rsidRPr="00653E50" w:rsidRDefault="00DB7290" w:rsidP="00DB7290">
      <w:pPr>
        <w:rPr>
          <w:rFonts w:ascii="Arial" w:hAnsi="Arial" w:cs="Arial"/>
        </w:rPr>
      </w:pPr>
    </w:p>
    <w:p w14:paraId="53777F05" w14:textId="77777777" w:rsidR="00653E50" w:rsidRPr="00653E50" w:rsidRDefault="00653E50" w:rsidP="00653E50">
      <w:pPr>
        <w:rPr>
          <w:rFonts w:ascii="Arial" w:hAnsi="Arial" w:cs="Arial"/>
          <w:b/>
          <w:bCs/>
        </w:rPr>
      </w:pPr>
      <w:r w:rsidRPr="00653E50">
        <w:rPr>
          <w:rFonts w:ascii="Arial" w:hAnsi="Arial" w:cs="Arial"/>
          <w:noProof/>
          <w14:ligatures w14:val="standardContextual"/>
        </w:rPr>
        <w:lastRenderedPageBreak/>
        <w:drawing>
          <wp:inline distT="0" distB="0" distL="0" distR="0" wp14:anchorId="06BAB7C8" wp14:editId="06AB15A9">
            <wp:extent cx="4540327" cy="7901981"/>
            <wp:effectExtent l="0" t="0" r="0" b="0"/>
            <wp:docPr id="1084980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980478" name="Picture 108498047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544346" cy="7908976"/>
                    </a:xfrm>
                    <a:prstGeom prst="rect">
                      <a:avLst/>
                    </a:prstGeom>
                  </pic:spPr>
                </pic:pic>
              </a:graphicData>
            </a:graphic>
          </wp:inline>
        </w:drawing>
      </w:r>
    </w:p>
    <w:p w14:paraId="314266C0" w14:textId="6C6AACE3" w:rsidR="00DB7290" w:rsidRPr="00653E50" w:rsidRDefault="00653E50" w:rsidP="00653E50">
      <w:pPr>
        <w:rPr>
          <w:rFonts w:ascii="Arial" w:hAnsi="Arial" w:cs="Arial"/>
        </w:rPr>
      </w:pPr>
      <w:r w:rsidRPr="00653E50">
        <w:rPr>
          <w:rFonts w:ascii="Arial" w:hAnsi="Arial" w:cs="Arial"/>
          <w:b/>
          <w:bCs/>
        </w:rPr>
        <w:t>Figure 3 –</w:t>
      </w:r>
      <w:r w:rsidRPr="00653E50">
        <w:rPr>
          <w:rFonts w:ascii="Arial" w:hAnsi="Arial" w:cs="Arial"/>
        </w:rPr>
        <w:t xml:space="preserve"> Changes in distribution of results. </w:t>
      </w:r>
    </w:p>
    <w:p w14:paraId="740A02FD" w14:textId="77777777" w:rsidR="00DB7290" w:rsidRPr="00653E50" w:rsidRDefault="00DB7290" w:rsidP="00653E50">
      <w:pPr>
        <w:pStyle w:val="Heading1"/>
        <w:rPr>
          <w:rFonts w:ascii="Arial" w:hAnsi="Arial" w:cs="Arial"/>
        </w:rPr>
      </w:pPr>
    </w:p>
    <w:p w14:paraId="53A5674D" w14:textId="4207D6DE" w:rsidR="00DC2E0F" w:rsidRPr="00653E50" w:rsidRDefault="00DC2E0F" w:rsidP="00653E50">
      <w:pPr>
        <w:pStyle w:val="Heading1"/>
        <w:rPr>
          <w:rFonts w:ascii="Arial" w:hAnsi="Arial" w:cs="Arial"/>
        </w:rPr>
      </w:pPr>
      <w:bookmarkStart w:id="3" w:name="_Toc158989032"/>
      <w:r w:rsidRPr="00653E50">
        <w:rPr>
          <w:rFonts w:ascii="Arial" w:hAnsi="Arial" w:cs="Arial"/>
        </w:rPr>
        <w:t xml:space="preserve">Supplementary </w:t>
      </w:r>
      <w:r w:rsidR="00653E50" w:rsidRPr="00653E50">
        <w:rPr>
          <w:rFonts w:ascii="Arial" w:hAnsi="Arial" w:cs="Arial"/>
        </w:rPr>
        <w:t>4</w:t>
      </w:r>
      <w:r w:rsidR="00653E50">
        <w:rPr>
          <w:rFonts w:ascii="Arial" w:hAnsi="Arial" w:cs="Arial"/>
        </w:rPr>
        <w:t>:</w:t>
      </w:r>
      <w:r w:rsidRPr="00653E50">
        <w:rPr>
          <w:rFonts w:ascii="Arial" w:hAnsi="Arial" w:cs="Arial"/>
        </w:rPr>
        <w:t xml:space="preserve"> Discussion of Methodological Frontiers</w:t>
      </w:r>
      <w:bookmarkEnd w:id="3"/>
    </w:p>
    <w:p w14:paraId="0B78CA8B" w14:textId="77777777" w:rsidR="00DC2E0F" w:rsidRPr="00653E50" w:rsidRDefault="00DC2E0F" w:rsidP="00DC2E0F">
      <w:pPr>
        <w:rPr>
          <w:rFonts w:ascii="Arial" w:hAnsi="Arial" w:cs="Arial"/>
        </w:rPr>
      </w:pPr>
    </w:p>
    <w:p w14:paraId="33FEFA9B" w14:textId="77777777" w:rsidR="00DC2E0F" w:rsidRPr="00653E50" w:rsidRDefault="00DC2E0F" w:rsidP="00DC2E0F">
      <w:pPr>
        <w:rPr>
          <w:rFonts w:ascii="Arial" w:hAnsi="Arial" w:cs="Arial"/>
        </w:rPr>
      </w:pPr>
      <w:r w:rsidRPr="00653E50">
        <w:rPr>
          <w:rFonts w:ascii="Arial" w:hAnsi="Arial" w:cs="Arial"/>
        </w:rPr>
        <w:t xml:space="preserve">As may be expected in a new indicator designed primarily to work as a heuristic, many details of the method for calculating 3-30-300 are yet to be clarified and standardised. These are well-documented by Browning et al. (2023), and our experiences in calculating the metric in different ways and with different input data have highlighted how thresholds and definitions can produce somewhat different results. </w:t>
      </w:r>
      <w:proofErr w:type="spellStart"/>
      <w:r w:rsidRPr="00653E50">
        <w:rPr>
          <w:rFonts w:ascii="Arial" w:hAnsi="Arial" w:cs="Arial"/>
        </w:rPr>
        <w:t>Konijnendijk</w:t>
      </w:r>
      <w:proofErr w:type="spellEnd"/>
      <w:r w:rsidRPr="00653E50">
        <w:rPr>
          <w:rFonts w:ascii="Arial" w:hAnsi="Arial" w:cs="Arial"/>
        </w:rPr>
        <w:t xml:space="preserve"> is transparent that his proposed ‘rule’ is a heuristic metric that cannot possibly accommodate the diversity of benefits associated with trees and parks documented in the literature, nor the diversity of cities in which the benchmark might be applied; it simply aims to balance these findings to set a ‘rule of thumb’ benchmark. Nevertheless, this study has highlighted a few promising areas for development of the method. </w:t>
      </w:r>
    </w:p>
    <w:p w14:paraId="57E0EA6B" w14:textId="77777777" w:rsidR="00DC2E0F" w:rsidRPr="00653E50" w:rsidRDefault="00DC2E0F" w:rsidP="00DC2E0F">
      <w:pPr>
        <w:rPr>
          <w:rFonts w:ascii="Arial" w:hAnsi="Arial" w:cs="Arial"/>
        </w:rPr>
      </w:pPr>
      <w:r w:rsidRPr="00653E50">
        <w:rPr>
          <w:rFonts w:ascii="Arial" w:hAnsi="Arial" w:cs="Arial"/>
        </w:rPr>
        <w:t xml:space="preserve">The ‘300’ test is evidence-based, reflecting WHO guidelines for Europe </w:t>
      </w:r>
      <w:r w:rsidRPr="00653E50">
        <w:rPr>
          <w:rFonts w:ascii="Arial" w:hAnsi="Arial" w:cs="Arial"/>
        </w:rPr>
        <w:fldChar w:fldCharType="begin" w:fldLock="1"/>
      </w:r>
      <w:r w:rsidRPr="00653E50">
        <w:rPr>
          <w:rFonts w:ascii="Arial" w:hAnsi="Arial" w:cs="Arial"/>
        </w:rPr>
        <w:instrText>ADDIN CSL_CITATION {"citationItems":[{"id":"ITEM-1","itemData":{"DOI":"10.1177/1403494815615444","ISSN":"16511905","PMID":"26573907","abstract":"Aims: In this study, the aim was to develop and test an urban green space indicator for public health, as proposed by the World Health Organisation (WHO) Regional Office for Europe, in order to support health and environmental policies. Methods: We defined the indicator of green space accessibility as a proportion of an urban population living within a certain distance from a green space boundary. We developed a Geographic Information System (GIS)-based method and tested it in three case studies in Malmö, Sweden; Kaunas, Lithuania; and Utrecht, The Netherlands. Land use data in GIS from the Urban Atlas were combined with population data. Various population data formats, maximum distances to green spaces, minimum sizes of green spaces, and different definitions of green spaces were studied or discussed. Results: Our results demonstrated that with increasing size of green space and decreased distance to green space, the indicator value decreased. As compared to Malmö and Utrecht, a relatively bigger proportion of the Kaunas population had access to large green spaces, at both shorter and longer distances. Our results also showed that applying the method of spatially aggregated population data was an acceptable alternative to using individual data. Conclusions: Based on reviewing the literature and the case studies, a 300 m maximum linear distance to the boundary of urban green spaces of a minimum size of 1 hectare are recommended as the default options for the indicator. The indicator can serve as a proxy measure for assessing public accessibility to urban green spaces, to provide comparable data across Europe and stimulate policy actions that recognise the importance of green spaces for sustainable public health. © 2015, the Nordic Societies of Public Health. All rights reserved.","author":[{"dropping-particle":"","family":"Annerstedt Van Den Bosch","given":"Matilda","non-dropping-particle":"","parse-names":false,"suffix":""},{"dropping-particle":"","family":"Egorov","given":"Andrey I.","non-dropping-particle":"","parse-names":false,"suffix":""},{"dropping-particle":"","family":"Mudu","given":"Pierpaolo","non-dropping-particle":"","parse-names":false,"suffix":""},{"dropping-particle":"","family":"Uscila","given":"Valdas","non-dropping-particle":"","parse-names":false,"suffix":""},{"dropping-particle":"","family":"Barrdahl","given":"Maria","non-dropping-particle":"","parse-names":false,"suffix":""},{"dropping-particle":"","family":"Kruize","given":"Hanneke","non-dropping-particle":"","parse-names":false,"suffix":""},{"dropping-particle":"","family":"Kulinkina","given":"Alexandra","non-dropping-particle":"","parse-names":false,"suffix":""},{"dropping-particle":"","family":"Staatsen","given":"Brigit","non-dropping-particle":"","parse-names":false,"suffix":""},{"dropping-particle":"","family":"Swart","given":"Wim","non-dropping-particle":"","parse-names":false,"suffix":""},{"dropping-particle":"","family":"Zurlyte","given":"Ingrida","non-dropping-particle":"","parse-names":false,"suffix":""}],"container-title":"Scandinavian Journal of Public Health","id":"ITEM-1","issue":"2","issued":{"date-parts":[["2016"]]},"page":"159-167","title":"Development of an urban green space indicator and the public health rationale","type":"article-journal","volume":"44"},"uris":["http://www.mendeley.com/documents/?uuid=d25d4792-1a95-4cba-b8ed-311cac1e2679"]},{"id":"ITEM-2","itemData":{"DOI":"10.1016/j.cities.2023.104629","ISSN":"0264-2751","author":[{"dropping-particle":"","family":"Battisti","given":"Luca","non-dropping-particle":"","parse-names":false,"suffix":""},{"dropping-particle":"","family":"Giacco","given":"Giovanni","non-dropping-particle":"","parse-names":false,"suffix":""},{"dropping-particle":"","family":"Moraca","given":"Massimiliano","non-dropping-particle":"","parse-names":false,"suffix":""},{"dropping-particle":"","family":"Pettenati","given":"Giacomo","non-dropping-particle":"","parse-names":false,"suffix":""},{"dropping-particle":"","family":"Dansero","given":"Egidio","non-dropping-particle":"","parse-names":false,"suffix":""},{"dropping-particle":"","family":"Larcher","given":"Federica","non-dropping-particle":"","parse-names":false,"suffix":""},{"dropping-particle":"","family":"Forest","given":"Urban","non-dropping-particle":"","parse-names":false,"suffix":""}],"container-title":"Cities","id":"ITEM-2","issue":"June 2023","issued":{"date-parts":[["2024"]]},"page":"104629","publisher":"Elsevier Ltd","title":"Spatializing Urban Forests as Nature-based Solutions : a methodological proposal","type":"article-journal","volume":"144"},"uris":["http://www.mendeley.com/documents/?uuid=6ad09bd9-1ca2-43f4-abf2-ee179a7cdd73"]}],"mendeley":{"formattedCitation":"(Annerstedt Van Den Bosch et al., 2016; Battisti et al., 2024)","plainTextFormattedCitation":"(Annerstedt Van Den Bosch et al., 2016; Battisti et al., 2024)","previouslyFormattedCitation":"(Annerstedt Van Den Bosch et al., 2016; Battisti et al., 2024)"},"properties":{"noteIndex":0},"schema":"https://github.com/citation-style-language/schema/raw/master/csl-citation.json"}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(Annerstedt Van Den Bosch et al., 2016; Battisti et al., 2024)</w:t>
      </w:r>
      <w:r w:rsidRPr="00653E50">
        <w:rPr>
          <w:rFonts w:ascii="Arial" w:hAnsi="Arial" w:cs="Arial"/>
        </w:rPr>
        <w:fldChar w:fldCharType="end"/>
      </w:r>
      <w:r w:rsidRPr="00653E50">
        <w:rPr>
          <w:rFonts w:ascii="Arial" w:hAnsi="Arial" w:cs="Arial"/>
        </w:rPr>
        <w:t xml:space="preserve">, and it fits well in terms of heuristic ‘rhyme’ with the other tests. However, many other organisations plan to thresholds of 400m </w:t>
      </w:r>
      <w:r w:rsidRPr="00653E50">
        <w:rPr>
          <w:rFonts w:ascii="Arial" w:hAnsi="Arial" w:cs="Arial"/>
        </w:rPr>
        <w:fldChar w:fldCharType="begin" w:fldLock="1"/>
      </w:r>
      <w:r w:rsidRPr="00653E50">
        <w:rPr>
          <w:rFonts w:ascii="Arial" w:hAnsi="Arial" w:cs="Arial"/>
        </w:rPr>
        <w:instrText>ADDIN CSL_CITATION {"citationItems":[{"id":"ITEM-1","itemData":{"URL":"https://vpa.vic.gov.au/project/psp-guidelines/","accessed":{"date-parts":[["2024","1","29"]]},"author":[{"dropping-particle":"","family":"Victorian Planning Authority","given":"","non-dropping-particle":"","parse-names":false,"suffix":""}],"id":"ITEM-1","issued":{"date-parts":[["2021"]]},"title":"Precinct Structure Planning Guidelines","type":"webpage"},"uris":["http://www.mendeley.com/documents/?uuid=bffce926-2f81-35ed-bd41-7a290cb8978c"]}],"mendeley":{"formattedCitation":"(Victorian Planning Authority, 2021)","plainTextFormattedCitation":"(Victorian Planning Authority, 2021)","previouslyFormattedCitation":"(Victorian Planning Authority, 2021)"},"properties":{"noteIndex":0},"schema":"https://github.com/citation-style-language/schema/raw/master/csl-citation.json"}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(Victorian Planning Authority, 2021)</w:t>
      </w:r>
      <w:r w:rsidRPr="00653E50">
        <w:rPr>
          <w:rFonts w:ascii="Arial" w:hAnsi="Arial" w:cs="Arial"/>
        </w:rPr>
        <w:fldChar w:fldCharType="end"/>
      </w:r>
      <w:r w:rsidRPr="00653E50">
        <w:rPr>
          <w:rFonts w:ascii="Arial" w:hAnsi="Arial" w:cs="Arial"/>
        </w:rPr>
        <w:t xml:space="preserve"> or 500m </w:t>
      </w:r>
      <w:r w:rsidRPr="00653E50">
        <w:rPr>
          <w:rFonts w:ascii="Arial" w:hAnsi="Arial" w:cs="Arial"/>
        </w:rPr>
        <w:fldChar w:fldCharType="begin" w:fldLock="1"/>
      </w:r>
      <w:r w:rsidRPr="00653E50">
        <w:rPr>
          <w:rFonts w:ascii="Arial" w:hAnsi="Arial" w:cs="Arial"/>
        </w:rPr>
        <w:instrText>ADDIN CSL_CITATION {"citationItems":[{"id":"ITEM-1","itemData":{"URL":"https://www.darebin.vic.gov.au/About-Council/Policies-and-transparency/Council-policies-and-strategies","accessed":{"date-parts":[["2024","1","29"]]},"author":[{"dropping-particle":"","family":"City of Darebin","given":"","non-dropping-particle":"","parse-names":false,"suffix":""}],"id":"ITEM-1","issued":{"date-parts":[["2019"]]},"title":"Breathing Space: City of Darebin Open Space Strategy","type":"webpage"},"uris":["http://www.mendeley.com/documents/?uuid=42d43907-bf65-3fef-8ca1-8bd2a6988b60"]}],"mendeley":{"formattedCitation":"(City of Darebin, 2019)","plainTextFormattedCitation":"(City of Darebin, 2019)","previouslyFormattedCitation":"(City of Darebin, 2019)"},"properties":{"noteIndex":0},"schema":"https://github.com/citation-style-language/schema/raw/master/csl-citation.json"}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(City of Darebin, 2019)</w:t>
      </w:r>
      <w:r w:rsidRPr="00653E50">
        <w:rPr>
          <w:rFonts w:ascii="Arial" w:hAnsi="Arial" w:cs="Arial"/>
        </w:rPr>
        <w:fldChar w:fldCharType="end"/>
      </w:r>
      <w:r w:rsidRPr="00653E50">
        <w:rPr>
          <w:rFonts w:ascii="Arial" w:hAnsi="Arial" w:cs="Arial"/>
        </w:rPr>
        <w:t xml:space="preserve">, and it may be argued that a network of larger parks with 400-500m walking distances may not meet the ‘300’ rule but could provide better overall amenity. However, even if this benchmark was eased to 500m, our results show that all cities except Singapore would still have at least one-third of buildings that fail the test. Similarly, the minimum size of parks adopted in this study (0.5ha) could be contested, either for being too small (e.g. </w:t>
      </w:r>
      <w:proofErr w:type="spellStart"/>
      <w:r w:rsidRPr="00653E50">
        <w:rPr>
          <w:rFonts w:ascii="Arial" w:hAnsi="Arial" w:cs="Arial"/>
        </w:rPr>
        <w:t>Konijnendijk</w:t>
      </w:r>
      <w:proofErr w:type="spellEnd"/>
      <w:r w:rsidRPr="00653E50">
        <w:rPr>
          <w:rFonts w:ascii="Arial" w:hAnsi="Arial" w:cs="Arial"/>
        </w:rPr>
        <w:t xml:space="preserve"> (2022) notes that the WHO proposes 1ha) or for excluding very small parks that can still support some important recreational needs in dense areas </w:t>
      </w:r>
      <w:r w:rsidRPr="00653E50">
        <w:rPr>
          <w:rFonts w:ascii="Arial" w:hAnsi="Arial" w:cs="Arial"/>
        </w:rPr>
        <w:fldChar w:fldCharType="begin" w:fldLock="1"/>
      </w:r>
      <w:r w:rsidRPr="00653E50">
        <w:rPr>
          <w:rFonts w:ascii="Arial" w:hAnsi="Arial" w:cs="Arial"/>
        </w:rPr>
        <w:instrText>ADDIN CSL_CITATION {"citationItems":[{"id":"ITEM-1","itemData":{"DOI":"10.1016/j.ufug.2021.126985","ISSN":"16108167","abstract":"This paper presents a summary of empirical evidence drawn from a literature review on the factors contributing to people using the pocket parks. Initial findings indicate that pocket parks play a significant role by providing access to nature for individuals living in urban areas. This paper provides an evidence-based approach to the usage and benefits of pocket parks by applying the SE-Model approach. This review includes 15 papers on pocket parks, obtained from electronic journal databases such as Scopus, Science Direct, Springer Link, SAGE Journals and Google Scholar sort by relevance containing key words such as pocket parks, vest-pocket parks, small public urban green space, small urban parks, use as well as usage of pocket parks. Selection was restricted to peer-reviewed publications related to pocket parks usage. The authors analysed these literatures for its sample characteristics, data collection, sampling method, data analysis and the main study finding. This review reveals an increase in research on the usage of pocket parks published in peer-reviewed journals in the recent years and a strong geographic bias. The selected studies have consistently reported on the importance of pocket parks for mental well-being, predominantly, followed by social benefits, however limited study approached the potential of pocket parks for physical activities. Physical components (green ground cover, bushes, trees, flower beds, water features) and Perceived Environment (preference for greener view; calm atmosphere; safety) are mostly reported to be highly associated with human health.","author":[{"dropping-particle":"","family":"Balai Kerishnan","given":"Praveena","non-dropping-particle":"","parse-names":false,"suffix":""},{"dropping-particle":"","family":"Maruthaveeran","given":"Sreetheran","non-dropping-particle":"","parse-names":false,"suffix":""}],"container-title":"Urban Forestry and Urban Greening","id":"ITEM-1","issue":"April 2020","issued":{"date-parts":[["2021"]]},"page":"126985","publisher":"Elsevier GmbH","title":"Factors contributing to the usage of pocket parks―A review of the evidence","type":"article-journal","volume":"58"},"uris":["http://www.mendeley.com/documents/?uuid=95dda787-9f91-4a23-adf0-2ccf3827f837"]}],"mendeley":{"formattedCitation":"(Balai Kerishnan &amp; Maruthaveeran, 2021)","plainTextFormattedCitation":"(Balai Kerishnan &amp; Maruthaveeran, 2021)","previouslyFormattedCitation":"(Balai Kerishnan &amp; Maruthaveeran, 2021)"},"properties":{"noteIndex":0},"schema":"https://github.com/citation-style-language/schema/raw/master/csl-citation.json"}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(Balai Kerishnan &amp; Maruthaveeran, 2021)</w:t>
      </w:r>
      <w:r w:rsidRPr="00653E50">
        <w:rPr>
          <w:rFonts w:ascii="Arial" w:hAnsi="Arial" w:cs="Arial"/>
        </w:rPr>
        <w:fldChar w:fldCharType="end"/>
      </w:r>
      <w:r w:rsidRPr="00653E50">
        <w:rPr>
          <w:rFonts w:ascii="Arial" w:hAnsi="Arial" w:cs="Arial"/>
        </w:rPr>
        <w:t xml:space="preserve">; as noted in our tests in New York, inclusion of all the city’s parks (regardless of size) meant that 21% more of the city’s buildings passed the ‘300’ test. </w:t>
      </w:r>
    </w:p>
    <w:p w14:paraId="6A8DEA1A" w14:textId="77777777" w:rsidR="00DC2E0F" w:rsidRPr="00653E50" w:rsidRDefault="00DC2E0F" w:rsidP="00DC2E0F">
      <w:pPr>
        <w:rPr>
          <w:rFonts w:ascii="Arial" w:hAnsi="Arial" w:cs="Arial"/>
        </w:rPr>
      </w:pPr>
      <w:r w:rsidRPr="00653E50">
        <w:rPr>
          <w:rFonts w:ascii="Arial" w:hAnsi="Arial" w:cs="Arial"/>
        </w:rPr>
        <w:t xml:space="preserve">The ‘3’ test also has a few important uncertainties which highlight both the data requirements of large-scale operation of this test, and a need for some development of the test itself. It is not firmly established that exactly three trees is essential; the importance of views to nature is scientifically established, but the specific test of 3 trees was chosen to ‘rhyme’ with the more evidence-based ‘30’ and ‘300’ tests </w:t>
      </w:r>
      <w:r w:rsidRPr="00653E50">
        <w:rPr>
          <w:rFonts w:ascii="Arial" w:hAnsi="Arial" w:cs="Arial"/>
        </w:rPr>
        <w:fldChar w:fldCharType="begin" w:fldLock="1"/>
      </w:r>
      <w:r w:rsidRPr="00653E50">
        <w:rPr>
          <w:rFonts w:ascii="Arial" w:hAnsi="Arial" w:cs="Arial"/>
        </w:rPr>
        <w:instrText>ADDIN CSL_CITATION {"citationItems":[{"id":"ITEM-1","itemData":{"DOI":"10.1007/s11676-022-01523-z","ISBN":"0123456789","ISSN":"19930607","abstract":"The important contributions of urban trees and green spaces to for example, climate moderation and public health have been recognized. This paper discusses guidelines and norms that promote the benefits of viewing green, living amongst green, and having easy access to green spaces for recreational use. Having trees and other vegetation in sight from one’s home, place of work, or school has important mental health and performance benefits. Local tree canopy cover is positively associated with cooling and other aspects of climate moderation. With public green spaces in proximity to one’s home stimulates regular use of these areas and results in positive impacts on mental, physical, and social health. After analyzing existing guidelines and rules for urban green space planning and provision, a new, comprehensive guideline is presented, known as the ‘3–30–300 rule’ for urban forestry. This guideline aims to provide equitable access to trees and green spaces and their benefits by setting the thresholds of having at least 3 well-established trees in view from every home, school, and place of work, no less than a 30% tree canopy in every neighbourhood; and no more than 300 m to the nearest public green space from every residence. Current implementation of this new guideline is discussed, as well as the advantages and disadvantages of using this evidence-based but also clear and simple rules.","author":[{"dropping-particle":"","family":"Konijnendijk","given":"Cecil C.","non-dropping-particle":"","parse-names":false,"suffix":""}],"container-title":"Journal of Forestry Research","id":"ITEM-1","issued":{"date-parts":[["2022"]]},"publisher":"Springer Nature Singapore","title":"Evidence-based guidelines for greener, healthier, more resilient neighbourhoods: Introducing the 3–30–300 rule","type":"article-journal"},"uris":["http://www.mendeley.com/documents/?uuid=1da3b3f8-9198-4bc3-934a-e21f9f7a6ec4"]}],"mendeley":{"formattedCitation":"(Konijnendijk, 2022)","plainTextFormattedCitation":"(Konijnendijk, 2022)","previouslyFormattedCitation":"(Konijnendijk, 2022)"},"properties":{"noteIndex":0},"schema":"https://github.com/citation-style-language/schema/raw/master/csl-citation.json"}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(Konijnendijk, 2022)</w:t>
      </w:r>
      <w:r w:rsidRPr="00653E50">
        <w:rPr>
          <w:rFonts w:ascii="Arial" w:hAnsi="Arial" w:cs="Arial"/>
        </w:rPr>
        <w:fldChar w:fldCharType="end"/>
      </w:r>
      <w:r w:rsidRPr="00653E50">
        <w:rPr>
          <w:rFonts w:ascii="Arial" w:hAnsi="Arial" w:cs="Arial"/>
        </w:rPr>
        <w:t xml:space="preserve">. It is also clear when a tree is too small or too distant to be counted. </w:t>
      </w:r>
      <w:proofErr w:type="spellStart"/>
      <w:r w:rsidRPr="00653E50">
        <w:rPr>
          <w:rFonts w:ascii="Arial" w:hAnsi="Arial" w:cs="Arial"/>
        </w:rPr>
        <w:t>Konijnendijk</w:t>
      </w:r>
      <w:proofErr w:type="spellEnd"/>
      <w:r w:rsidRPr="00653E50">
        <w:rPr>
          <w:rFonts w:ascii="Arial" w:hAnsi="Arial" w:cs="Arial"/>
        </w:rPr>
        <w:t xml:space="preserve"> (2022) does refer to a study by a Dutch consulting firm which defined the threshold for ‘established’ trees as an individual canopy of 25m</w:t>
      </w:r>
      <w:r w:rsidRPr="00653E50">
        <w:rPr>
          <w:rFonts w:ascii="Arial" w:hAnsi="Arial" w:cs="Arial"/>
          <w:vertAlign w:val="superscript"/>
        </w:rPr>
        <w:t>2</w:t>
      </w:r>
      <w:r w:rsidRPr="00653E50">
        <w:rPr>
          <w:rFonts w:ascii="Arial" w:hAnsi="Arial" w:cs="Arial"/>
        </w:rPr>
        <w:t xml:space="preserve">. Similarly, the distance at which a view to a tree counts or does not count is not set, but the same study proposed 30m, which is what our study used. While very useful as initial ballpark figures, these thresholds may be a suitable focus for further evidence-based refinement. </w:t>
      </w:r>
    </w:p>
    <w:p w14:paraId="615AE27A" w14:textId="77777777" w:rsidR="00DC2E0F" w:rsidRPr="00653E50" w:rsidRDefault="00DC2E0F" w:rsidP="00DC2E0F">
      <w:pPr>
        <w:rPr>
          <w:rFonts w:ascii="Arial" w:hAnsi="Arial" w:cs="Arial"/>
        </w:rPr>
      </w:pPr>
      <w:r w:rsidRPr="00653E50">
        <w:rPr>
          <w:rFonts w:ascii="Arial" w:hAnsi="Arial" w:cs="Arial"/>
        </w:rPr>
        <w:t>The data limitations we encountered that prevented a minimum tree size in the ’3’ test highlights the need for high-quality data if the test is to be strictly applied. As we observed in New York, which did have suitable data, the application of a 25m</w:t>
      </w:r>
      <w:r w:rsidRPr="00653E50">
        <w:rPr>
          <w:rFonts w:ascii="Arial" w:hAnsi="Arial" w:cs="Arial"/>
          <w:vertAlign w:val="superscript"/>
        </w:rPr>
        <w:t>2</w:t>
      </w:r>
      <w:r w:rsidRPr="00653E50">
        <w:rPr>
          <w:rFonts w:ascii="Arial" w:hAnsi="Arial" w:cs="Arial"/>
        </w:rPr>
        <w:t xml:space="preserve"> minimum canopy changed ‘3’ test results for the city significantly (an additional quarter of all buildings failed the test). Individual tree point data with canopy dimensions for each tree may become more accessible in coming years, as this is an area of ongoing methodological refinement </w:t>
      </w:r>
      <w:r w:rsidRPr="00653E50">
        <w:rPr>
          <w:rFonts w:ascii="Arial" w:hAnsi="Arial" w:cs="Arial"/>
        </w:rPr>
        <w:fldChar w:fldCharType="begin" w:fldLock="1"/>
      </w:r>
      <w:r w:rsidRPr="00653E50">
        <w:rPr>
          <w:rFonts w:ascii="Arial" w:hAnsi="Arial" w:cs="Arial"/>
        </w:rPr>
        <w:instrText>ADDIN CSL_CITATION {"citationItems":[{"id":"ITEM-1","itemData":{"DOI":"10.1007/s40725-023-00184-3","ISBN":"0123456789","ISSN":"21986436","abstract":"Purpose of Review: Crown detection and measurement at the individual tree level provide detailed information for accurate forest management. To efficiently acquire such information, approaches to conduct individual tree detection and crown delineation (ITDCD) using remotely sensed data have been proposed. In recent years, deep learning, specifically convolutional neural networks (CNN), has shown potential in this field. This article provides a systematic review of the studies that used CNN for ITDCD and identifies major trends and research gaps across six perspectives: accuracy assessment methods, data types, platforms and resolutions, forest environments, CNN models, and training strategies and techniques. Recent Findings: CNN models were mostly applied to high-resolution red–green–blue (RGB) images. When compared with other state-of-the-art approaches, CNN models showed significant improvements in accuracy. One study reported an increase in detection accuracy of over 11%, while two studies reported increases in F1-score of over 16%. However, model performance varied across different forest environments and data types. Several factors including data scarcity, model selection, and training approaches affected ITDCD results. Summary: Future studies could (1) explore data fusion approaches to take advantage of the characteristics of different types of remote sensing data, (2) further improve data efficiency with customised sample approaches and synthetic samples, (3) explore the potential of smaller CNN models and compare their learning efficiency with commonly used models, and (4) evaluate impacts of pre-training and parameter tunings.","author":[{"dropping-particle":"","family":"Zhao","given":"Haotian","non-dropping-particle":"","parse-names":false,"suffix":""},{"dropping-particle":"","family":"Morgenroth","given":"Justin","non-dropping-particle":"","parse-names":false,"suffix":""},{"dropping-particle":"","family":"Pearse","given":"Grant","non-dropping-particle":"","parse-names":false,"suffix":""},{"dropping-particle":"","family":"Schindler","given":"Jan","non-dropping-particle":"","parse-names":false,"suffix":""}],"container-title":"Current Forestry Reports","id":"ITEM-1","issue":"3","issued":{"date-parts":[["2023"]]},"page":"149-170","publisher":"Springer International Publishing","title":"A Systematic Review of Individual Tree Crown Detection and Delineation with Convolutional Neural Networks (CNN)","type":"article-journal","volume":"9"},"uris":["http://www.mendeley.com/documents/?uuid=a952b87d-5dad-478e-8baa-f5189b468811"]}],"mendeley":{"formattedCitation":"(Zhao et al., 2023)","plainTextFormattedCitation":"(Zhao et al., 2023)","previouslyFormattedCitation":"(Zhao et al., 2023)"},"properties":{"noteIndex":0},"schema":"https://github.com/citation-style-language/schema/raw/master/csl-citation.json"}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(Zhao et al., 2023)</w:t>
      </w:r>
      <w:r w:rsidRPr="00653E50">
        <w:rPr>
          <w:rFonts w:ascii="Arial" w:hAnsi="Arial" w:cs="Arial"/>
        </w:rPr>
        <w:fldChar w:fldCharType="end"/>
      </w:r>
      <w:r w:rsidRPr="00653E50">
        <w:rPr>
          <w:rFonts w:ascii="Arial" w:hAnsi="Arial" w:cs="Arial"/>
        </w:rPr>
        <w:t xml:space="preserve">. </w:t>
      </w:r>
    </w:p>
    <w:p w14:paraId="76AF45E6" w14:textId="60132E04" w:rsidR="00DC2E0F" w:rsidRPr="00653E50" w:rsidRDefault="00DC2E0F" w:rsidP="00DC2E0F">
      <w:pPr>
        <w:rPr>
          <w:rFonts w:ascii="Arial" w:hAnsi="Arial" w:cs="Arial"/>
        </w:rPr>
      </w:pPr>
      <w:r w:rsidRPr="00653E50">
        <w:rPr>
          <w:rFonts w:ascii="Arial" w:hAnsi="Arial" w:cs="Arial"/>
        </w:rPr>
        <w:t xml:space="preserve">The GIS-based assessment method we developed to enable the ‘3’ test at a metropolitan scale offers significant efficiency advantages over the practical challenges of surveying </w:t>
      </w:r>
      <w:r w:rsidRPr="00653E50">
        <w:rPr>
          <w:rFonts w:ascii="Arial" w:hAnsi="Arial" w:cs="Arial"/>
        </w:rPr>
        <w:lastRenderedPageBreak/>
        <w:t xml:space="preserve">individual residents about their views, which was advocated by Browning et al (2024). Battisti et al. (2024) called for a more detailed GIS method to calculate this test at fine scales, and our study demonstrates a way to do this, albeit while introducing a margin of error, as discussed in the limitations outlined in Supplementary </w:t>
      </w:r>
      <w:r w:rsidR="00653E50" w:rsidRPr="00653E50">
        <w:rPr>
          <w:rFonts w:ascii="Arial" w:hAnsi="Arial" w:cs="Arial"/>
        </w:rPr>
        <w:t>7</w:t>
      </w:r>
      <w:r w:rsidRPr="00653E50">
        <w:rPr>
          <w:rFonts w:ascii="Arial" w:hAnsi="Arial" w:cs="Arial"/>
        </w:rPr>
        <w:t>. Working to reduce these limitations – for example using a finer analysis based on individual dwellings or windows instead of buildings – would enhance the precision of the ‘3’ test.</w:t>
      </w:r>
    </w:p>
    <w:p w14:paraId="3D1971C1" w14:textId="77777777" w:rsidR="00DC2E0F" w:rsidRPr="00653E50" w:rsidRDefault="00DC2E0F" w:rsidP="00DC2E0F">
      <w:pPr>
        <w:rPr>
          <w:rFonts w:ascii="Arial" w:hAnsi="Arial" w:cs="Arial"/>
        </w:rPr>
      </w:pPr>
      <w:r w:rsidRPr="00653E50">
        <w:rPr>
          <w:rFonts w:ascii="Arial" w:hAnsi="Arial" w:cs="Arial"/>
        </w:rPr>
        <w:t xml:space="preserve">Sensitivity testing of the ‘30’ test to neighbourhood definition in New York did reveal significant variances in the units used. It may be best to ensure consistency by simply counting canopy within a set </w:t>
      </w:r>
      <w:proofErr w:type="spellStart"/>
      <w:r w:rsidRPr="00653E50">
        <w:rPr>
          <w:rFonts w:ascii="Arial" w:hAnsi="Arial" w:cs="Arial"/>
        </w:rPr>
        <w:t>euclidean</w:t>
      </w:r>
      <w:proofErr w:type="spellEnd"/>
      <w:r w:rsidRPr="00653E50">
        <w:rPr>
          <w:rFonts w:ascii="Arial" w:hAnsi="Arial" w:cs="Arial"/>
        </w:rPr>
        <w:t xml:space="preserve"> distance of each property, rather than in an unrelated spatial unit which varies strongly between definitions. </w:t>
      </w:r>
    </w:p>
    <w:p w14:paraId="142DD3DB" w14:textId="77777777" w:rsidR="00DC2E0F" w:rsidRPr="00653E50" w:rsidRDefault="00DC2E0F" w:rsidP="00DC2E0F">
      <w:pPr>
        <w:rPr>
          <w:rFonts w:ascii="Arial" w:hAnsi="Arial" w:cs="Arial"/>
        </w:rPr>
      </w:pPr>
      <w:r w:rsidRPr="00653E50">
        <w:rPr>
          <w:rFonts w:ascii="Arial" w:hAnsi="Arial" w:cs="Arial"/>
        </w:rPr>
        <w:t xml:space="preserve">Given the computational demands of calculating this rule at the city scale, and its required data inputs, a rigorous calculation of the 3-30-300 rule may require cities to invest in high-quality tree inventories, and then seek the support of GIS specialists with access to powerful computers. Where this is not feasible, simplifying the calculation of 3-30-300 may be necessary. Our tests revealed that the use of buffers for the ‘3’ and ‘300’ tests can produce results much more quickly than using more rigorous techniques, and for users seeking a ‘ballpark’ estimate of green infrastructure adequacy the margins of overestimation associated with buffer techniques may be acceptable. We do caution that in highly circuitous street layouts with few intersections (e.g. </w:t>
      </w:r>
      <w:r w:rsidRPr="00653E50">
        <w:rPr>
          <w:rFonts w:ascii="Arial" w:hAnsi="Arial" w:cs="Arial"/>
          <w:i/>
          <w:iCs/>
        </w:rPr>
        <w:t>cul-de-sac</w:t>
      </w:r>
      <w:r w:rsidRPr="00653E50">
        <w:rPr>
          <w:rFonts w:ascii="Arial" w:hAnsi="Arial" w:cs="Arial"/>
        </w:rPr>
        <w:t xml:space="preserve"> suburbia) the divergence between results from buffer analysis and network analysis may be quite severe as these street designs can significantly increase access distances. Labib et al. </w:t>
      </w:r>
      <w:r w:rsidRPr="00653E50">
        <w:rPr>
          <w:rFonts w:ascii="Arial" w:hAnsi="Arial" w:cs="Arial"/>
        </w:rPr>
        <w:fldChar w:fldCharType="begin" w:fldLock="1"/>
      </w:r>
      <w:r w:rsidRPr="00653E50">
        <w:rPr>
          <w:rFonts w:ascii="Arial" w:hAnsi="Arial" w:cs="Arial"/>
        </w:rPr>
        <w:instrText>ADDIN CSL_CITATION {"citationItems":[{"id":"ITEM-1","itemData":{"DOI":"10.1016/j.envres.2019.108869","ISSN":"10960953","PMID":"31722804","abstract":"Background: There is an increasing volume of literature investigating the links between urban environments and human health, much of which involves spatial conceptualisations and research designs involving various aspects of geographical information science. Despite intensifying research interest, there has been little systematic investigation of pragmatic methodological concerns, such as how studies are realised in terms of the types of data that are gathered and the analytical techniques that are applied, both of which have the potential to impact results. The aim of this systematic review is, therefore, to understand how spatial scale, datasets, methods, and analytics are currently applied in studies investigating the relationship between green and blue spaces and human health in urban areas. Method: We systematically reviewed 93 articles following PRISMA protocol, extracted information regarding different spatial dimensions, and synthesised them in relation to various health indicators. Results and discussion: We found a preponderance of the use of neighbourhood-scale in these studies, and a majority of the studies utilised land-use and vegetation indices gleaned from moderate resolution satellite imagery. We also observed the frequent adoption of fixed spatial units for measuring exposure to green and blue spaces based on physical proximity, typically ranging between 30 and 5000 m. The conceptual frameworks of the studies (e.g., the focus on physical vs. mental health or the definition of exposure to green space) were found to have an influence on the strength of association between exposure and health outcomes. Additionally, the strength and significance of associations also varied by study design, something which has not been considered systematically. Conclusion: On the basis of our findings, we propose a set of recommendations for standardised protocols and methods for the evaluation of the impact of green-blue spaces on health. Our analysis suggests that future studies should consider conducting analyses at finer spatial scales and employing multiple exposure assessment methods to achieve a comprehensive and comparable evaluation of the association between greenspace and health along multiple pathways.","author":[{"dropping-particle":"","family":"Labib","given":"S. M.","non-dropping-particle":"","parse-names":false,"suffix":""},{"dropping-particle":"","family":"Lindley","given":"Sarah","non-dropping-particle":"","parse-names":false,"suffix":""},{"dropping-particle":"","family":"Huck","given":"Jonny J.","non-dropping-particle":"","parse-names":false,"suffix":""}],"container-title":"Environmental Research","id":"ITEM-1","issue":"May 2019","issued":{"date-parts":[["2020"]]},"page":"108869","publisher":"Elsevier Inc.","title":"Spatial dimensions of the influence of urban green-blue spaces on human health: A systematic review","type":"article-journal","volume":"180"},"uris":["http://www.mendeley.com/documents/?uuid=3b88231e-c5fe-42b7-b60b-41454579a54a"]}],"mendeley":{"formattedCitation":"(Labib et al., 2020)","manualFormatting":"(2020)","plainTextFormattedCitation":"(Labib et al., 2020)","previouslyFormattedCitation":"(Labib et al., 2020)"},"properties":{"noteIndex":0},"schema":"https://github.com/citation-style-language/schema/raw/master/csl-citation.json"}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(2020)</w:t>
      </w:r>
      <w:r w:rsidRPr="00653E50">
        <w:rPr>
          <w:rFonts w:ascii="Arial" w:hAnsi="Arial" w:cs="Arial"/>
        </w:rPr>
        <w:fldChar w:fldCharType="end"/>
      </w:r>
      <w:r w:rsidRPr="00653E50">
        <w:rPr>
          <w:rFonts w:ascii="Arial" w:hAnsi="Arial" w:cs="Arial"/>
        </w:rPr>
        <w:t xml:space="preserve"> demonstrates how buffering and network analysis can produce quite different extents of cover. </w:t>
      </w:r>
    </w:p>
    <w:p w14:paraId="3D252AC3" w14:textId="77777777" w:rsidR="00DC2E0F" w:rsidRPr="00653E50" w:rsidRDefault="00DC2E0F" w:rsidP="00DC2E0F">
      <w:pPr>
        <w:rPr>
          <w:rFonts w:ascii="Arial" w:hAnsi="Arial" w:cs="Arial"/>
        </w:rPr>
      </w:pPr>
      <w:r w:rsidRPr="00653E50">
        <w:rPr>
          <w:rFonts w:ascii="Arial" w:hAnsi="Arial" w:cs="Arial"/>
        </w:rPr>
        <w:t xml:space="preserve">With these methodological frontiers noted, we also see the potential for diminishing returns in endless technical refinement, particularly of a heuristic measure like 3-30-300. Metrics do not need to be perfect to be influential; for example Santamour’s 10-20-30 rule for tree diversity is noted as being based on ‘relatively little empirical evidence’ </w:t>
      </w:r>
      <w:r w:rsidRPr="00653E50">
        <w:rPr>
          <w:rFonts w:ascii="Arial" w:hAnsi="Arial" w:cs="Arial"/>
        </w:rPr>
        <w:fldChar w:fldCharType="begin" w:fldLock="1"/>
      </w:r>
      <w:r w:rsidRPr="00653E50">
        <w:rPr>
          <w:rFonts w:ascii="Arial" w:hAnsi="Arial" w:cs="Arial"/>
        </w:rPr>
        <w:instrText>ADDIN CSL_CITATION {"citationItems":[{"id":"ITEM-1","itemData":{"DOI":"10.1016/j.ufug.2021.127099","ISSN":"16108167","abstract":"Tree diversity, on a species-, genus-, and family-level, is an important factor in securing healthy urban forests and providing ecosystem services for billions of city dwellers. Using open-source data on global tree inventories, this study examines (1) the diversity of species, genera, and family of urban street trees in eight cities internationally; (2) how they score on diversity benchmarks and indices; and (3) the diversity variation inside and outside of cities’ centers. We hypothesized most cities would score poorly on diversity benchmarks and spatial patterns in species composition would exist, as illustrated by established relationships between urban density and urban tree diversity. Results indicate city centers were less likely to approach the proposed diversity benchmarks than outside the city center. Overall, both Shannon and Simpson diversity indices show greater diversity outside of the city center, especially at the species-level. Understanding street tree diversity and spatial variation patterns across cities internationally can offer needed evidence to back up heuristic benchmarks. The methodology and open-source data used in this study are intended to enable practitioners better target tree diversity efforts.","author":[{"dropping-particle":"","family":"Galle","given":"Nadina J.","non-dropping-particle":"","parse-names":false,"suffix":""},{"dropping-particle":"","family":"Halpern","given":"Dylan","non-dropping-particle":"","parse-names":false,"suffix":""},{"dropping-particle":"","family":"Nitoslawski","given":"Sophie","non-dropping-particle":"","parse-names":false,"suffix":""},{"dropping-particle":"","family":"Duarte","given":"Fábio","non-dropping-particle":"","parse-names":false,"suffix":""},{"dropping-particle":"","family":"Ratti","given":"Carlo","non-dropping-particle":"","parse-names":false,"suffix":""},{"dropping-particle":"","family":"Pilla","given":"Francesco","non-dropping-particle":"","parse-names":false,"suffix":""}],"container-title":"Urban Forestry and Urban Greening","id":"ITEM-1","issued":{"date-parts":[["2021"]]},"title":"Mapping the diversity of street tree inventories across eight cities internationally using open data","type":"article-journal","volume":"61"},"uris":["http://www.mendeley.com/documents/?uuid=656f50d4-20e1-46cc-a02a-9daa6e5be8ef"]}],"mendeley":{"formattedCitation":"(Galle et al., 2021)","manualFormatting":"(Galle et al., 2021, p.2)","plainTextFormattedCitation":"(Galle et al., 2021)","previouslyFormattedCitation":"(Galle et al., 2021)"},"properties":{"noteIndex":0},"schema":"https://github.com/citation-style-language/schema/raw/master/csl-citation.json"}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(Galle et al., 2021, p.2)</w:t>
      </w:r>
      <w:r w:rsidRPr="00653E50">
        <w:rPr>
          <w:rFonts w:ascii="Arial" w:hAnsi="Arial" w:cs="Arial"/>
        </w:rPr>
        <w:fldChar w:fldCharType="end"/>
      </w:r>
      <w:r w:rsidRPr="00653E50">
        <w:rPr>
          <w:rFonts w:ascii="Arial" w:hAnsi="Arial" w:cs="Arial"/>
        </w:rPr>
        <w:t xml:space="preserve">. Metrics of liveability succeed in generating headlines annually by ranking cities globally, despite being widely criticised for being opaque in their methods and sources as well as potentially harmful in the issues they conceal. This highlights how important it is that the discursive power of an engagingly-framed measurement is matched by appropriately selected and calculated component measures, to ensure it promotes genuinely useful policy action and avoids perverse outcomes </w:t>
      </w:r>
      <w:r w:rsidRPr="00653E50">
        <w:rPr>
          <w:rFonts w:ascii="Arial" w:hAnsi="Arial" w:cs="Arial"/>
        </w:rPr>
        <w:fldChar w:fldCharType="begin" w:fldLock="1"/>
      </w:r>
      <w:r w:rsidRPr="00653E50">
        <w:rPr>
          <w:rFonts w:ascii="Arial" w:hAnsi="Arial" w:cs="Arial"/>
        </w:rPr>
        <w:instrText>ADDIN CSL_CITATION {"citationItems":[{"id":"ITEM-1","itemData":{"DOI":"10.1177/0042098018804759","ISSN":"1360063X","abstract":"The notion of ‘liveability’ has endured for over 50 years within policy discourses, shaping urban strategy and planning across the world. This Debates paper examines the current state of liveability discourse. Liveability is unpacked to consider the rhetorical work that it does to frame urban problems, select and order concepts and build narratives that shape policy action. Liveability discourse has a dual role: it defines normative goals for a city and also reifies and demands particular forms of expert knowledge to justify and maintain its discursive power. This power is created by connecting the vague rhetoric of the ‘liveable city’ to expertise represented in liveability rankings and indicators. The experiences of apparently ‘liveable’ cities show how liveability discourse creates a representation of the city that is in contrast to the experience of many residents. The use of aggregate metrics and reliance on indices generated from undisclosed data sources and ‘expert judgement’ obscures the differentiated quality of life and everyday experience for urban populations. Therefore, liveability discourse has exerted and maintained stronger discursive power to undermine urban livelihoods than to improve them, due to the phenomena and qualities that it conceals. Liveability’s distinct type of discursive power must be recognised and mobilised to support a counter-narrative that reconnects urban policy with everyday urban life.","author":[{"dropping-particle":"","family":"McArthur","given":"Jenny","non-dropping-particle":"","parse-names":false,"suffix":""},{"dropping-particle":"","family":"Robin","given":"Enora","non-dropping-particle":"","parse-names":false,"suffix":""}],"container-title":"Urban Studies","id":"ITEM-1","issue":"9","issued":{"date-parts":[["2019"]]},"page":"1711-1728","title":"Victims of their own (definition of) success: Urban discourse and expert knowledge production in the Liveable City","type":"article-journal","volume":"56"},"uris":["http://www.mendeley.com/documents/?uuid=ee471475-bcbb-4339-a1ff-74bc30f7ee91"]}],"mendeley":{"formattedCitation":"(McArthur &amp; Robin, 2019)","plainTextFormattedCitation":"(McArthur &amp; Robin, 2019)","previouslyFormattedCitation":"(McArthur &amp; Robin, 2019)"},"properties":{"noteIndex":0},"schema":"https://github.com/citation-style-language/schema/raw/master/csl-citation.json"}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(McArthur &amp; Robin, 2019)</w:t>
      </w:r>
      <w:r w:rsidRPr="00653E50">
        <w:rPr>
          <w:rFonts w:ascii="Arial" w:hAnsi="Arial" w:cs="Arial"/>
        </w:rPr>
        <w:fldChar w:fldCharType="end"/>
      </w:r>
      <w:r w:rsidRPr="00653E50">
        <w:rPr>
          <w:rFonts w:ascii="Arial" w:hAnsi="Arial" w:cs="Arial"/>
        </w:rPr>
        <w:t xml:space="preserve">. While 3-30-300 certainly could be calculated with greater precision, and this is a valid endeavour, these refinements should focus on ensuring enough precision for policy impact rather than perfection. </w:t>
      </w:r>
    </w:p>
    <w:p w14:paraId="7E90BCCC" w14:textId="77777777" w:rsidR="00DC2E0F" w:rsidRPr="00653E50" w:rsidRDefault="00DC2E0F">
      <w:pPr>
        <w:rPr>
          <w:rFonts w:ascii="Arial" w:eastAsiaTheme="majorEastAsia" w:hAnsi="Arial" w:cs="Arial"/>
          <w:color w:val="2F5496" w:themeColor="accent1" w:themeShade="BF"/>
          <w:sz w:val="32"/>
          <w:szCs w:val="32"/>
        </w:rPr>
      </w:pPr>
      <w:r w:rsidRPr="00653E50">
        <w:rPr>
          <w:rFonts w:ascii="Arial" w:hAnsi="Arial" w:cs="Arial"/>
        </w:rPr>
        <w:br w:type="page"/>
      </w:r>
    </w:p>
    <w:p w14:paraId="389C4DED" w14:textId="6237F255" w:rsidR="008E7844" w:rsidRPr="00653E50" w:rsidRDefault="008E7844" w:rsidP="008E7844">
      <w:pPr>
        <w:pStyle w:val="Heading1"/>
        <w:rPr>
          <w:rFonts w:ascii="Arial" w:hAnsi="Arial" w:cs="Arial"/>
        </w:rPr>
      </w:pPr>
      <w:bookmarkStart w:id="4" w:name="_Toc158989033"/>
      <w:r w:rsidRPr="00653E50">
        <w:rPr>
          <w:rFonts w:ascii="Arial" w:hAnsi="Arial" w:cs="Arial"/>
        </w:rPr>
        <w:lastRenderedPageBreak/>
        <w:t xml:space="preserve">Supplementary </w:t>
      </w:r>
      <w:r w:rsidR="00653E50" w:rsidRPr="00653E50">
        <w:rPr>
          <w:rFonts w:ascii="Arial" w:hAnsi="Arial" w:cs="Arial"/>
        </w:rPr>
        <w:t>5</w:t>
      </w:r>
      <w:r w:rsidRPr="00653E50">
        <w:rPr>
          <w:rFonts w:ascii="Arial" w:hAnsi="Arial" w:cs="Arial"/>
        </w:rPr>
        <w:t>: data sources</w:t>
      </w:r>
      <w:bookmarkEnd w:id="4"/>
    </w:p>
    <w:p w14:paraId="5F665F67" w14:textId="77777777" w:rsidR="008E7844" w:rsidRPr="00653E50" w:rsidRDefault="008E7844" w:rsidP="008E7844">
      <w:pPr>
        <w:rPr>
          <w:rFonts w:ascii="Arial" w:hAnsi="Arial" w:cs="Arial"/>
        </w:rPr>
      </w:pPr>
    </w:p>
    <w:tbl>
      <w:tblPr>
        <w:tblStyle w:val="TableGrid"/>
        <w:tblW w:w="9067" w:type="dxa"/>
        <w:tblLook w:val="04A0" w:firstRow="1" w:lastRow="0" w:firstColumn="1" w:lastColumn="0" w:noHBand="0" w:noVBand="1"/>
      </w:tblPr>
      <w:tblGrid>
        <w:gridCol w:w="1341"/>
        <w:gridCol w:w="2765"/>
        <w:gridCol w:w="3119"/>
        <w:gridCol w:w="1842"/>
      </w:tblGrid>
      <w:tr w:rsidR="008E7844" w:rsidRPr="00653E50" w14:paraId="2FC30D67" w14:textId="77777777" w:rsidTr="00C005D8">
        <w:tc>
          <w:tcPr>
            <w:tcW w:w="1341" w:type="dxa"/>
          </w:tcPr>
          <w:p w14:paraId="7566D83E" w14:textId="77777777" w:rsidR="008E7844" w:rsidRPr="00653E50" w:rsidRDefault="008E7844" w:rsidP="00C005D8">
            <w:pPr>
              <w:rPr>
                <w:rFonts w:ascii="Arial" w:hAnsi="Arial" w:cs="Arial"/>
                <w:b/>
                <w:bCs/>
              </w:rPr>
            </w:pPr>
            <w:r w:rsidRPr="00653E50">
              <w:rPr>
                <w:rFonts w:ascii="Arial" w:hAnsi="Arial" w:cs="Arial"/>
                <w:b/>
                <w:bCs/>
              </w:rPr>
              <w:t>City</w:t>
            </w:r>
          </w:p>
        </w:tc>
        <w:tc>
          <w:tcPr>
            <w:tcW w:w="2765" w:type="dxa"/>
          </w:tcPr>
          <w:p w14:paraId="0582BCF6" w14:textId="77777777" w:rsidR="008E7844" w:rsidRPr="00653E50" w:rsidRDefault="008E7844" w:rsidP="00C005D8">
            <w:pPr>
              <w:rPr>
                <w:rFonts w:ascii="Arial" w:hAnsi="Arial" w:cs="Arial"/>
                <w:b/>
                <w:bCs/>
              </w:rPr>
            </w:pPr>
            <w:r w:rsidRPr="00653E50">
              <w:rPr>
                <w:rFonts w:ascii="Arial" w:hAnsi="Arial" w:cs="Arial"/>
                <w:b/>
                <w:bCs/>
              </w:rPr>
              <w:t>Data type</w:t>
            </w:r>
          </w:p>
        </w:tc>
        <w:tc>
          <w:tcPr>
            <w:tcW w:w="3119" w:type="dxa"/>
          </w:tcPr>
          <w:p w14:paraId="0397D55B" w14:textId="77777777" w:rsidR="008E7844" w:rsidRPr="00653E50" w:rsidRDefault="008E7844" w:rsidP="00C005D8">
            <w:pPr>
              <w:rPr>
                <w:rFonts w:ascii="Arial" w:hAnsi="Arial" w:cs="Arial"/>
                <w:b/>
                <w:bCs/>
              </w:rPr>
            </w:pPr>
            <w:r w:rsidRPr="00653E50">
              <w:rPr>
                <w:rFonts w:ascii="Arial" w:hAnsi="Arial" w:cs="Arial"/>
                <w:b/>
                <w:bCs/>
              </w:rPr>
              <w:t>Source</w:t>
            </w:r>
          </w:p>
        </w:tc>
        <w:tc>
          <w:tcPr>
            <w:tcW w:w="1842" w:type="dxa"/>
          </w:tcPr>
          <w:p w14:paraId="72E0A912" w14:textId="77777777" w:rsidR="008E7844" w:rsidRPr="00653E50" w:rsidRDefault="008E7844" w:rsidP="00C005D8">
            <w:pPr>
              <w:rPr>
                <w:rFonts w:ascii="Arial" w:hAnsi="Arial" w:cs="Arial"/>
                <w:b/>
                <w:bCs/>
              </w:rPr>
            </w:pPr>
            <w:r w:rsidRPr="00653E50">
              <w:rPr>
                <w:rFonts w:ascii="Arial" w:hAnsi="Arial" w:cs="Arial"/>
                <w:b/>
                <w:bCs/>
              </w:rPr>
              <w:t>Link</w:t>
            </w:r>
          </w:p>
        </w:tc>
      </w:tr>
      <w:tr w:rsidR="008E7844" w:rsidRPr="00653E50" w14:paraId="3B0D3E2F" w14:textId="77777777" w:rsidTr="00C005D8">
        <w:trPr>
          <w:trHeight w:val="234"/>
        </w:trPr>
        <w:tc>
          <w:tcPr>
            <w:tcW w:w="1341" w:type="dxa"/>
            <w:vMerge w:val="restart"/>
            <w:vAlign w:val="center"/>
          </w:tcPr>
          <w:p w14:paraId="68E5F79D" w14:textId="77777777" w:rsidR="008E7844" w:rsidRPr="00653E50" w:rsidRDefault="008E7844" w:rsidP="00C005D8">
            <w:pPr>
              <w:jc w:val="center"/>
              <w:rPr>
                <w:rFonts w:ascii="Arial" w:hAnsi="Arial" w:cs="Arial"/>
              </w:rPr>
            </w:pPr>
            <w:r w:rsidRPr="00653E50">
              <w:rPr>
                <w:rFonts w:ascii="Arial" w:hAnsi="Arial" w:cs="Arial"/>
              </w:rPr>
              <w:t>New York</w:t>
            </w:r>
          </w:p>
        </w:tc>
        <w:tc>
          <w:tcPr>
            <w:tcW w:w="2765" w:type="dxa"/>
          </w:tcPr>
          <w:p w14:paraId="59594203"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50465038" w14:textId="77777777" w:rsidR="008E7844" w:rsidRPr="00653E50" w:rsidRDefault="008E7844" w:rsidP="00C005D8">
            <w:pPr>
              <w:rPr>
                <w:rFonts w:ascii="Arial" w:hAnsi="Arial" w:cs="Arial"/>
              </w:rPr>
            </w:pPr>
            <w:r w:rsidRPr="00653E50">
              <w:rPr>
                <w:rFonts w:ascii="Arial" w:hAnsi="Arial" w:cs="Arial"/>
              </w:rPr>
              <w:t>Publication</w:t>
            </w:r>
          </w:p>
        </w:tc>
        <w:tc>
          <w:tcPr>
            <w:tcW w:w="1842" w:type="dxa"/>
          </w:tcPr>
          <w:p w14:paraId="34805A19" w14:textId="77777777" w:rsidR="008E7844" w:rsidRPr="00653E50" w:rsidRDefault="00000000" w:rsidP="00C005D8">
            <w:pPr>
              <w:rPr>
                <w:rFonts w:ascii="Arial" w:hAnsi="Arial" w:cs="Arial"/>
              </w:rPr>
            </w:pPr>
            <w:hyperlink r:id="rId16" w:history="1">
              <w:r w:rsidR="008E7844" w:rsidRPr="00653E50">
                <w:rPr>
                  <w:rStyle w:val="Hyperlink"/>
                  <w:rFonts w:ascii="Arial" w:hAnsi="Arial" w:cs="Arial"/>
                </w:rPr>
                <w:t>lin</w:t>
              </w:r>
              <w:r w:rsidR="008E7844" w:rsidRPr="00653E50">
                <w:rPr>
                  <w:rStyle w:val="Hyperlink"/>
                  <w:rFonts w:ascii="Arial" w:hAnsi="Arial" w:cs="Arial"/>
                </w:rPr>
                <w:t>k</w:t>
              </w:r>
            </w:hyperlink>
          </w:p>
        </w:tc>
      </w:tr>
      <w:tr w:rsidR="008E7844" w:rsidRPr="00653E50" w14:paraId="102F3379" w14:textId="77777777" w:rsidTr="00C005D8">
        <w:tc>
          <w:tcPr>
            <w:tcW w:w="1341" w:type="dxa"/>
            <w:vMerge/>
          </w:tcPr>
          <w:p w14:paraId="06176765" w14:textId="77777777" w:rsidR="008E7844" w:rsidRPr="00653E50" w:rsidRDefault="008E7844" w:rsidP="00C005D8">
            <w:pPr>
              <w:rPr>
                <w:rFonts w:ascii="Arial" w:hAnsi="Arial" w:cs="Arial"/>
              </w:rPr>
            </w:pPr>
          </w:p>
        </w:tc>
        <w:tc>
          <w:tcPr>
            <w:tcW w:w="2765" w:type="dxa"/>
          </w:tcPr>
          <w:p w14:paraId="4AE64AC2"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7FCECFBC" w14:textId="77777777" w:rsidR="008E7844" w:rsidRPr="00653E50" w:rsidRDefault="008E7844" w:rsidP="00C005D8">
            <w:pPr>
              <w:rPr>
                <w:rFonts w:ascii="Arial" w:hAnsi="Arial" w:cs="Arial"/>
              </w:rPr>
            </w:pPr>
            <w:r w:rsidRPr="00653E50">
              <w:rPr>
                <w:rFonts w:ascii="Arial" w:hAnsi="Arial" w:cs="Arial"/>
              </w:rPr>
              <w:t xml:space="preserve">Publication </w:t>
            </w:r>
          </w:p>
        </w:tc>
        <w:tc>
          <w:tcPr>
            <w:tcW w:w="1842" w:type="dxa"/>
          </w:tcPr>
          <w:p w14:paraId="3C0468A4" w14:textId="77777777" w:rsidR="008E7844" w:rsidRPr="00653E50" w:rsidRDefault="00000000" w:rsidP="00C005D8">
            <w:pPr>
              <w:rPr>
                <w:rFonts w:ascii="Arial" w:hAnsi="Arial" w:cs="Arial"/>
              </w:rPr>
            </w:pPr>
            <w:hyperlink r:id="rId17" w:history="1">
              <w:r w:rsidR="008E7844" w:rsidRPr="00653E50">
                <w:rPr>
                  <w:rStyle w:val="Hyperlink"/>
                  <w:rFonts w:ascii="Arial" w:hAnsi="Arial" w:cs="Arial"/>
                </w:rPr>
                <w:t>link</w:t>
              </w:r>
            </w:hyperlink>
          </w:p>
        </w:tc>
      </w:tr>
      <w:tr w:rsidR="008E7844" w:rsidRPr="00653E50" w14:paraId="11E89B64" w14:textId="77777777" w:rsidTr="00C005D8">
        <w:tc>
          <w:tcPr>
            <w:tcW w:w="1341" w:type="dxa"/>
            <w:vMerge/>
          </w:tcPr>
          <w:p w14:paraId="7DD65EE7" w14:textId="77777777" w:rsidR="008E7844" w:rsidRPr="00653E50" w:rsidRDefault="008E7844" w:rsidP="00C005D8">
            <w:pPr>
              <w:rPr>
                <w:rFonts w:ascii="Arial" w:hAnsi="Arial" w:cs="Arial"/>
              </w:rPr>
            </w:pPr>
          </w:p>
        </w:tc>
        <w:tc>
          <w:tcPr>
            <w:tcW w:w="2765" w:type="dxa"/>
          </w:tcPr>
          <w:p w14:paraId="2403BBBB"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3E45B97E"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13E9F855" w14:textId="77777777" w:rsidR="008E7844" w:rsidRPr="00653E50" w:rsidRDefault="00000000" w:rsidP="00C005D8">
            <w:pPr>
              <w:rPr>
                <w:rFonts w:ascii="Arial" w:hAnsi="Arial" w:cs="Arial"/>
              </w:rPr>
            </w:pPr>
            <w:hyperlink r:id="rId18" w:history="1">
              <w:r w:rsidR="008E7844" w:rsidRPr="00653E50">
                <w:rPr>
                  <w:rStyle w:val="Hyperlink"/>
                  <w:rFonts w:ascii="Arial" w:hAnsi="Arial" w:cs="Arial"/>
                </w:rPr>
                <w:t>link</w:t>
              </w:r>
            </w:hyperlink>
          </w:p>
        </w:tc>
      </w:tr>
      <w:tr w:rsidR="008E7844" w:rsidRPr="00653E50" w14:paraId="541B273A" w14:textId="77777777" w:rsidTr="00C005D8">
        <w:tc>
          <w:tcPr>
            <w:tcW w:w="1341" w:type="dxa"/>
            <w:vMerge/>
          </w:tcPr>
          <w:p w14:paraId="239DFBE2" w14:textId="77777777" w:rsidR="008E7844" w:rsidRPr="00653E50" w:rsidRDefault="008E7844" w:rsidP="00C005D8">
            <w:pPr>
              <w:rPr>
                <w:rFonts w:ascii="Arial" w:hAnsi="Arial" w:cs="Arial"/>
              </w:rPr>
            </w:pPr>
          </w:p>
        </w:tc>
        <w:tc>
          <w:tcPr>
            <w:tcW w:w="2765" w:type="dxa"/>
          </w:tcPr>
          <w:p w14:paraId="7ED4DB8C"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46F790E1"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227DEDDE" w14:textId="77777777" w:rsidR="008E7844" w:rsidRPr="00653E50" w:rsidRDefault="00000000" w:rsidP="00C005D8">
            <w:pPr>
              <w:rPr>
                <w:rFonts w:ascii="Arial" w:hAnsi="Arial" w:cs="Arial"/>
              </w:rPr>
            </w:pPr>
            <w:hyperlink r:id="rId19" w:history="1">
              <w:r w:rsidR="008E7844" w:rsidRPr="00653E50">
                <w:rPr>
                  <w:rStyle w:val="Hyperlink"/>
                  <w:rFonts w:ascii="Arial" w:hAnsi="Arial" w:cs="Arial"/>
                </w:rPr>
                <w:t>link</w:t>
              </w:r>
            </w:hyperlink>
          </w:p>
        </w:tc>
      </w:tr>
      <w:tr w:rsidR="008E7844" w:rsidRPr="00653E50" w14:paraId="4C956907" w14:textId="77777777" w:rsidTr="00C005D8">
        <w:tc>
          <w:tcPr>
            <w:tcW w:w="1341" w:type="dxa"/>
            <w:vMerge/>
          </w:tcPr>
          <w:p w14:paraId="30BCC426" w14:textId="77777777" w:rsidR="008E7844" w:rsidRPr="00653E50" w:rsidRDefault="008E7844" w:rsidP="00C005D8">
            <w:pPr>
              <w:rPr>
                <w:rFonts w:ascii="Arial" w:hAnsi="Arial" w:cs="Arial"/>
              </w:rPr>
            </w:pPr>
          </w:p>
        </w:tc>
        <w:tc>
          <w:tcPr>
            <w:tcW w:w="2765" w:type="dxa"/>
          </w:tcPr>
          <w:p w14:paraId="54BDA4BE"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0A65FD0B"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05A957AE" w14:textId="77777777" w:rsidR="008E7844" w:rsidRPr="00653E50" w:rsidRDefault="00000000" w:rsidP="00C005D8">
            <w:pPr>
              <w:rPr>
                <w:rFonts w:ascii="Arial" w:hAnsi="Arial" w:cs="Arial"/>
              </w:rPr>
            </w:pPr>
            <w:hyperlink r:id="rId20" w:history="1">
              <w:r w:rsidR="008E7844" w:rsidRPr="00653E50">
                <w:rPr>
                  <w:rStyle w:val="Hyperlink"/>
                  <w:rFonts w:ascii="Arial" w:hAnsi="Arial" w:cs="Arial"/>
                </w:rPr>
                <w:t>link</w:t>
              </w:r>
            </w:hyperlink>
          </w:p>
        </w:tc>
      </w:tr>
      <w:tr w:rsidR="008E7844" w:rsidRPr="00653E50" w14:paraId="442A41C6" w14:textId="77777777" w:rsidTr="00C005D8">
        <w:tc>
          <w:tcPr>
            <w:tcW w:w="1341" w:type="dxa"/>
            <w:vMerge/>
          </w:tcPr>
          <w:p w14:paraId="1AEB21F0" w14:textId="77777777" w:rsidR="008E7844" w:rsidRPr="00653E50" w:rsidRDefault="008E7844" w:rsidP="00C005D8">
            <w:pPr>
              <w:rPr>
                <w:rFonts w:ascii="Arial" w:hAnsi="Arial" w:cs="Arial"/>
              </w:rPr>
            </w:pPr>
          </w:p>
        </w:tc>
        <w:tc>
          <w:tcPr>
            <w:tcW w:w="2765" w:type="dxa"/>
          </w:tcPr>
          <w:p w14:paraId="4981B959" w14:textId="77777777" w:rsidR="008E7844" w:rsidRPr="00653E50" w:rsidRDefault="008E7844" w:rsidP="00C005D8">
            <w:pPr>
              <w:rPr>
                <w:rFonts w:ascii="Arial" w:hAnsi="Arial" w:cs="Arial"/>
              </w:rPr>
            </w:pPr>
            <w:r w:rsidRPr="00653E50">
              <w:rPr>
                <w:rFonts w:ascii="Arial" w:hAnsi="Arial" w:cs="Arial"/>
              </w:rPr>
              <w:t>Census Tracts</w:t>
            </w:r>
          </w:p>
        </w:tc>
        <w:tc>
          <w:tcPr>
            <w:tcW w:w="3119" w:type="dxa"/>
          </w:tcPr>
          <w:p w14:paraId="10B057E9"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5829518C" w14:textId="77777777" w:rsidR="008E7844" w:rsidRPr="00653E50" w:rsidRDefault="00000000" w:rsidP="00C005D8">
            <w:pPr>
              <w:rPr>
                <w:rFonts w:ascii="Arial" w:hAnsi="Arial" w:cs="Arial"/>
              </w:rPr>
            </w:pPr>
            <w:hyperlink r:id="rId21" w:history="1">
              <w:r w:rsidR="008E7844" w:rsidRPr="00653E50">
                <w:rPr>
                  <w:rStyle w:val="Hyperlink"/>
                  <w:rFonts w:ascii="Arial" w:hAnsi="Arial" w:cs="Arial"/>
                </w:rPr>
                <w:t>link</w:t>
              </w:r>
            </w:hyperlink>
          </w:p>
        </w:tc>
      </w:tr>
      <w:tr w:rsidR="008E7844" w:rsidRPr="00653E50" w14:paraId="63CD5E7F" w14:textId="77777777" w:rsidTr="00C005D8">
        <w:tc>
          <w:tcPr>
            <w:tcW w:w="1341" w:type="dxa"/>
            <w:vMerge/>
          </w:tcPr>
          <w:p w14:paraId="242A2192" w14:textId="77777777" w:rsidR="008E7844" w:rsidRPr="00653E50" w:rsidRDefault="008E7844" w:rsidP="00C005D8">
            <w:pPr>
              <w:rPr>
                <w:rFonts w:ascii="Arial" w:hAnsi="Arial" w:cs="Arial"/>
              </w:rPr>
            </w:pPr>
          </w:p>
        </w:tc>
        <w:tc>
          <w:tcPr>
            <w:tcW w:w="2765" w:type="dxa"/>
          </w:tcPr>
          <w:p w14:paraId="7F56B34E" w14:textId="77777777" w:rsidR="008E7844" w:rsidRPr="00653E50" w:rsidRDefault="008E7844" w:rsidP="00C005D8">
            <w:pPr>
              <w:rPr>
                <w:rFonts w:ascii="Arial" w:hAnsi="Arial" w:cs="Arial"/>
              </w:rPr>
            </w:pPr>
            <w:r w:rsidRPr="00653E50">
              <w:rPr>
                <w:rFonts w:ascii="Arial" w:hAnsi="Arial" w:cs="Arial"/>
              </w:rPr>
              <w:t>Neighbourhoods</w:t>
            </w:r>
          </w:p>
        </w:tc>
        <w:tc>
          <w:tcPr>
            <w:tcW w:w="3119" w:type="dxa"/>
          </w:tcPr>
          <w:p w14:paraId="3C29AC4D" w14:textId="77777777" w:rsidR="008E7844" w:rsidRPr="00653E50" w:rsidRDefault="008E7844" w:rsidP="00C005D8">
            <w:pPr>
              <w:rPr>
                <w:rFonts w:ascii="Arial" w:hAnsi="Arial" w:cs="Arial"/>
              </w:rPr>
            </w:pPr>
            <w:r w:rsidRPr="00653E50">
              <w:rPr>
                <w:rFonts w:ascii="Arial" w:hAnsi="Arial" w:cs="Arial"/>
              </w:rPr>
              <w:t>Third-party dataset</w:t>
            </w:r>
          </w:p>
        </w:tc>
        <w:tc>
          <w:tcPr>
            <w:tcW w:w="1842" w:type="dxa"/>
          </w:tcPr>
          <w:p w14:paraId="25C3CE48" w14:textId="77777777" w:rsidR="008E7844" w:rsidRPr="00653E50" w:rsidRDefault="00000000" w:rsidP="00C005D8">
            <w:pPr>
              <w:rPr>
                <w:rFonts w:ascii="Arial" w:hAnsi="Arial" w:cs="Arial"/>
              </w:rPr>
            </w:pPr>
            <w:hyperlink r:id="rId22" w:history="1">
              <w:r w:rsidR="008E7844" w:rsidRPr="00653E50">
                <w:rPr>
                  <w:rStyle w:val="Hyperlink"/>
                  <w:rFonts w:ascii="Arial" w:hAnsi="Arial" w:cs="Arial"/>
                </w:rPr>
                <w:t>link</w:t>
              </w:r>
            </w:hyperlink>
          </w:p>
        </w:tc>
      </w:tr>
      <w:tr w:rsidR="008E7844" w:rsidRPr="00653E50" w14:paraId="07E53F6B" w14:textId="77777777" w:rsidTr="00C005D8">
        <w:tc>
          <w:tcPr>
            <w:tcW w:w="1341" w:type="dxa"/>
            <w:vMerge/>
          </w:tcPr>
          <w:p w14:paraId="58AF0CC5" w14:textId="77777777" w:rsidR="008E7844" w:rsidRPr="00653E50" w:rsidRDefault="008E7844" w:rsidP="00C005D8">
            <w:pPr>
              <w:rPr>
                <w:rFonts w:ascii="Arial" w:hAnsi="Arial" w:cs="Arial"/>
              </w:rPr>
            </w:pPr>
          </w:p>
        </w:tc>
        <w:tc>
          <w:tcPr>
            <w:tcW w:w="2765" w:type="dxa"/>
          </w:tcPr>
          <w:p w14:paraId="4E89CB37" w14:textId="77777777" w:rsidR="008E7844" w:rsidRPr="00653E50" w:rsidRDefault="008E7844" w:rsidP="00C005D8">
            <w:pPr>
              <w:rPr>
                <w:rFonts w:ascii="Arial" w:hAnsi="Arial" w:cs="Arial"/>
              </w:rPr>
            </w:pPr>
            <w:r w:rsidRPr="00653E50">
              <w:rPr>
                <w:rFonts w:ascii="Arial" w:hAnsi="Arial" w:cs="Arial"/>
              </w:rPr>
              <w:t>Admin districts</w:t>
            </w:r>
          </w:p>
        </w:tc>
        <w:tc>
          <w:tcPr>
            <w:tcW w:w="3119" w:type="dxa"/>
          </w:tcPr>
          <w:p w14:paraId="1745DB2B"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6DF5C075" w14:textId="77777777" w:rsidR="008E7844" w:rsidRPr="00653E50" w:rsidRDefault="00000000" w:rsidP="00C005D8">
            <w:pPr>
              <w:rPr>
                <w:rFonts w:ascii="Arial" w:hAnsi="Arial" w:cs="Arial"/>
              </w:rPr>
            </w:pPr>
            <w:hyperlink r:id="rId23" w:history="1">
              <w:r w:rsidR="008E7844" w:rsidRPr="00653E50">
                <w:rPr>
                  <w:rStyle w:val="Hyperlink"/>
                  <w:rFonts w:ascii="Arial" w:hAnsi="Arial" w:cs="Arial"/>
                </w:rPr>
                <w:t>link</w:t>
              </w:r>
            </w:hyperlink>
          </w:p>
        </w:tc>
      </w:tr>
      <w:tr w:rsidR="008E7844" w:rsidRPr="00653E50" w14:paraId="64DCDBA7" w14:textId="77777777" w:rsidTr="00C005D8">
        <w:tc>
          <w:tcPr>
            <w:tcW w:w="1341" w:type="dxa"/>
            <w:vMerge w:val="restart"/>
            <w:vAlign w:val="center"/>
          </w:tcPr>
          <w:p w14:paraId="00BEA98B" w14:textId="77777777" w:rsidR="008E7844" w:rsidRPr="00653E50" w:rsidRDefault="008E7844" w:rsidP="00C005D8">
            <w:pPr>
              <w:rPr>
                <w:rFonts w:ascii="Arial" w:hAnsi="Arial" w:cs="Arial"/>
              </w:rPr>
            </w:pPr>
            <w:r w:rsidRPr="00653E50">
              <w:rPr>
                <w:rFonts w:ascii="Arial" w:hAnsi="Arial" w:cs="Arial"/>
              </w:rPr>
              <w:t>Melbourne</w:t>
            </w:r>
          </w:p>
        </w:tc>
        <w:tc>
          <w:tcPr>
            <w:tcW w:w="2765" w:type="dxa"/>
          </w:tcPr>
          <w:p w14:paraId="2D7AD96B"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5CF39FE2"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0949876B" w14:textId="77777777" w:rsidR="008E7844" w:rsidRPr="00653E50" w:rsidRDefault="00000000" w:rsidP="00C005D8">
            <w:pPr>
              <w:rPr>
                <w:rFonts w:ascii="Arial" w:hAnsi="Arial" w:cs="Arial"/>
              </w:rPr>
            </w:pPr>
            <w:hyperlink r:id="rId24" w:history="1">
              <w:r w:rsidR="008E7844" w:rsidRPr="00653E50">
                <w:rPr>
                  <w:rStyle w:val="Hyperlink"/>
                  <w:rFonts w:ascii="Arial" w:hAnsi="Arial" w:cs="Arial"/>
                </w:rPr>
                <w:t>link</w:t>
              </w:r>
            </w:hyperlink>
          </w:p>
        </w:tc>
      </w:tr>
      <w:tr w:rsidR="008E7844" w:rsidRPr="00653E50" w14:paraId="1BE4B20C" w14:textId="77777777" w:rsidTr="00C005D8">
        <w:tc>
          <w:tcPr>
            <w:tcW w:w="1341" w:type="dxa"/>
            <w:vMerge/>
          </w:tcPr>
          <w:p w14:paraId="07E36FF6" w14:textId="77777777" w:rsidR="008E7844" w:rsidRPr="00653E50" w:rsidRDefault="008E7844" w:rsidP="00C005D8">
            <w:pPr>
              <w:rPr>
                <w:rFonts w:ascii="Arial" w:hAnsi="Arial" w:cs="Arial"/>
              </w:rPr>
            </w:pPr>
          </w:p>
        </w:tc>
        <w:tc>
          <w:tcPr>
            <w:tcW w:w="2765" w:type="dxa"/>
          </w:tcPr>
          <w:p w14:paraId="3B4ADF20"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425E8F4A"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40ABDA5B" w14:textId="77777777" w:rsidR="008E7844" w:rsidRPr="00653E50" w:rsidRDefault="00000000" w:rsidP="00C005D8">
            <w:pPr>
              <w:rPr>
                <w:rFonts w:ascii="Arial" w:hAnsi="Arial" w:cs="Arial"/>
              </w:rPr>
            </w:pPr>
            <w:hyperlink r:id="rId25" w:history="1">
              <w:r w:rsidR="008E7844" w:rsidRPr="00653E50">
                <w:rPr>
                  <w:rStyle w:val="Hyperlink"/>
                  <w:rFonts w:ascii="Arial" w:hAnsi="Arial" w:cs="Arial"/>
                </w:rPr>
                <w:t>link</w:t>
              </w:r>
            </w:hyperlink>
          </w:p>
        </w:tc>
      </w:tr>
      <w:tr w:rsidR="008E7844" w:rsidRPr="00653E50" w14:paraId="479DC201" w14:textId="77777777" w:rsidTr="00C005D8">
        <w:tc>
          <w:tcPr>
            <w:tcW w:w="1341" w:type="dxa"/>
            <w:vMerge/>
          </w:tcPr>
          <w:p w14:paraId="2F8F39CC" w14:textId="77777777" w:rsidR="008E7844" w:rsidRPr="00653E50" w:rsidRDefault="008E7844" w:rsidP="00C005D8">
            <w:pPr>
              <w:rPr>
                <w:rFonts w:ascii="Arial" w:hAnsi="Arial" w:cs="Arial"/>
              </w:rPr>
            </w:pPr>
          </w:p>
        </w:tc>
        <w:tc>
          <w:tcPr>
            <w:tcW w:w="2765" w:type="dxa"/>
          </w:tcPr>
          <w:p w14:paraId="24A90CDF"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045F7E9D" w14:textId="77777777" w:rsidR="008E7844" w:rsidRPr="00653E50" w:rsidRDefault="008E7844" w:rsidP="00C005D8">
            <w:pPr>
              <w:rPr>
                <w:rFonts w:ascii="Arial" w:hAnsi="Arial" w:cs="Arial"/>
              </w:rPr>
            </w:pPr>
            <w:r w:rsidRPr="00653E50">
              <w:rPr>
                <w:rFonts w:ascii="Arial" w:hAnsi="Arial" w:cs="Arial"/>
              </w:rPr>
              <w:t>State dataset</w:t>
            </w:r>
          </w:p>
        </w:tc>
        <w:tc>
          <w:tcPr>
            <w:tcW w:w="1842" w:type="dxa"/>
          </w:tcPr>
          <w:p w14:paraId="5E88F7F8" w14:textId="77777777" w:rsidR="008E7844" w:rsidRPr="00653E50" w:rsidRDefault="00000000" w:rsidP="00C005D8">
            <w:pPr>
              <w:rPr>
                <w:rFonts w:ascii="Arial" w:hAnsi="Arial" w:cs="Arial"/>
              </w:rPr>
            </w:pPr>
            <w:hyperlink r:id="rId26" w:history="1">
              <w:r w:rsidR="008E7844" w:rsidRPr="00653E50">
                <w:rPr>
                  <w:rStyle w:val="Hyperlink"/>
                  <w:rFonts w:ascii="Arial" w:hAnsi="Arial" w:cs="Arial"/>
                </w:rPr>
                <w:t>link</w:t>
              </w:r>
            </w:hyperlink>
          </w:p>
        </w:tc>
      </w:tr>
      <w:tr w:rsidR="008E7844" w:rsidRPr="00653E50" w14:paraId="106FF36F" w14:textId="77777777" w:rsidTr="00C005D8">
        <w:tc>
          <w:tcPr>
            <w:tcW w:w="1341" w:type="dxa"/>
            <w:vMerge/>
          </w:tcPr>
          <w:p w14:paraId="0A288333" w14:textId="77777777" w:rsidR="008E7844" w:rsidRPr="00653E50" w:rsidRDefault="008E7844" w:rsidP="00C005D8">
            <w:pPr>
              <w:rPr>
                <w:rFonts w:ascii="Arial" w:hAnsi="Arial" w:cs="Arial"/>
              </w:rPr>
            </w:pPr>
          </w:p>
        </w:tc>
        <w:tc>
          <w:tcPr>
            <w:tcW w:w="2765" w:type="dxa"/>
          </w:tcPr>
          <w:p w14:paraId="4F3DDF0B"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13A28696" w14:textId="77777777" w:rsidR="008E7844" w:rsidRPr="00653E50" w:rsidRDefault="008E7844" w:rsidP="00C005D8">
            <w:pPr>
              <w:rPr>
                <w:rFonts w:ascii="Arial" w:hAnsi="Arial" w:cs="Arial"/>
              </w:rPr>
            </w:pPr>
            <w:r w:rsidRPr="00653E50">
              <w:rPr>
                <w:rFonts w:ascii="Arial" w:hAnsi="Arial" w:cs="Arial"/>
              </w:rPr>
              <w:t>State dataset</w:t>
            </w:r>
          </w:p>
        </w:tc>
        <w:tc>
          <w:tcPr>
            <w:tcW w:w="1842" w:type="dxa"/>
          </w:tcPr>
          <w:p w14:paraId="5D11D6F2" w14:textId="77777777" w:rsidR="008E7844" w:rsidRPr="00653E50" w:rsidRDefault="00000000" w:rsidP="00C005D8">
            <w:pPr>
              <w:rPr>
                <w:rFonts w:ascii="Arial" w:hAnsi="Arial" w:cs="Arial"/>
              </w:rPr>
            </w:pPr>
            <w:hyperlink r:id="rId27" w:history="1">
              <w:r w:rsidR="008E7844" w:rsidRPr="00653E50">
                <w:rPr>
                  <w:rStyle w:val="Hyperlink"/>
                  <w:rFonts w:ascii="Arial" w:hAnsi="Arial" w:cs="Arial"/>
                </w:rPr>
                <w:t>link</w:t>
              </w:r>
            </w:hyperlink>
          </w:p>
        </w:tc>
      </w:tr>
      <w:tr w:rsidR="008E7844" w:rsidRPr="00653E50" w14:paraId="76B4B91D" w14:textId="77777777" w:rsidTr="00C005D8">
        <w:tc>
          <w:tcPr>
            <w:tcW w:w="1341" w:type="dxa"/>
            <w:vMerge/>
          </w:tcPr>
          <w:p w14:paraId="31DAA3EB" w14:textId="77777777" w:rsidR="008E7844" w:rsidRPr="00653E50" w:rsidRDefault="008E7844" w:rsidP="00C005D8">
            <w:pPr>
              <w:rPr>
                <w:rFonts w:ascii="Arial" w:hAnsi="Arial" w:cs="Arial"/>
              </w:rPr>
            </w:pPr>
          </w:p>
        </w:tc>
        <w:tc>
          <w:tcPr>
            <w:tcW w:w="2765" w:type="dxa"/>
          </w:tcPr>
          <w:p w14:paraId="2BCF49DC"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4A514E72"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2C3B36DE" w14:textId="77777777" w:rsidR="008E7844" w:rsidRPr="00653E50" w:rsidRDefault="00000000" w:rsidP="00C005D8">
            <w:pPr>
              <w:rPr>
                <w:rFonts w:ascii="Arial" w:hAnsi="Arial" w:cs="Arial"/>
              </w:rPr>
            </w:pPr>
            <w:hyperlink r:id="rId28" w:history="1">
              <w:r w:rsidR="008E7844" w:rsidRPr="00653E50">
                <w:rPr>
                  <w:rStyle w:val="Hyperlink"/>
                  <w:rFonts w:ascii="Arial" w:hAnsi="Arial" w:cs="Arial"/>
                </w:rPr>
                <w:t>link</w:t>
              </w:r>
            </w:hyperlink>
          </w:p>
        </w:tc>
      </w:tr>
      <w:tr w:rsidR="008E7844" w:rsidRPr="00653E50" w14:paraId="2062CE38" w14:textId="77777777" w:rsidTr="00C005D8">
        <w:tc>
          <w:tcPr>
            <w:tcW w:w="1341" w:type="dxa"/>
            <w:vMerge/>
          </w:tcPr>
          <w:p w14:paraId="0E2E7EE8" w14:textId="77777777" w:rsidR="008E7844" w:rsidRPr="00653E50" w:rsidRDefault="008E7844" w:rsidP="00C005D8">
            <w:pPr>
              <w:rPr>
                <w:rFonts w:ascii="Arial" w:hAnsi="Arial" w:cs="Arial"/>
              </w:rPr>
            </w:pPr>
          </w:p>
        </w:tc>
        <w:tc>
          <w:tcPr>
            <w:tcW w:w="2765" w:type="dxa"/>
          </w:tcPr>
          <w:p w14:paraId="28C73704" w14:textId="77777777" w:rsidR="008E7844" w:rsidRPr="00653E50" w:rsidRDefault="008E7844" w:rsidP="00C005D8">
            <w:pPr>
              <w:rPr>
                <w:rFonts w:ascii="Arial" w:hAnsi="Arial" w:cs="Arial"/>
              </w:rPr>
            </w:pPr>
            <w:r w:rsidRPr="00653E50">
              <w:rPr>
                <w:rFonts w:ascii="Arial" w:hAnsi="Arial" w:cs="Arial"/>
              </w:rPr>
              <w:t>Census tracts</w:t>
            </w:r>
          </w:p>
        </w:tc>
        <w:tc>
          <w:tcPr>
            <w:tcW w:w="3119" w:type="dxa"/>
          </w:tcPr>
          <w:p w14:paraId="7D9658C9" w14:textId="77777777" w:rsidR="008E7844" w:rsidRPr="00653E50" w:rsidRDefault="008E7844" w:rsidP="00C005D8">
            <w:pPr>
              <w:rPr>
                <w:rFonts w:ascii="Arial" w:hAnsi="Arial" w:cs="Arial"/>
              </w:rPr>
            </w:pPr>
            <w:r w:rsidRPr="00653E50">
              <w:rPr>
                <w:rFonts w:ascii="Arial" w:hAnsi="Arial" w:cs="Arial"/>
              </w:rPr>
              <w:t>National dataset</w:t>
            </w:r>
          </w:p>
        </w:tc>
        <w:tc>
          <w:tcPr>
            <w:tcW w:w="1842" w:type="dxa"/>
          </w:tcPr>
          <w:p w14:paraId="0BD90A0A" w14:textId="77777777" w:rsidR="008E7844" w:rsidRPr="00653E50" w:rsidRDefault="00000000" w:rsidP="00C005D8">
            <w:pPr>
              <w:rPr>
                <w:rFonts w:ascii="Arial" w:hAnsi="Arial" w:cs="Arial"/>
              </w:rPr>
            </w:pPr>
            <w:hyperlink r:id="rId29" w:history="1">
              <w:r w:rsidR="008E7844" w:rsidRPr="00653E50">
                <w:rPr>
                  <w:rStyle w:val="Hyperlink"/>
                  <w:rFonts w:ascii="Arial" w:hAnsi="Arial" w:cs="Arial"/>
                </w:rPr>
                <w:t>link</w:t>
              </w:r>
            </w:hyperlink>
          </w:p>
        </w:tc>
      </w:tr>
      <w:tr w:rsidR="008E7844" w:rsidRPr="00653E50" w14:paraId="5DA3C49B" w14:textId="77777777" w:rsidTr="00C005D8">
        <w:tc>
          <w:tcPr>
            <w:tcW w:w="1341" w:type="dxa"/>
            <w:vMerge w:val="restart"/>
            <w:vAlign w:val="center"/>
          </w:tcPr>
          <w:p w14:paraId="098DF0BF" w14:textId="77777777" w:rsidR="008E7844" w:rsidRPr="00653E50" w:rsidRDefault="008E7844" w:rsidP="00C005D8">
            <w:pPr>
              <w:rPr>
                <w:rFonts w:ascii="Arial" w:hAnsi="Arial" w:cs="Arial"/>
              </w:rPr>
            </w:pPr>
            <w:r w:rsidRPr="00653E50">
              <w:rPr>
                <w:rFonts w:ascii="Arial" w:hAnsi="Arial" w:cs="Arial"/>
              </w:rPr>
              <w:t>Sydney</w:t>
            </w:r>
          </w:p>
        </w:tc>
        <w:tc>
          <w:tcPr>
            <w:tcW w:w="2765" w:type="dxa"/>
          </w:tcPr>
          <w:p w14:paraId="25597DEB"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7540727D"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4475289C" w14:textId="77777777" w:rsidR="008E7844" w:rsidRPr="00653E50" w:rsidRDefault="00000000" w:rsidP="00C005D8">
            <w:pPr>
              <w:rPr>
                <w:rFonts w:ascii="Arial" w:hAnsi="Arial" w:cs="Arial"/>
              </w:rPr>
            </w:pPr>
            <w:hyperlink r:id="rId30" w:history="1">
              <w:r w:rsidR="008E7844" w:rsidRPr="00653E50">
                <w:rPr>
                  <w:rStyle w:val="Hyperlink"/>
                  <w:rFonts w:ascii="Arial" w:hAnsi="Arial" w:cs="Arial"/>
                </w:rPr>
                <w:t>link</w:t>
              </w:r>
            </w:hyperlink>
          </w:p>
        </w:tc>
      </w:tr>
      <w:tr w:rsidR="008E7844" w:rsidRPr="00653E50" w14:paraId="224F0318" w14:textId="77777777" w:rsidTr="00C005D8">
        <w:tc>
          <w:tcPr>
            <w:tcW w:w="1341" w:type="dxa"/>
            <w:vMerge/>
          </w:tcPr>
          <w:p w14:paraId="6EBA69A3" w14:textId="77777777" w:rsidR="008E7844" w:rsidRPr="00653E50" w:rsidRDefault="008E7844" w:rsidP="00C005D8">
            <w:pPr>
              <w:rPr>
                <w:rFonts w:ascii="Arial" w:hAnsi="Arial" w:cs="Arial"/>
              </w:rPr>
            </w:pPr>
          </w:p>
        </w:tc>
        <w:tc>
          <w:tcPr>
            <w:tcW w:w="2765" w:type="dxa"/>
          </w:tcPr>
          <w:p w14:paraId="007391AC"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6CA825E9" w14:textId="77777777" w:rsidR="008E7844" w:rsidRPr="00653E50" w:rsidRDefault="008E7844" w:rsidP="00C005D8">
            <w:pPr>
              <w:rPr>
                <w:rFonts w:ascii="Arial" w:hAnsi="Arial" w:cs="Arial"/>
              </w:rPr>
            </w:pPr>
            <w:r w:rsidRPr="00653E50">
              <w:rPr>
                <w:rFonts w:ascii="Arial" w:hAnsi="Arial" w:cs="Arial"/>
              </w:rPr>
              <w:t>State dataset</w:t>
            </w:r>
          </w:p>
        </w:tc>
        <w:tc>
          <w:tcPr>
            <w:tcW w:w="1842" w:type="dxa"/>
          </w:tcPr>
          <w:p w14:paraId="09C33EDB" w14:textId="77777777" w:rsidR="008E7844" w:rsidRPr="00653E50" w:rsidRDefault="00000000" w:rsidP="00C005D8">
            <w:pPr>
              <w:rPr>
                <w:rFonts w:ascii="Arial" w:hAnsi="Arial" w:cs="Arial"/>
              </w:rPr>
            </w:pPr>
            <w:hyperlink r:id="rId31" w:history="1">
              <w:r w:rsidR="008E7844" w:rsidRPr="00653E50">
                <w:rPr>
                  <w:rStyle w:val="Hyperlink"/>
                  <w:rFonts w:ascii="Arial" w:hAnsi="Arial" w:cs="Arial"/>
                </w:rPr>
                <w:t>link</w:t>
              </w:r>
            </w:hyperlink>
          </w:p>
        </w:tc>
      </w:tr>
      <w:tr w:rsidR="008E7844" w:rsidRPr="00653E50" w14:paraId="7B6A1440" w14:textId="77777777" w:rsidTr="00C005D8">
        <w:tc>
          <w:tcPr>
            <w:tcW w:w="1341" w:type="dxa"/>
            <w:vMerge/>
          </w:tcPr>
          <w:p w14:paraId="4C3677A6" w14:textId="77777777" w:rsidR="008E7844" w:rsidRPr="00653E50" w:rsidRDefault="008E7844" w:rsidP="00C005D8">
            <w:pPr>
              <w:rPr>
                <w:rFonts w:ascii="Arial" w:hAnsi="Arial" w:cs="Arial"/>
              </w:rPr>
            </w:pPr>
          </w:p>
        </w:tc>
        <w:tc>
          <w:tcPr>
            <w:tcW w:w="2765" w:type="dxa"/>
          </w:tcPr>
          <w:p w14:paraId="60990387"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69294548" w14:textId="77777777" w:rsidR="008E7844" w:rsidRPr="00653E50" w:rsidRDefault="008E7844" w:rsidP="00C005D8">
            <w:pPr>
              <w:rPr>
                <w:rFonts w:ascii="Arial" w:hAnsi="Arial" w:cs="Arial"/>
              </w:rPr>
            </w:pPr>
            <w:r w:rsidRPr="00653E50">
              <w:rPr>
                <w:rFonts w:ascii="Arial" w:hAnsi="Arial" w:cs="Arial"/>
              </w:rPr>
              <w:t>State dataset</w:t>
            </w:r>
          </w:p>
        </w:tc>
        <w:tc>
          <w:tcPr>
            <w:tcW w:w="1842" w:type="dxa"/>
          </w:tcPr>
          <w:p w14:paraId="6F53C2EE" w14:textId="77777777" w:rsidR="008E7844" w:rsidRPr="00653E50" w:rsidRDefault="00000000" w:rsidP="00C005D8">
            <w:pPr>
              <w:rPr>
                <w:rFonts w:ascii="Arial" w:hAnsi="Arial" w:cs="Arial"/>
              </w:rPr>
            </w:pPr>
            <w:hyperlink r:id="rId32" w:history="1">
              <w:r w:rsidR="008E7844" w:rsidRPr="00653E50">
                <w:rPr>
                  <w:rStyle w:val="Hyperlink"/>
                  <w:rFonts w:ascii="Arial" w:hAnsi="Arial" w:cs="Arial"/>
                </w:rPr>
                <w:t>link</w:t>
              </w:r>
            </w:hyperlink>
          </w:p>
        </w:tc>
      </w:tr>
      <w:tr w:rsidR="008E7844" w:rsidRPr="00653E50" w14:paraId="3AEF91D2" w14:textId="77777777" w:rsidTr="00C005D8">
        <w:tc>
          <w:tcPr>
            <w:tcW w:w="1341" w:type="dxa"/>
            <w:vMerge/>
          </w:tcPr>
          <w:p w14:paraId="2F97DBC1" w14:textId="77777777" w:rsidR="008E7844" w:rsidRPr="00653E50" w:rsidRDefault="008E7844" w:rsidP="00C005D8">
            <w:pPr>
              <w:rPr>
                <w:rFonts w:ascii="Arial" w:hAnsi="Arial" w:cs="Arial"/>
              </w:rPr>
            </w:pPr>
          </w:p>
        </w:tc>
        <w:tc>
          <w:tcPr>
            <w:tcW w:w="2765" w:type="dxa"/>
          </w:tcPr>
          <w:p w14:paraId="6FD6425E"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09BD0664" w14:textId="77777777" w:rsidR="008E7844" w:rsidRPr="00653E50" w:rsidRDefault="008E7844" w:rsidP="00C005D8">
            <w:pPr>
              <w:rPr>
                <w:rFonts w:ascii="Arial" w:hAnsi="Arial" w:cs="Arial"/>
              </w:rPr>
            </w:pPr>
            <w:r w:rsidRPr="00653E50">
              <w:rPr>
                <w:rFonts w:ascii="Arial" w:hAnsi="Arial" w:cs="Arial"/>
              </w:rPr>
              <w:t>State dataset</w:t>
            </w:r>
          </w:p>
        </w:tc>
        <w:tc>
          <w:tcPr>
            <w:tcW w:w="1842" w:type="dxa"/>
          </w:tcPr>
          <w:p w14:paraId="33AACFB8" w14:textId="77777777" w:rsidR="008E7844" w:rsidRPr="00653E50" w:rsidRDefault="00000000" w:rsidP="00C005D8">
            <w:pPr>
              <w:rPr>
                <w:rFonts w:ascii="Arial" w:hAnsi="Arial" w:cs="Arial"/>
              </w:rPr>
            </w:pPr>
            <w:hyperlink r:id="rId33" w:history="1">
              <w:r w:rsidR="008E7844" w:rsidRPr="00653E50">
                <w:rPr>
                  <w:rStyle w:val="Hyperlink"/>
                  <w:rFonts w:ascii="Arial" w:hAnsi="Arial" w:cs="Arial"/>
                </w:rPr>
                <w:t>link</w:t>
              </w:r>
            </w:hyperlink>
          </w:p>
        </w:tc>
      </w:tr>
      <w:tr w:rsidR="008E7844" w:rsidRPr="00653E50" w14:paraId="0C82F454" w14:textId="77777777" w:rsidTr="00C005D8">
        <w:tc>
          <w:tcPr>
            <w:tcW w:w="1341" w:type="dxa"/>
            <w:vMerge/>
          </w:tcPr>
          <w:p w14:paraId="13BA062D" w14:textId="77777777" w:rsidR="008E7844" w:rsidRPr="00653E50" w:rsidRDefault="008E7844" w:rsidP="00C005D8">
            <w:pPr>
              <w:rPr>
                <w:rFonts w:ascii="Arial" w:hAnsi="Arial" w:cs="Arial"/>
              </w:rPr>
            </w:pPr>
          </w:p>
        </w:tc>
        <w:tc>
          <w:tcPr>
            <w:tcW w:w="2765" w:type="dxa"/>
          </w:tcPr>
          <w:p w14:paraId="628B9A80"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20B31C82" w14:textId="77777777" w:rsidR="008E7844" w:rsidRPr="00653E50" w:rsidRDefault="008E7844" w:rsidP="00C005D8">
            <w:pPr>
              <w:rPr>
                <w:rFonts w:ascii="Arial" w:hAnsi="Arial" w:cs="Arial"/>
              </w:rPr>
            </w:pPr>
            <w:r w:rsidRPr="00653E50">
              <w:rPr>
                <w:rFonts w:ascii="Arial" w:hAnsi="Arial" w:cs="Arial"/>
              </w:rPr>
              <w:t>Corporate dataset (Microsoft)</w:t>
            </w:r>
          </w:p>
        </w:tc>
        <w:tc>
          <w:tcPr>
            <w:tcW w:w="1842" w:type="dxa"/>
          </w:tcPr>
          <w:p w14:paraId="1259724F" w14:textId="77777777" w:rsidR="008E7844" w:rsidRPr="00653E50" w:rsidRDefault="00000000" w:rsidP="00C005D8">
            <w:pPr>
              <w:rPr>
                <w:rFonts w:ascii="Arial" w:hAnsi="Arial" w:cs="Arial"/>
              </w:rPr>
            </w:pPr>
            <w:hyperlink r:id="rId34" w:history="1">
              <w:r w:rsidR="008E7844" w:rsidRPr="00653E50">
                <w:rPr>
                  <w:rStyle w:val="Hyperlink"/>
                  <w:rFonts w:ascii="Arial" w:hAnsi="Arial" w:cs="Arial"/>
                </w:rPr>
                <w:t>link</w:t>
              </w:r>
            </w:hyperlink>
          </w:p>
        </w:tc>
      </w:tr>
      <w:tr w:rsidR="008E7844" w:rsidRPr="00653E50" w14:paraId="124B947B" w14:textId="77777777" w:rsidTr="00C005D8">
        <w:tc>
          <w:tcPr>
            <w:tcW w:w="1341" w:type="dxa"/>
            <w:vMerge/>
          </w:tcPr>
          <w:p w14:paraId="16E3F3C4" w14:textId="77777777" w:rsidR="008E7844" w:rsidRPr="00653E50" w:rsidRDefault="008E7844" w:rsidP="00C005D8">
            <w:pPr>
              <w:rPr>
                <w:rFonts w:ascii="Arial" w:hAnsi="Arial" w:cs="Arial"/>
              </w:rPr>
            </w:pPr>
          </w:p>
        </w:tc>
        <w:tc>
          <w:tcPr>
            <w:tcW w:w="2765" w:type="dxa"/>
          </w:tcPr>
          <w:p w14:paraId="420B50FD" w14:textId="77777777" w:rsidR="008E7844" w:rsidRPr="00653E50" w:rsidRDefault="008E7844" w:rsidP="00C005D8">
            <w:pPr>
              <w:rPr>
                <w:rFonts w:ascii="Arial" w:hAnsi="Arial" w:cs="Arial"/>
              </w:rPr>
            </w:pPr>
            <w:r w:rsidRPr="00653E50">
              <w:rPr>
                <w:rFonts w:ascii="Arial" w:hAnsi="Arial" w:cs="Arial"/>
              </w:rPr>
              <w:t>Census tracts</w:t>
            </w:r>
          </w:p>
        </w:tc>
        <w:tc>
          <w:tcPr>
            <w:tcW w:w="3119" w:type="dxa"/>
          </w:tcPr>
          <w:p w14:paraId="472EC8E2" w14:textId="77777777" w:rsidR="008E7844" w:rsidRPr="00653E50" w:rsidRDefault="008E7844" w:rsidP="00C005D8">
            <w:pPr>
              <w:rPr>
                <w:rFonts w:ascii="Arial" w:hAnsi="Arial" w:cs="Arial"/>
              </w:rPr>
            </w:pPr>
            <w:r w:rsidRPr="00653E50">
              <w:rPr>
                <w:rFonts w:ascii="Arial" w:hAnsi="Arial" w:cs="Arial"/>
              </w:rPr>
              <w:t>National dataset</w:t>
            </w:r>
          </w:p>
        </w:tc>
        <w:tc>
          <w:tcPr>
            <w:tcW w:w="1842" w:type="dxa"/>
          </w:tcPr>
          <w:p w14:paraId="68DD712C" w14:textId="77777777" w:rsidR="008E7844" w:rsidRPr="00653E50" w:rsidRDefault="00000000" w:rsidP="00C005D8">
            <w:pPr>
              <w:rPr>
                <w:rFonts w:ascii="Arial" w:hAnsi="Arial" w:cs="Arial"/>
              </w:rPr>
            </w:pPr>
            <w:hyperlink r:id="rId35" w:history="1">
              <w:r w:rsidR="008E7844" w:rsidRPr="00653E50">
                <w:rPr>
                  <w:rStyle w:val="Hyperlink"/>
                  <w:rFonts w:ascii="Arial" w:hAnsi="Arial" w:cs="Arial"/>
                </w:rPr>
                <w:t>link</w:t>
              </w:r>
            </w:hyperlink>
          </w:p>
        </w:tc>
      </w:tr>
      <w:tr w:rsidR="008E7844" w:rsidRPr="00653E50" w14:paraId="1CCBAE17" w14:textId="77777777" w:rsidTr="00C005D8">
        <w:tc>
          <w:tcPr>
            <w:tcW w:w="1341" w:type="dxa"/>
            <w:vMerge w:val="restart"/>
            <w:vAlign w:val="center"/>
          </w:tcPr>
          <w:p w14:paraId="788BF0F2" w14:textId="77777777" w:rsidR="008E7844" w:rsidRPr="00653E50" w:rsidRDefault="008E7844" w:rsidP="00C005D8">
            <w:pPr>
              <w:rPr>
                <w:rFonts w:ascii="Arial" w:hAnsi="Arial" w:cs="Arial"/>
              </w:rPr>
            </w:pPr>
            <w:r w:rsidRPr="00653E50">
              <w:rPr>
                <w:rFonts w:ascii="Arial" w:hAnsi="Arial" w:cs="Arial"/>
              </w:rPr>
              <w:t>Denver</w:t>
            </w:r>
          </w:p>
        </w:tc>
        <w:tc>
          <w:tcPr>
            <w:tcW w:w="2765" w:type="dxa"/>
          </w:tcPr>
          <w:p w14:paraId="2BA771F2"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51CB1878" w14:textId="77777777" w:rsidR="008E7844" w:rsidRPr="00653E50" w:rsidRDefault="008E7844" w:rsidP="00C005D8">
            <w:pPr>
              <w:rPr>
                <w:rFonts w:ascii="Arial" w:hAnsi="Arial" w:cs="Arial"/>
              </w:rPr>
            </w:pPr>
            <w:r w:rsidRPr="00653E50">
              <w:rPr>
                <w:rFonts w:ascii="Arial" w:hAnsi="Arial" w:cs="Arial"/>
              </w:rPr>
              <w:t>State dataset</w:t>
            </w:r>
          </w:p>
        </w:tc>
        <w:tc>
          <w:tcPr>
            <w:tcW w:w="1842" w:type="dxa"/>
          </w:tcPr>
          <w:p w14:paraId="77769F56" w14:textId="77777777" w:rsidR="008E7844" w:rsidRPr="00653E50" w:rsidRDefault="00000000" w:rsidP="00C005D8">
            <w:pPr>
              <w:rPr>
                <w:rFonts w:ascii="Arial" w:hAnsi="Arial" w:cs="Arial"/>
              </w:rPr>
            </w:pPr>
            <w:hyperlink r:id="rId36" w:history="1">
              <w:r w:rsidR="008E7844" w:rsidRPr="00653E50">
                <w:rPr>
                  <w:rStyle w:val="Hyperlink"/>
                  <w:rFonts w:ascii="Arial" w:hAnsi="Arial" w:cs="Arial"/>
                </w:rPr>
                <w:t>link</w:t>
              </w:r>
            </w:hyperlink>
          </w:p>
        </w:tc>
      </w:tr>
      <w:tr w:rsidR="008E7844" w:rsidRPr="00653E50" w14:paraId="06FC4460" w14:textId="77777777" w:rsidTr="00C005D8">
        <w:tc>
          <w:tcPr>
            <w:tcW w:w="1341" w:type="dxa"/>
            <w:vMerge/>
          </w:tcPr>
          <w:p w14:paraId="4CE267F8" w14:textId="77777777" w:rsidR="008E7844" w:rsidRPr="00653E50" w:rsidRDefault="008E7844" w:rsidP="00C005D8">
            <w:pPr>
              <w:rPr>
                <w:rFonts w:ascii="Arial" w:hAnsi="Arial" w:cs="Arial"/>
              </w:rPr>
            </w:pPr>
          </w:p>
        </w:tc>
        <w:tc>
          <w:tcPr>
            <w:tcW w:w="2765" w:type="dxa"/>
          </w:tcPr>
          <w:p w14:paraId="24BB771A"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46D4EA66"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71312F9B" w14:textId="77777777" w:rsidR="008E7844" w:rsidRPr="00653E50" w:rsidRDefault="00000000" w:rsidP="00C005D8">
            <w:pPr>
              <w:rPr>
                <w:rFonts w:ascii="Arial" w:hAnsi="Arial" w:cs="Arial"/>
              </w:rPr>
            </w:pPr>
            <w:hyperlink r:id="rId37" w:history="1">
              <w:r w:rsidR="008E7844" w:rsidRPr="00653E50">
                <w:rPr>
                  <w:rStyle w:val="Hyperlink"/>
                  <w:rFonts w:ascii="Arial" w:hAnsi="Arial" w:cs="Arial"/>
                </w:rPr>
                <w:t>link</w:t>
              </w:r>
            </w:hyperlink>
          </w:p>
        </w:tc>
      </w:tr>
      <w:tr w:rsidR="008E7844" w:rsidRPr="00653E50" w14:paraId="15CDC004" w14:textId="77777777" w:rsidTr="00C005D8">
        <w:tc>
          <w:tcPr>
            <w:tcW w:w="1341" w:type="dxa"/>
            <w:vMerge/>
          </w:tcPr>
          <w:p w14:paraId="16D7BC1E" w14:textId="77777777" w:rsidR="008E7844" w:rsidRPr="00653E50" w:rsidRDefault="008E7844" w:rsidP="00C005D8">
            <w:pPr>
              <w:rPr>
                <w:rFonts w:ascii="Arial" w:hAnsi="Arial" w:cs="Arial"/>
              </w:rPr>
            </w:pPr>
          </w:p>
        </w:tc>
        <w:tc>
          <w:tcPr>
            <w:tcW w:w="2765" w:type="dxa"/>
          </w:tcPr>
          <w:p w14:paraId="6D5888F0"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788A484F"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6C04F8E8" w14:textId="77777777" w:rsidR="008E7844" w:rsidRPr="00653E50" w:rsidRDefault="00000000" w:rsidP="00C005D8">
            <w:pPr>
              <w:rPr>
                <w:rFonts w:ascii="Arial" w:hAnsi="Arial" w:cs="Arial"/>
              </w:rPr>
            </w:pPr>
            <w:hyperlink r:id="rId38" w:history="1">
              <w:r w:rsidR="008E7844" w:rsidRPr="00653E50">
                <w:rPr>
                  <w:rStyle w:val="Hyperlink"/>
                  <w:rFonts w:ascii="Arial" w:hAnsi="Arial" w:cs="Arial"/>
                </w:rPr>
                <w:t>link</w:t>
              </w:r>
            </w:hyperlink>
          </w:p>
        </w:tc>
      </w:tr>
      <w:tr w:rsidR="008E7844" w:rsidRPr="00653E50" w14:paraId="21F9AABA" w14:textId="77777777" w:rsidTr="00C005D8">
        <w:tc>
          <w:tcPr>
            <w:tcW w:w="1341" w:type="dxa"/>
            <w:vMerge/>
          </w:tcPr>
          <w:p w14:paraId="114C03F1" w14:textId="77777777" w:rsidR="008E7844" w:rsidRPr="00653E50" w:rsidRDefault="008E7844" w:rsidP="00C005D8">
            <w:pPr>
              <w:rPr>
                <w:rFonts w:ascii="Arial" w:hAnsi="Arial" w:cs="Arial"/>
              </w:rPr>
            </w:pPr>
          </w:p>
        </w:tc>
        <w:tc>
          <w:tcPr>
            <w:tcW w:w="2765" w:type="dxa"/>
          </w:tcPr>
          <w:p w14:paraId="2C3FE7A7"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2AA6C6DD"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5B27D3EA" w14:textId="77777777" w:rsidR="008E7844" w:rsidRPr="00653E50" w:rsidRDefault="00000000" w:rsidP="00C005D8">
            <w:pPr>
              <w:rPr>
                <w:rFonts w:ascii="Arial" w:hAnsi="Arial" w:cs="Arial"/>
              </w:rPr>
            </w:pPr>
            <w:hyperlink r:id="rId39" w:history="1">
              <w:r w:rsidR="008E7844" w:rsidRPr="00653E50">
                <w:rPr>
                  <w:rStyle w:val="Hyperlink"/>
                  <w:rFonts w:ascii="Arial" w:hAnsi="Arial" w:cs="Arial"/>
                </w:rPr>
                <w:t>link</w:t>
              </w:r>
            </w:hyperlink>
          </w:p>
        </w:tc>
      </w:tr>
      <w:tr w:rsidR="008E7844" w:rsidRPr="00653E50" w14:paraId="3B129423" w14:textId="77777777" w:rsidTr="00C005D8">
        <w:tc>
          <w:tcPr>
            <w:tcW w:w="1341" w:type="dxa"/>
            <w:vMerge/>
          </w:tcPr>
          <w:p w14:paraId="02175892" w14:textId="77777777" w:rsidR="008E7844" w:rsidRPr="00653E50" w:rsidRDefault="008E7844" w:rsidP="00C005D8">
            <w:pPr>
              <w:rPr>
                <w:rFonts w:ascii="Arial" w:hAnsi="Arial" w:cs="Arial"/>
              </w:rPr>
            </w:pPr>
          </w:p>
        </w:tc>
        <w:tc>
          <w:tcPr>
            <w:tcW w:w="2765" w:type="dxa"/>
          </w:tcPr>
          <w:p w14:paraId="54AD98F4"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22D1A029"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5EFA155E" w14:textId="77777777" w:rsidR="008E7844" w:rsidRPr="00653E50" w:rsidRDefault="00000000" w:rsidP="00C005D8">
            <w:pPr>
              <w:rPr>
                <w:rFonts w:ascii="Arial" w:hAnsi="Arial" w:cs="Arial"/>
              </w:rPr>
            </w:pPr>
            <w:hyperlink r:id="rId40" w:history="1">
              <w:r w:rsidR="008E7844" w:rsidRPr="00653E50">
                <w:rPr>
                  <w:rStyle w:val="Hyperlink"/>
                  <w:rFonts w:ascii="Arial" w:hAnsi="Arial" w:cs="Arial"/>
                </w:rPr>
                <w:t>link</w:t>
              </w:r>
            </w:hyperlink>
          </w:p>
        </w:tc>
      </w:tr>
      <w:tr w:rsidR="008E7844" w:rsidRPr="00653E50" w14:paraId="59C2F54C" w14:textId="77777777" w:rsidTr="00C005D8">
        <w:tc>
          <w:tcPr>
            <w:tcW w:w="1341" w:type="dxa"/>
            <w:vMerge/>
          </w:tcPr>
          <w:p w14:paraId="52C9C626" w14:textId="77777777" w:rsidR="008E7844" w:rsidRPr="00653E50" w:rsidRDefault="008E7844" w:rsidP="00C005D8">
            <w:pPr>
              <w:rPr>
                <w:rFonts w:ascii="Arial" w:hAnsi="Arial" w:cs="Arial"/>
              </w:rPr>
            </w:pPr>
          </w:p>
        </w:tc>
        <w:tc>
          <w:tcPr>
            <w:tcW w:w="2765" w:type="dxa"/>
          </w:tcPr>
          <w:p w14:paraId="21C38BEE" w14:textId="77777777" w:rsidR="008E7844" w:rsidRPr="00653E50" w:rsidRDefault="008E7844" w:rsidP="00C005D8">
            <w:pPr>
              <w:rPr>
                <w:rFonts w:ascii="Arial" w:hAnsi="Arial" w:cs="Arial"/>
              </w:rPr>
            </w:pPr>
            <w:r w:rsidRPr="00653E50">
              <w:rPr>
                <w:rFonts w:ascii="Arial" w:hAnsi="Arial" w:cs="Arial"/>
              </w:rPr>
              <w:t>Census tracts</w:t>
            </w:r>
          </w:p>
        </w:tc>
        <w:tc>
          <w:tcPr>
            <w:tcW w:w="3119" w:type="dxa"/>
          </w:tcPr>
          <w:p w14:paraId="65DBE10E"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3F55CDBF" w14:textId="77777777" w:rsidR="008E7844" w:rsidRPr="00653E50" w:rsidRDefault="00000000" w:rsidP="00C005D8">
            <w:pPr>
              <w:rPr>
                <w:rFonts w:ascii="Arial" w:hAnsi="Arial" w:cs="Arial"/>
              </w:rPr>
            </w:pPr>
            <w:hyperlink r:id="rId41" w:history="1">
              <w:r w:rsidR="008E7844" w:rsidRPr="00653E50">
                <w:rPr>
                  <w:rStyle w:val="Hyperlink"/>
                  <w:rFonts w:ascii="Arial" w:hAnsi="Arial" w:cs="Arial"/>
                </w:rPr>
                <w:t>link</w:t>
              </w:r>
            </w:hyperlink>
          </w:p>
        </w:tc>
      </w:tr>
      <w:tr w:rsidR="008E7844" w:rsidRPr="00653E50" w14:paraId="168583DE" w14:textId="77777777" w:rsidTr="00C005D8">
        <w:tc>
          <w:tcPr>
            <w:tcW w:w="1341" w:type="dxa"/>
            <w:vMerge w:val="restart"/>
            <w:vAlign w:val="center"/>
          </w:tcPr>
          <w:p w14:paraId="27494771" w14:textId="77777777" w:rsidR="008E7844" w:rsidRPr="00653E50" w:rsidRDefault="008E7844" w:rsidP="00C005D8">
            <w:pPr>
              <w:rPr>
                <w:rFonts w:ascii="Arial" w:hAnsi="Arial" w:cs="Arial"/>
              </w:rPr>
            </w:pPr>
            <w:r w:rsidRPr="00653E50">
              <w:rPr>
                <w:rFonts w:ascii="Arial" w:hAnsi="Arial" w:cs="Arial"/>
              </w:rPr>
              <w:t>Seattle</w:t>
            </w:r>
          </w:p>
        </w:tc>
        <w:tc>
          <w:tcPr>
            <w:tcW w:w="2765" w:type="dxa"/>
          </w:tcPr>
          <w:p w14:paraId="414683EE"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49401F0C"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3BF3E42E" w14:textId="77777777" w:rsidR="008E7844" w:rsidRPr="00653E50" w:rsidRDefault="00000000" w:rsidP="00C005D8">
            <w:pPr>
              <w:rPr>
                <w:rFonts w:ascii="Arial" w:hAnsi="Arial" w:cs="Arial"/>
              </w:rPr>
            </w:pPr>
            <w:hyperlink r:id="rId42" w:history="1">
              <w:r w:rsidR="008E7844" w:rsidRPr="00653E50">
                <w:rPr>
                  <w:rStyle w:val="Hyperlink"/>
                  <w:rFonts w:ascii="Arial" w:hAnsi="Arial" w:cs="Arial"/>
                </w:rPr>
                <w:t>link</w:t>
              </w:r>
            </w:hyperlink>
          </w:p>
        </w:tc>
      </w:tr>
      <w:tr w:rsidR="008E7844" w:rsidRPr="00653E50" w14:paraId="492EF3E1" w14:textId="77777777" w:rsidTr="00C005D8">
        <w:tc>
          <w:tcPr>
            <w:tcW w:w="1341" w:type="dxa"/>
            <w:vMerge/>
          </w:tcPr>
          <w:p w14:paraId="1B20963F" w14:textId="77777777" w:rsidR="008E7844" w:rsidRPr="00653E50" w:rsidRDefault="008E7844" w:rsidP="00C005D8">
            <w:pPr>
              <w:rPr>
                <w:rFonts w:ascii="Arial" w:hAnsi="Arial" w:cs="Arial"/>
              </w:rPr>
            </w:pPr>
          </w:p>
        </w:tc>
        <w:tc>
          <w:tcPr>
            <w:tcW w:w="2765" w:type="dxa"/>
          </w:tcPr>
          <w:p w14:paraId="4C30A403"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0110D89E"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7E52CA7C" w14:textId="77777777" w:rsidR="008E7844" w:rsidRPr="00653E50" w:rsidRDefault="00000000" w:rsidP="00C005D8">
            <w:pPr>
              <w:rPr>
                <w:rFonts w:ascii="Arial" w:hAnsi="Arial" w:cs="Arial"/>
              </w:rPr>
            </w:pPr>
            <w:hyperlink r:id="rId43" w:history="1">
              <w:r w:rsidR="008E7844" w:rsidRPr="00653E50">
                <w:rPr>
                  <w:rStyle w:val="Hyperlink"/>
                  <w:rFonts w:ascii="Arial" w:hAnsi="Arial" w:cs="Arial"/>
                </w:rPr>
                <w:t>link</w:t>
              </w:r>
            </w:hyperlink>
          </w:p>
        </w:tc>
      </w:tr>
      <w:tr w:rsidR="008E7844" w:rsidRPr="00653E50" w14:paraId="2BB1A74B" w14:textId="77777777" w:rsidTr="00C005D8">
        <w:tc>
          <w:tcPr>
            <w:tcW w:w="1341" w:type="dxa"/>
            <w:vMerge/>
          </w:tcPr>
          <w:p w14:paraId="294ED548" w14:textId="77777777" w:rsidR="008E7844" w:rsidRPr="00653E50" w:rsidRDefault="008E7844" w:rsidP="00C005D8">
            <w:pPr>
              <w:rPr>
                <w:rFonts w:ascii="Arial" w:hAnsi="Arial" w:cs="Arial"/>
              </w:rPr>
            </w:pPr>
          </w:p>
        </w:tc>
        <w:tc>
          <w:tcPr>
            <w:tcW w:w="2765" w:type="dxa"/>
          </w:tcPr>
          <w:p w14:paraId="5058FD21"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00F3A9E4"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1EC94D92" w14:textId="77777777" w:rsidR="008E7844" w:rsidRPr="00653E50" w:rsidRDefault="00000000" w:rsidP="00C005D8">
            <w:pPr>
              <w:rPr>
                <w:rFonts w:ascii="Arial" w:hAnsi="Arial" w:cs="Arial"/>
              </w:rPr>
            </w:pPr>
            <w:hyperlink r:id="rId44" w:history="1">
              <w:r w:rsidR="008E7844" w:rsidRPr="00653E50">
                <w:rPr>
                  <w:rStyle w:val="Hyperlink"/>
                  <w:rFonts w:ascii="Arial" w:hAnsi="Arial" w:cs="Arial"/>
                </w:rPr>
                <w:t>link</w:t>
              </w:r>
            </w:hyperlink>
          </w:p>
        </w:tc>
      </w:tr>
      <w:tr w:rsidR="008E7844" w:rsidRPr="00653E50" w14:paraId="625F281C" w14:textId="77777777" w:rsidTr="00C005D8">
        <w:tc>
          <w:tcPr>
            <w:tcW w:w="1341" w:type="dxa"/>
            <w:vMerge/>
          </w:tcPr>
          <w:p w14:paraId="596BB1A3" w14:textId="77777777" w:rsidR="008E7844" w:rsidRPr="00653E50" w:rsidRDefault="008E7844" w:rsidP="00C005D8">
            <w:pPr>
              <w:rPr>
                <w:rFonts w:ascii="Arial" w:hAnsi="Arial" w:cs="Arial"/>
              </w:rPr>
            </w:pPr>
          </w:p>
        </w:tc>
        <w:tc>
          <w:tcPr>
            <w:tcW w:w="2765" w:type="dxa"/>
          </w:tcPr>
          <w:p w14:paraId="138AA40E"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48C4632F"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311DE176" w14:textId="77777777" w:rsidR="008E7844" w:rsidRPr="00653E50" w:rsidRDefault="00000000" w:rsidP="00C005D8">
            <w:pPr>
              <w:rPr>
                <w:rFonts w:ascii="Arial" w:hAnsi="Arial" w:cs="Arial"/>
              </w:rPr>
            </w:pPr>
            <w:hyperlink r:id="rId45" w:history="1">
              <w:r w:rsidR="008E7844" w:rsidRPr="00653E50">
                <w:rPr>
                  <w:rStyle w:val="Hyperlink"/>
                  <w:rFonts w:ascii="Arial" w:hAnsi="Arial" w:cs="Arial"/>
                </w:rPr>
                <w:t>link</w:t>
              </w:r>
            </w:hyperlink>
          </w:p>
        </w:tc>
      </w:tr>
      <w:tr w:rsidR="008E7844" w:rsidRPr="00653E50" w14:paraId="638A014E" w14:textId="77777777" w:rsidTr="00C005D8">
        <w:tc>
          <w:tcPr>
            <w:tcW w:w="1341" w:type="dxa"/>
            <w:vMerge/>
          </w:tcPr>
          <w:p w14:paraId="77929582" w14:textId="77777777" w:rsidR="008E7844" w:rsidRPr="00653E50" w:rsidRDefault="008E7844" w:rsidP="00C005D8">
            <w:pPr>
              <w:rPr>
                <w:rFonts w:ascii="Arial" w:hAnsi="Arial" w:cs="Arial"/>
              </w:rPr>
            </w:pPr>
          </w:p>
        </w:tc>
        <w:tc>
          <w:tcPr>
            <w:tcW w:w="2765" w:type="dxa"/>
          </w:tcPr>
          <w:p w14:paraId="4D7E862D"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09EE4032"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14217B75" w14:textId="77777777" w:rsidR="008E7844" w:rsidRPr="00653E50" w:rsidRDefault="00000000" w:rsidP="00C005D8">
            <w:pPr>
              <w:rPr>
                <w:rFonts w:ascii="Arial" w:hAnsi="Arial" w:cs="Arial"/>
              </w:rPr>
            </w:pPr>
            <w:hyperlink r:id="rId46" w:history="1">
              <w:r w:rsidR="008E7844" w:rsidRPr="00653E50">
                <w:rPr>
                  <w:rStyle w:val="Hyperlink"/>
                  <w:rFonts w:ascii="Arial" w:hAnsi="Arial" w:cs="Arial"/>
                </w:rPr>
                <w:t>link</w:t>
              </w:r>
            </w:hyperlink>
          </w:p>
        </w:tc>
      </w:tr>
      <w:tr w:rsidR="008E7844" w:rsidRPr="00653E50" w14:paraId="053EB580" w14:textId="77777777" w:rsidTr="00C005D8">
        <w:tc>
          <w:tcPr>
            <w:tcW w:w="1341" w:type="dxa"/>
            <w:vMerge/>
          </w:tcPr>
          <w:p w14:paraId="40610A51" w14:textId="77777777" w:rsidR="008E7844" w:rsidRPr="00653E50" w:rsidRDefault="008E7844" w:rsidP="00C005D8">
            <w:pPr>
              <w:rPr>
                <w:rFonts w:ascii="Arial" w:hAnsi="Arial" w:cs="Arial"/>
              </w:rPr>
            </w:pPr>
          </w:p>
        </w:tc>
        <w:tc>
          <w:tcPr>
            <w:tcW w:w="2765" w:type="dxa"/>
          </w:tcPr>
          <w:p w14:paraId="65D59E5D" w14:textId="77777777" w:rsidR="008E7844" w:rsidRPr="00653E50" w:rsidRDefault="008E7844" w:rsidP="00C005D8">
            <w:pPr>
              <w:rPr>
                <w:rFonts w:ascii="Arial" w:hAnsi="Arial" w:cs="Arial"/>
              </w:rPr>
            </w:pPr>
            <w:r w:rsidRPr="00653E50">
              <w:rPr>
                <w:rFonts w:ascii="Arial" w:hAnsi="Arial" w:cs="Arial"/>
              </w:rPr>
              <w:t>Census tracts</w:t>
            </w:r>
          </w:p>
        </w:tc>
        <w:tc>
          <w:tcPr>
            <w:tcW w:w="3119" w:type="dxa"/>
          </w:tcPr>
          <w:p w14:paraId="4F2946ED" w14:textId="77777777" w:rsidR="008E7844" w:rsidRPr="00653E50" w:rsidRDefault="008E7844" w:rsidP="00C005D8">
            <w:pPr>
              <w:rPr>
                <w:rFonts w:ascii="Arial" w:hAnsi="Arial" w:cs="Arial"/>
              </w:rPr>
            </w:pPr>
            <w:r w:rsidRPr="00653E50">
              <w:rPr>
                <w:rFonts w:ascii="Arial" w:hAnsi="Arial" w:cs="Arial"/>
              </w:rPr>
              <w:t xml:space="preserve">Local dataset </w:t>
            </w:r>
          </w:p>
        </w:tc>
        <w:tc>
          <w:tcPr>
            <w:tcW w:w="1842" w:type="dxa"/>
          </w:tcPr>
          <w:p w14:paraId="7D92D693" w14:textId="77777777" w:rsidR="008E7844" w:rsidRPr="00653E50" w:rsidRDefault="00000000" w:rsidP="00C005D8">
            <w:pPr>
              <w:rPr>
                <w:rFonts w:ascii="Arial" w:hAnsi="Arial" w:cs="Arial"/>
              </w:rPr>
            </w:pPr>
            <w:hyperlink r:id="rId47" w:history="1">
              <w:r w:rsidR="008E7844" w:rsidRPr="00653E50">
                <w:rPr>
                  <w:rStyle w:val="Hyperlink"/>
                  <w:rFonts w:ascii="Arial" w:hAnsi="Arial" w:cs="Arial"/>
                </w:rPr>
                <w:t>link</w:t>
              </w:r>
            </w:hyperlink>
          </w:p>
        </w:tc>
      </w:tr>
      <w:tr w:rsidR="008E7844" w:rsidRPr="00653E50" w14:paraId="2E0E889E" w14:textId="77777777" w:rsidTr="00C005D8">
        <w:tc>
          <w:tcPr>
            <w:tcW w:w="1341" w:type="dxa"/>
            <w:vMerge w:val="restart"/>
            <w:vAlign w:val="center"/>
          </w:tcPr>
          <w:p w14:paraId="51C598C9" w14:textId="77777777" w:rsidR="008E7844" w:rsidRPr="00653E50" w:rsidRDefault="008E7844" w:rsidP="00C005D8">
            <w:pPr>
              <w:rPr>
                <w:rFonts w:ascii="Arial" w:hAnsi="Arial" w:cs="Arial"/>
              </w:rPr>
            </w:pPr>
            <w:r w:rsidRPr="00653E50">
              <w:rPr>
                <w:rFonts w:ascii="Arial" w:hAnsi="Arial" w:cs="Arial"/>
              </w:rPr>
              <w:t>Buenos Aires</w:t>
            </w:r>
          </w:p>
        </w:tc>
        <w:tc>
          <w:tcPr>
            <w:tcW w:w="2765" w:type="dxa"/>
          </w:tcPr>
          <w:p w14:paraId="24833415"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5871D408"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21E01EE9" w14:textId="77777777" w:rsidR="008E7844" w:rsidRPr="00653E50" w:rsidRDefault="00000000" w:rsidP="00C005D8">
            <w:pPr>
              <w:rPr>
                <w:rFonts w:ascii="Arial" w:hAnsi="Arial" w:cs="Arial"/>
              </w:rPr>
            </w:pPr>
            <w:hyperlink r:id="rId48" w:history="1">
              <w:r w:rsidR="008E7844" w:rsidRPr="00653E50">
                <w:rPr>
                  <w:rStyle w:val="Hyperlink"/>
                  <w:rFonts w:ascii="Arial" w:hAnsi="Arial" w:cs="Arial"/>
                </w:rPr>
                <w:t>link</w:t>
              </w:r>
            </w:hyperlink>
          </w:p>
        </w:tc>
      </w:tr>
      <w:tr w:rsidR="008E7844" w:rsidRPr="00653E50" w14:paraId="3C2321FB" w14:textId="77777777" w:rsidTr="00C005D8">
        <w:tc>
          <w:tcPr>
            <w:tcW w:w="1341" w:type="dxa"/>
            <w:vMerge/>
          </w:tcPr>
          <w:p w14:paraId="7E9BE32C" w14:textId="77777777" w:rsidR="008E7844" w:rsidRPr="00653E50" w:rsidRDefault="008E7844" w:rsidP="00C005D8">
            <w:pPr>
              <w:rPr>
                <w:rFonts w:ascii="Arial" w:hAnsi="Arial" w:cs="Arial"/>
              </w:rPr>
            </w:pPr>
          </w:p>
        </w:tc>
        <w:tc>
          <w:tcPr>
            <w:tcW w:w="2765" w:type="dxa"/>
          </w:tcPr>
          <w:p w14:paraId="3D66FDA7"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331DD473" w14:textId="77777777" w:rsidR="008E7844" w:rsidRPr="00653E50" w:rsidRDefault="008E7844" w:rsidP="00C005D8">
            <w:pPr>
              <w:rPr>
                <w:rFonts w:ascii="Arial" w:hAnsi="Arial" w:cs="Arial"/>
              </w:rPr>
            </w:pPr>
            <w:proofErr w:type="spellStart"/>
            <w:r w:rsidRPr="00653E50">
              <w:rPr>
                <w:rFonts w:ascii="Arial" w:hAnsi="Arial" w:cs="Arial"/>
              </w:rPr>
              <w:t>Treepedia</w:t>
            </w:r>
            <w:proofErr w:type="spellEnd"/>
          </w:p>
        </w:tc>
        <w:tc>
          <w:tcPr>
            <w:tcW w:w="1842" w:type="dxa"/>
          </w:tcPr>
          <w:p w14:paraId="1A6BFF05" w14:textId="77777777" w:rsidR="008E7844" w:rsidRPr="00653E50" w:rsidRDefault="00000000" w:rsidP="00C005D8">
            <w:pPr>
              <w:rPr>
                <w:rFonts w:ascii="Arial" w:hAnsi="Arial" w:cs="Arial"/>
              </w:rPr>
            </w:pPr>
            <w:hyperlink r:id="rId49" w:history="1">
              <w:r w:rsidR="008E7844" w:rsidRPr="00653E50">
                <w:rPr>
                  <w:rStyle w:val="Hyperlink"/>
                  <w:rFonts w:ascii="Arial" w:hAnsi="Arial" w:cs="Arial"/>
                </w:rPr>
                <w:t>link</w:t>
              </w:r>
            </w:hyperlink>
          </w:p>
        </w:tc>
      </w:tr>
      <w:tr w:rsidR="008E7844" w:rsidRPr="00653E50" w14:paraId="1E8171D8" w14:textId="77777777" w:rsidTr="00C005D8">
        <w:tc>
          <w:tcPr>
            <w:tcW w:w="1341" w:type="dxa"/>
            <w:vMerge/>
          </w:tcPr>
          <w:p w14:paraId="2ADB78BF" w14:textId="77777777" w:rsidR="008E7844" w:rsidRPr="00653E50" w:rsidRDefault="008E7844" w:rsidP="00C005D8">
            <w:pPr>
              <w:rPr>
                <w:rFonts w:ascii="Arial" w:hAnsi="Arial" w:cs="Arial"/>
              </w:rPr>
            </w:pPr>
          </w:p>
        </w:tc>
        <w:tc>
          <w:tcPr>
            <w:tcW w:w="2765" w:type="dxa"/>
          </w:tcPr>
          <w:p w14:paraId="40B3F3B4"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529922B2"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57D4EC7E" w14:textId="77777777" w:rsidR="008E7844" w:rsidRPr="00653E50" w:rsidRDefault="00000000" w:rsidP="00C005D8">
            <w:pPr>
              <w:rPr>
                <w:rFonts w:ascii="Arial" w:hAnsi="Arial" w:cs="Arial"/>
              </w:rPr>
            </w:pPr>
            <w:hyperlink r:id="rId50" w:history="1">
              <w:r w:rsidR="008E7844" w:rsidRPr="00653E50">
                <w:rPr>
                  <w:rStyle w:val="Hyperlink"/>
                  <w:rFonts w:ascii="Arial" w:hAnsi="Arial" w:cs="Arial"/>
                </w:rPr>
                <w:t>link</w:t>
              </w:r>
            </w:hyperlink>
          </w:p>
        </w:tc>
      </w:tr>
      <w:tr w:rsidR="008E7844" w:rsidRPr="00653E50" w14:paraId="1202F48E" w14:textId="77777777" w:rsidTr="00C005D8">
        <w:tc>
          <w:tcPr>
            <w:tcW w:w="1341" w:type="dxa"/>
            <w:vMerge/>
          </w:tcPr>
          <w:p w14:paraId="66F93DAA" w14:textId="77777777" w:rsidR="008E7844" w:rsidRPr="00653E50" w:rsidRDefault="008E7844" w:rsidP="00C005D8">
            <w:pPr>
              <w:rPr>
                <w:rFonts w:ascii="Arial" w:hAnsi="Arial" w:cs="Arial"/>
              </w:rPr>
            </w:pPr>
          </w:p>
        </w:tc>
        <w:tc>
          <w:tcPr>
            <w:tcW w:w="2765" w:type="dxa"/>
          </w:tcPr>
          <w:p w14:paraId="02BF8691"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089A1A0F"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1AE65977" w14:textId="77777777" w:rsidR="008E7844" w:rsidRPr="00653E50" w:rsidRDefault="00000000" w:rsidP="00C005D8">
            <w:pPr>
              <w:rPr>
                <w:rFonts w:ascii="Arial" w:hAnsi="Arial" w:cs="Arial"/>
              </w:rPr>
            </w:pPr>
            <w:hyperlink r:id="rId51" w:history="1">
              <w:r w:rsidR="008E7844" w:rsidRPr="00653E50">
                <w:rPr>
                  <w:rStyle w:val="Hyperlink"/>
                  <w:rFonts w:ascii="Arial" w:hAnsi="Arial" w:cs="Arial"/>
                </w:rPr>
                <w:t>link</w:t>
              </w:r>
            </w:hyperlink>
          </w:p>
        </w:tc>
      </w:tr>
      <w:tr w:rsidR="008E7844" w:rsidRPr="00653E50" w14:paraId="4475BAA8" w14:textId="77777777" w:rsidTr="00C005D8">
        <w:tc>
          <w:tcPr>
            <w:tcW w:w="1341" w:type="dxa"/>
            <w:vMerge/>
          </w:tcPr>
          <w:p w14:paraId="166C9702" w14:textId="77777777" w:rsidR="008E7844" w:rsidRPr="00653E50" w:rsidRDefault="008E7844" w:rsidP="00C005D8">
            <w:pPr>
              <w:rPr>
                <w:rFonts w:ascii="Arial" w:hAnsi="Arial" w:cs="Arial"/>
              </w:rPr>
            </w:pPr>
          </w:p>
        </w:tc>
        <w:tc>
          <w:tcPr>
            <w:tcW w:w="2765" w:type="dxa"/>
          </w:tcPr>
          <w:p w14:paraId="5EE9F863"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50EAC930" w14:textId="77777777" w:rsidR="008E7844" w:rsidRPr="00653E50" w:rsidRDefault="008E7844" w:rsidP="00C005D8">
            <w:pPr>
              <w:rPr>
                <w:rFonts w:ascii="Arial" w:hAnsi="Arial" w:cs="Arial"/>
              </w:rPr>
            </w:pPr>
            <w:r w:rsidRPr="00653E50">
              <w:rPr>
                <w:rFonts w:ascii="Arial" w:hAnsi="Arial" w:cs="Arial"/>
              </w:rPr>
              <w:t>Corporate dataset (Google)</w:t>
            </w:r>
          </w:p>
        </w:tc>
        <w:tc>
          <w:tcPr>
            <w:tcW w:w="1842" w:type="dxa"/>
          </w:tcPr>
          <w:p w14:paraId="5A352914" w14:textId="77777777" w:rsidR="008E7844" w:rsidRPr="00653E50" w:rsidRDefault="00000000" w:rsidP="00C005D8">
            <w:pPr>
              <w:rPr>
                <w:rFonts w:ascii="Arial" w:hAnsi="Arial" w:cs="Arial"/>
              </w:rPr>
            </w:pPr>
            <w:hyperlink r:id="rId52" w:anchor="download" w:history="1">
              <w:r w:rsidR="008E7844" w:rsidRPr="00653E50">
                <w:rPr>
                  <w:rStyle w:val="Hyperlink"/>
                  <w:rFonts w:ascii="Arial" w:hAnsi="Arial" w:cs="Arial"/>
                </w:rPr>
                <w:t>link</w:t>
              </w:r>
            </w:hyperlink>
          </w:p>
        </w:tc>
      </w:tr>
      <w:tr w:rsidR="008E7844" w:rsidRPr="00653E50" w14:paraId="33392C32" w14:textId="77777777" w:rsidTr="00C005D8">
        <w:tc>
          <w:tcPr>
            <w:tcW w:w="1341" w:type="dxa"/>
            <w:vMerge/>
          </w:tcPr>
          <w:p w14:paraId="7386A96D" w14:textId="77777777" w:rsidR="008E7844" w:rsidRPr="00653E50" w:rsidRDefault="008E7844" w:rsidP="00C005D8">
            <w:pPr>
              <w:rPr>
                <w:rFonts w:ascii="Arial" w:hAnsi="Arial" w:cs="Arial"/>
              </w:rPr>
            </w:pPr>
          </w:p>
        </w:tc>
        <w:tc>
          <w:tcPr>
            <w:tcW w:w="2765" w:type="dxa"/>
          </w:tcPr>
          <w:p w14:paraId="101EB81B" w14:textId="77777777" w:rsidR="008E7844" w:rsidRPr="00653E50" w:rsidRDefault="008E7844" w:rsidP="00C005D8">
            <w:pPr>
              <w:rPr>
                <w:rFonts w:ascii="Arial" w:hAnsi="Arial" w:cs="Arial"/>
              </w:rPr>
            </w:pPr>
            <w:r w:rsidRPr="00653E50">
              <w:rPr>
                <w:rFonts w:ascii="Arial" w:hAnsi="Arial" w:cs="Arial"/>
              </w:rPr>
              <w:t>Neighbourhoods</w:t>
            </w:r>
          </w:p>
        </w:tc>
        <w:tc>
          <w:tcPr>
            <w:tcW w:w="3119" w:type="dxa"/>
          </w:tcPr>
          <w:p w14:paraId="0589A0E1" w14:textId="77777777" w:rsidR="008E7844" w:rsidRPr="00653E50" w:rsidRDefault="008E7844" w:rsidP="00C005D8">
            <w:pPr>
              <w:rPr>
                <w:rFonts w:ascii="Arial" w:hAnsi="Arial" w:cs="Arial"/>
              </w:rPr>
            </w:pPr>
            <w:r w:rsidRPr="00653E50">
              <w:rPr>
                <w:rFonts w:ascii="Arial" w:hAnsi="Arial" w:cs="Arial"/>
              </w:rPr>
              <w:t>Municipal dataset</w:t>
            </w:r>
          </w:p>
        </w:tc>
        <w:tc>
          <w:tcPr>
            <w:tcW w:w="1842" w:type="dxa"/>
          </w:tcPr>
          <w:p w14:paraId="0BED8CA4" w14:textId="77777777" w:rsidR="008E7844" w:rsidRPr="00653E50" w:rsidRDefault="00000000" w:rsidP="00C005D8">
            <w:pPr>
              <w:rPr>
                <w:rFonts w:ascii="Arial" w:hAnsi="Arial" w:cs="Arial"/>
              </w:rPr>
            </w:pPr>
            <w:hyperlink r:id="rId53" w:history="1">
              <w:r w:rsidR="008E7844" w:rsidRPr="00653E50">
                <w:rPr>
                  <w:rStyle w:val="Hyperlink"/>
                  <w:rFonts w:ascii="Arial" w:hAnsi="Arial" w:cs="Arial"/>
                </w:rPr>
                <w:t>link</w:t>
              </w:r>
            </w:hyperlink>
          </w:p>
        </w:tc>
      </w:tr>
      <w:tr w:rsidR="008E7844" w:rsidRPr="00653E50" w14:paraId="213F938E" w14:textId="77777777" w:rsidTr="00C005D8">
        <w:tc>
          <w:tcPr>
            <w:tcW w:w="1341" w:type="dxa"/>
            <w:vMerge w:val="restart"/>
            <w:vAlign w:val="center"/>
          </w:tcPr>
          <w:p w14:paraId="336151FB" w14:textId="77777777" w:rsidR="008E7844" w:rsidRPr="00653E50" w:rsidRDefault="008E7844" w:rsidP="00C005D8">
            <w:pPr>
              <w:rPr>
                <w:rFonts w:ascii="Arial" w:hAnsi="Arial" w:cs="Arial"/>
              </w:rPr>
            </w:pPr>
            <w:r w:rsidRPr="00653E50">
              <w:rPr>
                <w:rFonts w:ascii="Arial" w:hAnsi="Arial" w:cs="Arial"/>
              </w:rPr>
              <w:t>Amsterdam</w:t>
            </w:r>
          </w:p>
        </w:tc>
        <w:tc>
          <w:tcPr>
            <w:tcW w:w="2765" w:type="dxa"/>
          </w:tcPr>
          <w:p w14:paraId="3792DF87"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1896139D"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507B3225" w14:textId="77777777" w:rsidR="008E7844" w:rsidRPr="00653E50" w:rsidRDefault="00000000" w:rsidP="00C005D8">
            <w:pPr>
              <w:rPr>
                <w:rFonts w:ascii="Arial" w:hAnsi="Arial" w:cs="Arial"/>
              </w:rPr>
            </w:pPr>
            <w:hyperlink r:id="rId54" w:history="1">
              <w:r w:rsidR="008E7844" w:rsidRPr="00653E50">
                <w:rPr>
                  <w:rStyle w:val="Hyperlink"/>
                  <w:rFonts w:ascii="Arial" w:hAnsi="Arial" w:cs="Arial"/>
                </w:rPr>
                <w:t>link</w:t>
              </w:r>
            </w:hyperlink>
          </w:p>
        </w:tc>
      </w:tr>
      <w:tr w:rsidR="008E7844" w:rsidRPr="00653E50" w14:paraId="1C216055" w14:textId="77777777" w:rsidTr="00C005D8">
        <w:tc>
          <w:tcPr>
            <w:tcW w:w="1341" w:type="dxa"/>
            <w:vMerge/>
          </w:tcPr>
          <w:p w14:paraId="1F0C6775" w14:textId="77777777" w:rsidR="008E7844" w:rsidRPr="00653E50" w:rsidRDefault="008E7844" w:rsidP="00C005D8">
            <w:pPr>
              <w:rPr>
                <w:rFonts w:ascii="Arial" w:hAnsi="Arial" w:cs="Arial"/>
              </w:rPr>
            </w:pPr>
          </w:p>
        </w:tc>
        <w:tc>
          <w:tcPr>
            <w:tcW w:w="2765" w:type="dxa"/>
          </w:tcPr>
          <w:p w14:paraId="39E9C82C"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58B12390" w14:textId="77777777" w:rsidR="008E7844" w:rsidRPr="00653E50" w:rsidRDefault="008E7844" w:rsidP="00C005D8">
            <w:pPr>
              <w:rPr>
                <w:rFonts w:ascii="Arial" w:hAnsi="Arial" w:cs="Arial"/>
              </w:rPr>
            </w:pPr>
            <w:r w:rsidRPr="00653E50">
              <w:rPr>
                <w:rFonts w:ascii="Arial" w:hAnsi="Arial" w:cs="Arial"/>
              </w:rPr>
              <w:t>National dataset</w:t>
            </w:r>
          </w:p>
        </w:tc>
        <w:tc>
          <w:tcPr>
            <w:tcW w:w="1842" w:type="dxa"/>
          </w:tcPr>
          <w:p w14:paraId="1EAE3484" w14:textId="77777777" w:rsidR="008E7844" w:rsidRPr="00653E50" w:rsidRDefault="00000000" w:rsidP="00C005D8">
            <w:pPr>
              <w:rPr>
                <w:rFonts w:ascii="Arial" w:hAnsi="Arial" w:cs="Arial"/>
              </w:rPr>
            </w:pPr>
            <w:hyperlink r:id="rId55" w:history="1">
              <w:r w:rsidR="008E7844" w:rsidRPr="00653E50">
                <w:rPr>
                  <w:rStyle w:val="Hyperlink"/>
                  <w:rFonts w:ascii="Arial" w:hAnsi="Arial" w:cs="Arial"/>
                </w:rPr>
                <w:t>link</w:t>
              </w:r>
            </w:hyperlink>
          </w:p>
        </w:tc>
      </w:tr>
      <w:tr w:rsidR="008E7844" w:rsidRPr="00653E50" w14:paraId="19E538CC" w14:textId="77777777" w:rsidTr="00C005D8">
        <w:tc>
          <w:tcPr>
            <w:tcW w:w="1341" w:type="dxa"/>
            <w:vMerge/>
          </w:tcPr>
          <w:p w14:paraId="47794F15" w14:textId="77777777" w:rsidR="008E7844" w:rsidRPr="00653E50" w:rsidRDefault="008E7844" w:rsidP="00C005D8">
            <w:pPr>
              <w:rPr>
                <w:rFonts w:ascii="Arial" w:hAnsi="Arial" w:cs="Arial"/>
              </w:rPr>
            </w:pPr>
          </w:p>
        </w:tc>
        <w:tc>
          <w:tcPr>
            <w:tcW w:w="2765" w:type="dxa"/>
          </w:tcPr>
          <w:p w14:paraId="13DBA6EF"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6C9FCB2E"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494291EE" w14:textId="77777777" w:rsidR="008E7844" w:rsidRPr="00653E50" w:rsidRDefault="00000000" w:rsidP="00C005D8">
            <w:pPr>
              <w:rPr>
                <w:rFonts w:ascii="Arial" w:hAnsi="Arial" w:cs="Arial"/>
              </w:rPr>
            </w:pPr>
            <w:hyperlink r:id="rId56" w:history="1">
              <w:r w:rsidR="008E7844" w:rsidRPr="00653E50">
                <w:rPr>
                  <w:rStyle w:val="Hyperlink"/>
                  <w:rFonts w:ascii="Arial" w:hAnsi="Arial" w:cs="Arial"/>
                </w:rPr>
                <w:t>link</w:t>
              </w:r>
            </w:hyperlink>
          </w:p>
        </w:tc>
      </w:tr>
      <w:tr w:rsidR="008E7844" w:rsidRPr="00653E50" w14:paraId="7E074801" w14:textId="77777777" w:rsidTr="00C005D8">
        <w:tc>
          <w:tcPr>
            <w:tcW w:w="1341" w:type="dxa"/>
            <w:vMerge/>
          </w:tcPr>
          <w:p w14:paraId="09C09BB7" w14:textId="77777777" w:rsidR="008E7844" w:rsidRPr="00653E50" w:rsidRDefault="008E7844" w:rsidP="00C005D8">
            <w:pPr>
              <w:rPr>
                <w:rFonts w:ascii="Arial" w:hAnsi="Arial" w:cs="Arial"/>
              </w:rPr>
            </w:pPr>
          </w:p>
        </w:tc>
        <w:tc>
          <w:tcPr>
            <w:tcW w:w="2765" w:type="dxa"/>
          </w:tcPr>
          <w:p w14:paraId="3D227866"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6E71AE61" w14:textId="77777777" w:rsidR="008E7844" w:rsidRPr="00653E50" w:rsidRDefault="008E7844" w:rsidP="00C005D8">
            <w:pPr>
              <w:rPr>
                <w:rFonts w:ascii="Arial" w:hAnsi="Arial" w:cs="Arial"/>
              </w:rPr>
            </w:pPr>
            <w:r w:rsidRPr="00653E50">
              <w:rPr>
                <w:rFonts w:ascii="Arial" w:hAnsi="Arial" w:cs="Arial"/>
              </w:rPr>
              <w:t>Open Street Map</w:t>
            </w:r>
          </w:p>
        </w:tc>
        <w:tc>
          <w:tcPr>
            <w:tcW w:w="1842" w:type="dxa"/>
          </w:tcPr>
          <w:p w14:paraId="1A3BAA77" w14:textId="77777777" w:rsidR="008E7844" w:rsidRPr="00653E50" w:rsidRDefault="00000000" w:rsidP="00C005D8">
            <w:pPr>
              <w:rPr>
                <w:rFonts w:ascii="Arial" w:hAnsi="Arial" w:cs="Arial"/>
              </w:rPr>
            </w:pPr>
            <w:hyperlink r:id="rId57" w:history="1">
              <w:r w:rsidR="008E7844" w:rsidRPr="00653E50">
                <w:rPr>
                  <w:rStyle w:val="Hyperlink"/>
                  <w:rFonts w:ascii="Arial" w:hAnsi="Arial" w:cs="Arial"/>
                </w:rPr>
                <w:t>link</w:t>
              </w:r>
            </w:hyperlink>
          </w:p>
        </w:tc>
      </w:tr>
      <w:tr w:rsidR="008E7844" w:rsidRPr="00653E50" w14:paraId="677F8C1B" w14:textId="77777777" w:rsidTr="00C005D8">
        <w:tc>
          <w:tcPr>
            <w:tcW w:w="1341" w:type="dxa"/>
            <w:vMerge/>
          </w:tcPr>
          <w:p w14:paraId="78625814" w14:textId="77777777" w:rsidR="008E7844" w:rsidRPr="00653E50" w:rsidRDefault="008E7844" w:rsidP="00C005D8">
            <w:pPr>
              <w:rPr>
                <w:rFonts w:ascii="Arial" w:hAnsi="Arial" w:cs="Arial"/>
              </w:rPr>
            </w:pPr>
          </w:p>
        </w:tc>
        <w:tc>
          <w:tcPr>
            <w:tcW w:w="2765" w:type="dxa"/>
          </w:tcPr>
          <w:p w14:paraId="6FD9F212"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172891A8" w14:textId="77777777" w:rsidR="008E7844" w:rsidRPr="00653E50" w:rsidRDefault="008E7844" w:rsidP="00C005D8">
            <w:pPr>
              <w:rPr>
                <w:rFonts w:ascii="Arial" w:hAnsi="Arial" w:cs="Arial"/>
              </w:rPr>
            </w:pPr>
            <w:r w:rsidRPr="00653E50">
              <w:rPr>
                <w:rFonts w:ascii="Arial" w:hAnsi="Arial" w:cs="Arial"/>
              </w:rPr>
              <w:t>EU dataset</w:t>
            </w:r>
          </w:p>
        </w:tc>
        <w:tc>
          <w:tcPr>
            <w:tcW w:w="1842" w:type="dxa"/>
          </w:tcPr>
          <w:p w14:paraId="0A6889EA" w14:textId="77777777" w:rsidR="008E7844" w:rsidRPr="00653E50" w:rsidRDefault="00000000" w:rsidP="00C005D8">
            <w:pPr>
              <w:rPr>
                <w:rFonts w:ascii="Arial" w:hAnsi="Arial" w:cs="Arial"/>
              </w:rPr>
            </w:pPr>
            <w:hyperlink r:id="rId58" w:history="1">
              <w:r w:rsidR="008E7844" w:rsidRPr="00653E50">
                <w:rPr>
                  <w:rStyle w:val="Hyperlink"/>
                  <w:rFonts w:ascii="Arial" w:hAnsi="Arial" w:cs="Arial"/>
                </w:rPr>
                <w:t>link</w:t>
              </w:r>
            </w:hyperlink>
          </w:p>
        </w:tc>
      </w:tr>
      <w:tr w:rsidR="008E7844" w:rsidRPr="00653E50" w14:paraId="2BA87287" w14:textId="77777777" w:rsidTr="00C005D8">
        <w:tc>
          <w:tcPr>
            <w:tcW w:w="1341" w:type="dxa"/>
            <w:vMerge/>
          </w:tcPr>
          <w:p w14:paraId="232EC732" w14:textId="77777777" w:rsidR="008E7844" w:rsidRPr="00653E50" w:rsidRDefault="008E7844" w:rsidP="00C005D8">
            <w:pPr>
              <w:rPr>
                <w:rFonts w:ascii="Arial" w:hAnsi="Arial" w:cs="Arial"/>
              </w:rPr>
            </w:pPr>
          </w:p>
        </w:tc>
        <w:tc>
          <w:tcPr>
            <w:tcW w:w="2765" w:type="dxa"/>
          </w:tcPr>
          <w:p w14:paraId="549C8568" w14:textId="77777777" w:rsidR="008E7844" w:rsidRPr="00653E50" w:rsidRDefault="008E7844" w:rsidP="00C005D8">
            <w:pPr>
              <w:rPr>
                <w:rFonts w:ascii="Arial" w:hAnsi="Arial" w:cs="Arial"/>
              </w:rPr>
            </w:pPr>
            <w:r w:rsidRPr="00653E50">
              <w:rPr>
                <w:rFonts w:ascii="Arial" w:hAnsi="Arial" w:cs="Arial"/>
              </w:rPr>
              <w:t>Neighbourhoods</w:t>
            </w:r>
          </w:p>
        </w:tc>
        <w:tc>
          <w:tcPr>
            <w:tcW w:w="3119" w:type="dxa"/>
          </w:tcPr>
          <w:p w14:paraId="13B6C21F" w14:textId="77777777" w:rsidR="008E7844" w:rsidRPr="00653E50" w:rsidRDefault="008E7844" w:rsidP="00C005D8">
            <w:pPr>
              <w:rPr>
                <w:rFonts w:ascii="Arial" w:hAnsi="Arial" w:cs="Arial"/>
              </w:rPr>
            </w:pPr>
            <w:r w:rsidRPr="00653E50">
              <w:rPr>
                <w:rFonts w:ascii="Arial" w:hAnsi="Arial" w:cs="Arial"/>
              </w:rPr>
              <w:t>Local dataset</w:t>
            </w:r>
          </w:p>
        </w:tc>
        <w:tc>
          <w:tcPr>
            <w:tcW w:w="1842" w:type="dxa"/>
          </w:tcPr>
          <w:p w14:paraId="6541E2D8" w14:textId="77777777" w:rsidR="008E7844" w:rsidRPr="00653E50" w:rsidRDefault="00000000" w:rsidP="00C005D8">
            <w:pPr>
              <w:rPr>
                <w:rFonts w:ascii="Arial" w:hAnsi="Arial" w:cs="Arial"/>
              </w:rPr>
            </w:pPr>
            <w:hyperlink r:id="rId59" w:history="1">
              <w:r w:rsidR="008E7844" w:rsidRPr="00653E50">
                <w:rPr>
                  <w:rStyle w:val="Hyperlink"/>
                  <w:rFonts w:ascii="Arial" w:hAnsi="Arial" w:cs="Arial"/>
                </w:rPr>
                <w:t>link</w:t>
              </w:r>
            </w:hyperlink>
          </w:p>
        </w:tc>
      </w:tr>
      <w:tr w:rsidR="008E7844" w:rsidRPr="00653E50" w14:paraId="295554A8" w14:textId="77777777" w:rsidTr="00C005D8">
        <w:tc>
          <w:tcPr>
            <w:tcW w:w="1341" w:type="dxa"/>
            <w:vMerge w:val="restart"/>
            <w:vAlign w:val="center"/>
          </w:tcPr>
          <w:p w14:paraId="783E7AC2" w14:textId="77777777" w:rsidR="008E7844" w:rsidRPr="00653E50" w:rsidRDefault="008E7844" w:rsidP="00C005D8">
            <w:pPr>
              <w:rPr>
                <w:rFonts w:ascii="Arial" w:hAnsi="Arial" w:cs="Arial"/>
              </w:rPr>
            </w:pPr>
            <w:r w:rsidRPr="00653E50">
              <w:rPr>
                <w:rFonts w:ascii="Arial" w:hAnsi="Arial" w:cs="Arial"/>
              </w:rPr>
              <w:t>Singapore</w:t>
            </w:r>
          </w:p>
        </w:tc>
        <w:tc>
          <w:tcPr>
            <w:tcW w:w="2765" w:type="dxa"/>
          </w:tcPr>
          <w:p w14:paraId="0FF85CE4" w14:textId="77777777" w:rsidR="008E7844" w:rsidRPr="00653E50" w:rsidRDefault="008E7844" w:rsidP="00C005D8">
            <w:pPr>
              <w:rPr>
                <w:rFonts w:ascii="Arial" w:hAnsi="Arial" w:cs="Arial"/>
              </w:rPr>
            </w:pPr>
            <w:r w:rsidRPr="00653E50">
              <w:rPr>
                <w:rFonts w:ascii="Arial" w:hAnsi="Arial" w:cs="Arial"/>
              </w:rPr>
              <w:t>Tree inventory</w:t>
            </w:r>
          </w:p>
        </w:tc>
        <w:tc>
          <w:tcPr>
            <w:tcW w:w="3119" w:type="dxa"/>
          </w:tcPr>
          <w:p w14:paraId="46104668" w14:textId="77777777" w:rsidR="008E7844" w:rsidRPr="00653E50" w:rsidRDefault="008E7844" w:rsidP="00C005D8">
            <w:pPr>
              <w:rPr>
                <w:rFonts w:ascii="Arial" w:hAnsi="Arial" w:cs="Arial"/>
              </w:rPr>
            </w:pPr>
            <w:r w:rsidRPr="00653E50">
              <w:rPr>
                <w:rFonts w:ascii="Arial" w:hAnsi="Arial" w:cs="Arial"/>
              </w:rPr>
              <w:t xml:space="preserve">National (trees.sg), hosted informally </w:t>
            </w:r>
          </w:p>
        </w:tc>
        <w:tc>
          <w:tcPr>
            <w:tcW w:w="1842" w:type="dxa"/>
          </w:tcPr>
          <w:p w14:paraId="7969EABB" w14:textId="77777777" w:rsidR="008E7844" w:rsidRPr="00653E50" w:rsidRDefault="00000000" w:rsidP="00C005D8">
            <w:pPr>
              <w:rPr>
                <w:rFonts w:ascii="Arial" w:hAnsi="Arial" w:cs="Arial"/>
              </w:rPr>
            </w:pPr>
            <w:hyperlink r:id="rId60" w:history="1">
              <w:r w:rsidR="008E7844" w:rsidRPr="00653E50">
                <w:rPr>
                  <w:rStyle w:val="Hyperlink"/>
                  <w:rFonts w:ascii="Arial" w:hAnsi="Arial" w:cs="Arial"/>
                </w:rPr>
                <w:t>link</w:t>
              </w:r>
            </w:hyperlink>
          </w:p>
          <w:p w14:paraId="6F5EF7CD" w14:textId="77777777" w:rsidR="008E7844" w:rsidRPr="00653E50" w:rsidRDefault="008E7844" w:rsidP="00C005D8">
            <w:pPr>
              <w:rPr>
                <w:rFonts w:ascii="Arial" w:hAnsi="Arial" w:cs="Arial"/>
              </w:rPr>
            </w:pPr>
          </w:p>
        </w:tc>
      </w:tr>
      <w:tr w:rsidR="008E7844" w:rsidRPr="00653E50" w14:paraId="6041BC6A" w14:textId="77777777" w:rsidTr="00C005D8">
        <w:tc>
          <w:tcPr>
            <w:tcW w:w="1341" w:type="dxa"/>
            <w:vMerge/>
          </w:tcPr>
          <w:p w14:paraId="499D7B23" w14:textId="77777777" w:rsidR="008E7844" w:rsidRPr="00653E50" w:rsidRDefault="008E7844" w:rsidP="00C005D8">
            <w:pPr>
              <w:rPr>
                <w:rFonts w:ascii="Arial" w:hAnsi="Arial" w:cs="Arial"/>
              </w:rPr>
            </w:pPr>
          </w:p>
        </w:tc>
        <w:tc>
          <w:tcPr>
            <w:tcW w:w="2765" w:type="dxa"/>
          </w:tcPr>
          <w:p w14:paraId="3989B9D8" w14:textId="77777777" w:rsidR="008E7844" w:rsidRPr="00653E50" w:rsidRDefault="008E7844" w:rsidP="00C005D8">
            <w:pPr>
              <w:rPr>
                <w:rFonts w:ascii="Arial" w:hAnsi="Arial" w:cs="Arial"/>
              </w:rPr>
            </w:pPr>
            <w:r w:rsidRPr="00653E50">
              <w:rPr>
                <w:rFonts w:ascii="Arial" w:hAnsi="Arial" w:cs="Arial"/>
              </w:rPr>
              <w:t>Canopy</w:t>
            </w:r>
          </w:p>
        </w:tc>
        <w:tc>
          <w:tcPr>
            <w:tcW w:w="3119" w:type="dxa"/>
          </w:tcPr>
          <w:p w14:paraId="73AB5BEC" w14:textId="77777777" w:rsidR="008E7844" w:rsidRPr="00653E50" w:rsidRDefault="008E7844" w:rsidP="00C005D8">
            <w:pPr>
              <w:rPr>
                <w:rFonts w:ascii="Arial" w:hAnsi="Arial" w:cs="Arial"/>
              </w:rPr>
            </w:pPr>
            <w:proofErr w:type="spellStart"/>
            <w:r w:rsidRPr="00653E50">
              <w:rPr>
                <w:rFonts w:ascii="Arial" w:hAnsi="Arial" w:cs="Arial"/>
              </w:rPr>
              <w:t>Treepedia</w:t>
            </w:r>
            <w:proofErr w:type="spellEnd"/>
          </w:p>
        </w:tc>
        <w:tc>
          <w:tcPr>
            <w:tcW w:w="1842" w:type="dxa"/>
          </w:tcPr>
          <w:p w14:paraId="0FF25F61" w14:textId="77777777" w:rsidR="008E7844" w:rsidRPr="00653E50" w:rsidRDefault="00000000" w:rsidP="00C005D8">
            <w:pPr>
              <w:rPr>
                <w:rFonts w:ascii="Arial" w:hAnsi="Arial" w:cs="Arial"/>
              </w:rPr>
            </w:pPr>
            <w:hyperlink r:id="rId61" w:history="1">
              <w:r w:rsidR="008E7844" w:rsidRPr="00653E50">
                <w:rPr>
                  <w:rStyle w:val="Hyperlink"/>
                  <w:rFonts w:ascii="Arial" w:hAnsi="Arial" w:cs="Arial"/>
                </w:rPr>
                <w:t>link</w:t>
              </w:r>
            </w:hyperlink>
          </w:p>
        </w:tc>
      </w:tr>
      <w:tr w:rsidR="008E7844" w:rsidRPr="00653E50" w14:paraId="16D3558B" w14:textId="77777777" w:rsidTr="00C005D8">
        <w:tc>
          <w:tcPr>
            <w:tcW w:w="1341" w:type="dxa"/>
            <w:vMerge/>
          </w:tcPr>
          <w:p w14:paraId="54E626D7" w14:textId="77777777" w:rsidR="008E7844" w:rsidRPr="00653E50" w:rsidRDefault="008E7844" w:rsidP="00C005D8">
            <w:pPr>
              <w:rPr>
                <w:rFonts w:ascii="Arial" w:hAnsi="Arial" w:cs="Arial"/>
              </w:rPr>
            </w:pPr>
          </w:p>
        </w:tc>
        <w:tc>
          <w:tcPr>
            <w:tcW w:w="2765" w:type="dxa"/>
          </w:tcPr>
          <w:p w14:paraId="1C6CFB5F" w14:textId="77777777" w:rsidR="008E7844" w:rsidRPr="00653E50" w:rsidRDefault="008E7844" w:rsidP="00C005D8">
            <w:pPr>
              <w:rPr>
                <w:rFonts w:ascii="Arial" w:hAnsi="Arial" w:cs="Arial"/>
              </w:rPr>
            </w:pPr>
            <w:r w:rsidRPr="00653E50">
              <w:rPr>
                <w:rFonts w:ascii="Arial" w:hAnsi="Arial" w:cs="Arial"/>
              </w:rPr>
              <w:t>Parks</w:t>
            </w:r>
          </w:p>
        </w:tc>
        <w:tc>
          <w:tcPr>
            <w:tcW w:w="3119" w:type="dxa"/>
          </w:tcPr>
          <w:p w14:paraId="1BF42941" w14:textId="77777777" w:rsidR="008E7844" w:rsidRPr="00653E50" w:rsidRDefault="008E7844" w:rsidP="00C005D8">
            <w:pPr>
              <w:rPr>
                <w:rFonts w:ascii="Arial" w:hAnsi="Arial" w:cs="Arial"/>
              </w:rPr>
            </w:pPr>
            <w:r w:rsidRPr="00653E50">
              <w:rPr>
                <w:rFonts w:ascii="Arial" w:hAnsi="Arial" w:cs="Arial"/>
              </w:rPr>
              <w:t>National</w:t>
            </w:r>
          </w:p>
        </w:tc>
        <w:tc>
          <w:tcPr>
            <w:tcW w:w="1842" w:type="dxa"/>
          </w:tcPr>
          <w:p w14:paraId="00DF6FDE" w14:textId="77777777" w:rsidR="008E7844" w:rsidRPr="00653E50" w:rsidRDefault="00000000" w:rsidP="00C005D8">
            <w:pPr>
              <w:rPr>
                <w:rFonts w:ascii="Arial" w:hAnsi="Arial" w:cs="Arial"/>
              </w:rPr>
            </w:pPr>
            <w:hyperlink r:id="rId62" w:history="1">
              <w:r w:rsidR="008E7844" w:rsidRPr="00653E50">
                <w:rPr>
                  <w:rStyle w:val="Hyperlink"/>
                  <w:rFonts w:ascii="Arial" w:hAnsi="Arial" w:cs="Arial"/>
                </w:rPr>
                <w:t>link</w:t>
              </w:r>
            </w:hyperlink>
          </w:p>
        </w:tc>
      </w:tr>
      <w:tr w:rsidR="008E7844" w:rsidRPr="00653E50" w14:paraId="2C8937CE" w14:textId="77777777" w:rsidTr="00C005D8">
        <w:tc>
          <w:tcPr>
            <w:tcW w:w="1341" w:type="dxa"/>
            <w:vMerge/>
          </w:tcPr>
          <w:p w14:paraId="44856A52" w14:textId="77777777" w:rsidR="008E7844" w:rsidRPr="00653E50" w:rsidRDefault="008E7844" w:rsidP="00C005D8">
            <w:pPr>
              <w:rPr>
                <w:rFonts w:ascii="Arial" w:hAnsi="Arial" w:cs="Arial"/>
              </w:rPr>
            </w:pPr>
          </w:p>
        </w:tc>
        <w:tc>
          <w:tcPr>
            <w:tcW w:w="2765" w:type="dxa"/>
          </w:tcPr>
          <w:p w14:paraId="4D4CB34D" w14:textId="77777777" w:rsidR="008E7844" w:rsidRPr="00653E50" w:rsidRDefault="008E7844" w:rsidP="00C005D8">
            <w:pPr>
              <w:rPr>
                <w:rFonts w:ascii="Arial" w:hAnsi="Arial" w:cs="Arial"/>
              </w:rPr>
            </w:pPr>
            <w:r w:rsidRPr="00653E50">
              <w:rPr>
                <w:rFonts w:ascii="Arial" w:hAnsi="Arial" w:cs="Arial"/>
              </w:rPr>
              <w:t>Roads</w:t>
            </w:r>
          </w:p>
        </w:tc>
        <w:tc>
          <w:tcPr>
            <w:tcW w:w="3119" w:type="dxa"/>
          </w:tcPr>
          <w:p w14:paraId="12877B86" w14:textId="77777777" w:rsidR="008E7844" w:rsidRPr="00653E50" w:rsidRDefault="008E7844" w:rsidP="00C005D8">
            <w:pPr>
              <w:rPr>
                <w:rFonts w:ascii="Arial" w:hAnsi="Arial" w:cs="Arial"/>
              </w:rPr>
            </w:pPr>
            <w:r w:rsidRPr="00653E50">
              <w:rPr>
                <w:rFonts w:ascii="Arial" w:hAnsi="Arial" w:cs="Arial"/>
              </w:rPr>
              <w:t>OSM</w:t>
            </w:r>
          </w:p>
        </w:tc>
        <w:tc>
          <w:tcPr>
            <w:tcW w:w="1842" w:type="dxa"/>
          </w:tcPr>
          <w:p w14:paraId="729A8264" w14:textId="77777777" w:rsidR="008E7844" w:rsidRPr="00653E50" w:rsidRDefault="00000000" w:rsidP="00C005D8">
            <w:pPr>
              <w:rPr>
                <w:rFonts w:ascii="Arial" w:hAnsi="Arial" w:cs="Arial"/>
              </w:rPr>
            </w:pPr>
            <w:hyperlink r:id="rId63" w:history="1">
              <w:r w:rsidR="008E7844" w:rsidRPr="00653E50">
                <w:rPr>
                  <w:rStyle w:val="Hyperlink"/>
                  <w:rFonts w:ascii="Arial" w:hAnsi="Arial" w:cs="Arial"/>
                </w:rPr>
                <w:t>link</w:t>
              </w:r>
            </w:hyperlink>
          </w:p>
        </w:tc>
      </w:tr>
      <w:tr w:rsidR="008E7844" w:rsidRPr="00653E50" w14:paraId="43A9C252" w14:textId="77777777" w:rsidTr="00C005D8">
        <w:tc>
          <w:tcPr>
            <w:tcW w:w="1341" w:type="dxa"/>
            <w:vMerge/>
          </w:tcPr>
          <w:p w14:paraId="272EAEE2" w14:textId="77777777" w:rsidR="008E7844" w:rsidRPr="00653E50" w:rsidRDefault="008E7844" w:rsidP="00C005D8">
            <w:pPr>
              <w:rPr>
                <w:rFonts w:ascii="Arial" w:hAnsi="Arial" w:cs="Arial"/>
              </w:rPr>
            </w:pPr>
          </w:p>
        </w:tc>
        <w:tc>
          <w:tcPr>
            <w:tcW w:w="2765" w:type="dxa"/>
          </w:tcPr>
          <w:p w14:paraId="44F7CDCC" w14:textId="77777777" w:rsidR="008E7844" w:rsidRPr="00653E50" w:rsidRDefault="008E7844" w:rsidP="00C005D8">
            <w:pPr>
              <w:rPr>
                <w:rFonts w:ascii="Arial" w:hAnsi="Arial" w:cs="Arial"/>
              </w:rPr>
            </w:pPr>
            <w:r w:rsidRPr="00653E50">
              <w:rPr>
                <w:rFonts w:ascii="Arial" w:hAnsi="Arial" w:cs="Arial"/>
              </w:rPr>
              <w:t>Buildings</w:t>
            </w:r>
          </w:p>
        </w:tc>
        <w:tc>
          <w:tcPr>
            <w:tcW w:w="3119" w:type="dxa"/>
          </w:tcPr>
          <w:p w14:paraId="719EDFB3" w14:textId="77777777" w:rsidR="008E7844" w:rsidRPr="00653E50" w:rsidRDefault="008E7844" w:rsidP="00C005D8">
            <w:pPr>
              <w:rPr>
                <w:rFonts w:ascii="Arial" w:hAnsi="Arial" w:cs="Arial"/>
              </w:rPr>
            </w:pPr>
            <w:r w:rsidRPr="00653E50">
              <w:rPr>
                <w:rFonts w:ascii="Arial" w:hAnsi="Arial" w:cs="Arial"/>
              </w:rPr>
              <w:t>Google Open Buildings</w:t>
            </w:r>
          </w:p>
        </w:tc>
        <w:tc>
          <w:tcPr>
            <w:tcW w:w="1842" w:type="dxa"/>
          </w:tcPr>
          <w:p w14:paraId="76F8D900" w14:textId="77777777" w:rsidR="008E7844" w:rsidRPr="00653E50" w:rsidRDefault="00000000" w:rsidP="00C005D8">
            <w:pPr>
              <w:rPr>
                <w:rFonts w:ascii="Arial" w:hAnsi="Arial" w:cs="Arial"/>
              </w:rPr>
            </w:pPr>
            <w:hyperlink r:id="rId64" w:anchor="download" w:history="1">
              <w:r w:rsidR="008E7844" w:rsidRPr="00653E50">
                <w:rPr>
                  <w:rStyle w:val="Hyperlink"/>
                  <w:rFonts w:ascii="Arial" w:hAnsi="Arial" w:cs="Arial"/>
                </w:rPr>
                <w:t>link</w:t>
              </w:r>
            </w:hyperlink>
          </w:p>
        </w:tc>
      </w:tr>
      <w:tr w:rsidR="008E7844" w:rsidRPr="00653E50" w14:paraId="19778118" w14:textId="77777777" w:rsidTr="00C005D8">
        <w:tc>
          <w:tcPr>
            <w:tcW w:w="1341" w:type="dxa"/>
            <w:vMerge/>
          </w:tcPr>
          <w:p w14:paraId="62909E3A" w14:textId="77777777" w:rsidR="008E7844" w:rsidRPr="00653E50" w:rsidRDefault="008E7844" w:rsidP="00C005D8">
            <w:pPr>
              <w:rPr>
                <w:rFonts w:ascii="Arial" w:hAnsi="Arial" w:cs="Arial"/>
              </w:rPr>
            </w:pPr>
          </w:p>
        </w:tc>
        <w:tc>
          <w:tcPr>
            <w:tcW w:w="2765" w:type="dxa"/>
          </w:tcPr>
          <w:p w14:paraId="6112FA20" w14:textId="77777777" w:rsidR="008E7844" w:rsidRPr="00653E50" w:rsidRDefault="008E7844" w:rsidP="00C005D8">
            <w:pPr>
              <w:rPr>
                <w:rFonts w:ascii="Arial" w:hAnsi="Arial" w:cs="Arial"/>
              </w:rPr>
            </w:pPr>
            <w:r w:rsidRPr="00653E50">
              <w:rPr>
                <w:rFonts w:ascii="Arial" w:hAnsi="Arial" w:cs="Arial"/>
              </w:rPr>
              <w:t>Neighbourhoods</w:t>
            </w:r>
          </w:p>
        </w:tc>
        <w:tc>
          <w:tcPr>
            <w:tcW w:w="3119" w:type="dxa"/>
          </w:tcPr>
          <w:p w14:paraId="30127C69" w14:textId="77777777" w:rsidR="008E7844" w:rsidRPr="00653E50" w:rsidRDefault="008E7844" w:rsidP="00C005D8">
            <w:pPr>
              <w:rPr>
                <w:rFonts w:ascii="Arial" w:hAnsi="Arial" w:cs="Arial"/>
              </w:rPr>
            </w:pPr>
            <w:r w:rsidRPr="00653E50">
              <w:rPr>
                <w:rFonts w:ascii="Arial" w:hAnsi="Arial" w:cs="Arial"/>
              </w:rPr>
              <w:t>National</w:t>
            </w:r>
          </w:p>
        </w:tc>
        <w:tc>
          <w:tcPr>
            <w:tcW w:w="1842" w:type="dxa"/>
          </w:tcPr>
          <w:p w14:paraId="503B995E" w14:textId="77777777" w:rsidR="008E7844" w:rsidRPr="00653E50" w:rsidRDefault="00000000" w:rsidP="00C005D8">
            <w:pPr>
              <w:rPr>
                <w:rFonts w:ascii="Arial" w:hAnsi="Arial" w:cs="Arial"/>
              </w:rPr>
            </w:pPr>
            <w:hyperlink r:id="rId65" w:history="1">
              <w:r w:rsidR="008E7844" w:rsidRPr="00653E50">
                <w:rPr>
                  <w:rStyle w:val="Hyperlink"/>
                  <w:rFonts w:ascii="Arial" w:hAnsi="Arial" w:cs="Arial"/>
                </w:rPr>
                <w:t>link</w:t>
              </w:r>
            </w:hyperlink>
          </w:p>
        </w:tc>
      </w:tr>
    </w:tbl>
    <w:p w14:paraId="18A0364F" w14:textId="3DAE98C5" w:rsidR="00DB7290" w:rsidRPr="00653E50" w:rsidRDefault="00DB7290" w:rsidP="008E7844">
      <w:pPr>
        <w:rPr>
          <w:rFonts w:ascii="Arial" w:hAnsi="Arial" w:cs="Arial"/>
          <w:b/>
          <w:bCs/>
        </w:rPr>
      </w:pPr>
    </w:p>
    <w:p w14:paraId="32CD2921" w14:textId="07486C7A" w:rsidR="00DB7290" w:rsidRPr="00653E50" w:rsidRDefault="00653E50" w:rsidP="00DB7290">
      <w:pPr>
        <w:pStyle w:val="Heading1"/>
        <w:rPr>
          <w:rFonts w:ascii="Arial" w:hAnsi="Arial" w:cs="Arial"/>
        </w:rPr>
      </w:pPr>
      <w:bookmarkStart w:id="5" w:name="_Toc158989034"/>
      <w:r w:rsidRPr="00653E50">
        <w:rPr>
          <w:rFonts w:ascii="Arial" w:hAnsi="Arial" w:cs="Arial"/>
        </w:rPr>
        <w:t>Supplementary</w:t>
      </w:r>
      <w:r w:rsidR="00DB7290" w:rsidRPr="00653E50">
        <w:rPr>
          <w:rFonts w:ascii="Arial" w:hAnsi="Arial" w:cs="Arial"/>
        </w:rPr>
        <w:t xml:space="preserve"> </w:t>
      </w:r>
      <w:r w:rsidRPr="00653E50">
        <w:rPr>
          <w:rFonts w:ascii="Arial" w:hAnsi="Arial" w:cs="Arial"/>
        </w:rPr>
        <w:t>6</w:t>
      </w:r>
      <w:r w:rsidR="00DB7290" w:rsidRPr="00653E50">
        <w:rPr>
          <w:rFonts w:ascii="Arial" w:hAnsi="Arial" w:cs="Arial"/>
        </w:rPr>
        <w:t>: FME workflows and intermediate result example</w:t>
      </w:r>
      <w:bookmarkEnd w:id="5"/>
    </w:p>
    <w:p w14:paraId="03AFA18C" w14:textId="77777777" w:rsidR="00DB7290" w:rsidRPr="00653E50" w:rsidRDefault="00DB7290" w:rsidP="00DB7290">
      <w:pPr>
        <w:rPr>
          <w:rFonts w:ascii="Arial" w:hAnsi="Arial" w:cs="Arial"/>
        </w:rPr>
      </w:pPr>
    </w:p>
    <w:p w14:paraId="03D52113" w14:textId="77777777" w:rsidR="00DB7290" w:rsidRPr="00653E50" w:rsidRDefault="00DB7290" w:rsidP="00DB7290">
      <w:pPr>
        <w:rPr>
          <w:rFonts w:ascii="Arial" w:hAnsi="Arial" w:cs="Arial"/>
        </w:rPr>
      </w:pPr>
      <w:r w:rsidRPr="00653E50">
        <w:rPr>
          <w:rFonts w:ascii="Arial" w:hAnsi="Arial" w:cs="Arial"/>
        </w:rPr>
        <w:t xml:space="preserve">Figures in this supplement show the FME processing steps involved in calculating the ‘3’ and ‘300’ tests. The relatively simple ’30’ test is omitted. </w:t>
      </w:r>
    </w:p>
    <w:p w14:paraId="226285A2" w14:textId="77777777" w:rsidR="00DB7290" w:rsidRPr="00653E50" w:rsidRDefault="00DB7290" w:rsidP="00DB7290">
      <w:pPr>
        <w:rPr>
          <w:rFonts w:ascii="Arial" w:hAnsi="Arial" w:cs="Arial"/>
        </w:rPr>
      </w:pPr>
      <w:r w:rsidRPr="00653E50">
        <w:rPr>
          <w:rFonts w:ascii="Arial" w:hAnsi="Arial" w:cs="Arial"/>
        </w:rPr>
        <w:t>The ‘3’ test: examining tree visibility from properties.</w:t>
      </w:r>
    </w:p>
    <w:p w14:paraId="38AD6661" w14:textId="77777777" w:rsidR="00DB7290" w:rsidRPr="00653E50" w:rsidRDefault="00DB7290" w:rsidP="00DB7290">
      <w:pPr>
        <w:rPr>
          <w:rFonts w:ascii="Arial" w:hAnsi="Arial" w:cs="Arial"/>
        </w:rPr>
      </w:pPr>
      <w:r w:rsidRPr="00653E50">
        <w:rPr>
          <w:rFonts w:ascii="Arial" w:hAnsi="Arial" w:cs="Arial"/>
          <w:noProof/>
        </w:rPr>
        <w:drawing>
          <wp:inline distT="0" distB="0" distL="0" distR="0" wp14:anchorId="5738B422" wp14:editId="3563640E">
            <wp:extent cx="5731510" cy="2418715"/>
            <wp:effectExtent l="0" t="0" r="254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731510" cy="2418715"/>
                    </a:xfrm>
                    <a:prstGeom prst="rect">
                      <a:avLst/>
                    </a:prstGeom>
                  </pic:spPr>
                </pic:pic>
              </a:graphicData>
            </a:graphic>
          </wp:inline>
        </w:drawing>
      </w:r>
    </w:p>
    <w:p w14:paraId="6F3D5880" w14:textId="77777777" w:rsidR="00DB7290" w:rsidRPr="00653E50" w:rsidRDefault="00DB7290" w:rsidP="00DB7290">
      <w:pPr>
        <w:rPr>
          <w:rFonts w:ascii="Arial" w:hAnsi="Arial" w:cs="Arial"/>
        </w:rPr>
      </w:pPr>
    </w:p>
    <w:p w14:paraId="1F79085C" w14:textId="77777777" w:rsidR="00DB7290" w:rsidRPr="00653E50" w:rsidRDefault="00DB7290" w:rsidP="00DB7290">
      <w:pPr>
        <w:rPr>
          <w:rFonts w:ascii="Arial" w:hAnsi="Arial" w:cs="Arial"/>
        </w:rPr>
      </w:pPr>
      <w:r w:rsidRPr="00653E50">
        <w:rPr>
          <w:rFonts w:ascii="Arial" w:hAnsi="Arial" w:cs="Arial"/>
        </w:rPr>
        <w:t>The ‘300’ test: examining open space accessibility to properties.</w:t>
      </w:r>
    </w:p>
    <w:p w14:paraId="01426D98" w14:textId="77777777" w:rsidR="00DB7290" w:rsidRPr="00653E50" w:rsidRDefault="00DB7290" w:rsidP="00DB7290">
      <w:pPr>
        <w:rPr>
          <w:rFonts w:ascii="Arial" w:hAnsi="Arial" w:cs="Arial"/>
        </w:rPr>
      </w:pPr>
      <w:r w:rsidRPr="00653E50">
        <w:rPr>
          <w:rFonts w:ascii="Arial" w:hAnsi="Arial" w:cs="Arial"/>
          <w:noProof/>
        </w:rPr>
        <w:drawing>
          <wp:inline distT="0" distB="0" distL="0" distR="0" wp14:anchorId="41023B03" wp14:editId="0D9EB856">
            <wp:extent cx="5731510" cy="2621915"/>
            <wp:effectExtent l="0" t="0" r="2540" b="6985"/>
            <wp:docPr id="1" name="Picture 1"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mputer screen shot of a computer&#10;&#10;Description automatically generated"/>
                    <pic:cNvPicPr/>
                  </pic:nvPicPr>
                  <pic:blipFill>
                    <a:blip r:embed="rId67"/>
                    <a:stretch>
                      <a:fillRect/>
                    </a:stretch>
                  </pic:blipFill>
                  <pic:spPr>
                    <a:xfrm>
                      <a:off x="0" y="0"/>
                      <a:ext cx="5731510" cy="2621915"/>
                    </a:xfrm>
                    <a:prstGeom prst="rect">
                      <a:avLst/>
                    </a:prstGeom>
                  </pic:spPr>
                </pic:pic>
              </a:graphicData>
            </a:graphic>
          </wp:inline>
        </w:drawing>
      </w:r>
    </w:p>
    <w:p w14:paraId="6474F2A3" w14:textId="280E63F3" w:rsidR="00DB7290" w:rsidRPr="00653E50" w:rsidRDefault="00DB7290" w:rsidP="00DB7290">
      <w:pPr>
        <w:keepNext/>
        <w:rPr>
          <w:rFonts w:ascii="Arial" w:hAnsi="Arial" w:cs="Arial"/>
        </w:rPr>
      </w:pPr>
      <w:r w:rsidRPr="00653E50">
        <w:rPr>
          <w:rFonts w:ascii="Arial" w:hAnsi="Arial" w:cs="Arial"/>
        </w:rPr>
        <w:lastRenderedPageBreak/>
        <w:t xml:space="preserve">Example of sightline analysis showing views from buildings to trees (blue dots). Counts are posted on each building. </w:t>
      </w:r>
    </w:p>
    <w:p w14:paraId="6C730E39" w14:textId="0E977BCC" w:rsidR="00DB7290" w:rsidRPr="00653E50" w:rsidRDefault="00DB7290" w:rsidP="00DB7290">
      <w:pPr>
        <w:keepNext/>
        <w:rPr>
          <w:rFonts w:ascii="Arial" w:hAnsi="Arial" w:cs="Arial"/>
        </w:rPr>
      </w:pPr>
      <w:r w:rsidRPr="00653E50">
        <w:rPr>
          <w:rFonts w:ascii="Arial" w:hAnsi="Arial" w:cs="Arial"/>
          <w:noProof/>
        </w:rPr>
        <w:drawing>
          <wp:inline distT="0" distB="0" distL="0" distR="0" wp14:anchorId="1D127158" wp14:editId="6792F5FD">
            <wp:extent cx="5731510" cy="3967480"/>
            <wp:effectExtent l="0" t="0" r="2540" b="0"/>
            <wp:docPr id="1648663806" name="Picture 4"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663806" name="Picture 4" descr="A map of a city&#10;&#10;Description automatically generated"/>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731510" cy="3967480"/>
                    </a:xfrm>
                    <a:prstGeom prst="rect">
                      <a:avLst/>
                    </a:prstGeom>
                  </pic:spPr>
                </pic:pic>
              </a:graphicData>
            </a:graphic>
          </wp:inline>
        </w:drawing>
      </w:r>
    </w:p>
    <w:p w14:paraId="0E186DDE" w14:textId="3607904C" w:rsidR="00DB7290" w:rsidRPr="00653E50" w:rsidRDefault="00DB7290" w:rsidP="00DB7290">
      <w:pPr>
        <w:rPr>
          <w:rFonts w:ascii="Arial" w:hAnsi="Arial" w:cs="Arial"/>
        </w:rPr>
      </w:pPr>
      <w:r w:rsidRPr="00653E50">
        <w:rPr>
          <w:rFonts w:ascii="Arial" w:hAnsi="Arial" w:cs="Arial"/>
        </w:rPr>
        <w:t xml:space="preserve">Example of routing problem identified in early iterations of the analysis. This is a site in New York, where origin-destination pairs (represented by red lines) were not routable because of large interceding pedestrian areas. </w:t>
      </w:r>
    </w:p>
    <w:p w14:paraId="2B73473B" w14:textId="77777777" w:rsidR="00DB7290" w:rsidRPr="00653E50" w:rsidRDefault="00DB7290" w:rsidP="00DB7290">
      <w:pPr>
        <w:rPr>
          <w:rFonts w:ascii="Arial" w:hAnsi="Arial" w:cs="Arial"/>
        </w:rPr>
      </w:pPr>
      <w:r w:rsidRPr="00653E50">
        <w:rPr>
          <w:rFonts w:ascii="Arial" w:hAnsi="Arial" w:cs="Arial"/>
          <w:noProof/>
        </w:rPr>
        <w:drawing>
          <wp:inline distT="0" distB="0" distL="0" distR="0" wp14:anchorId="0BF3CD85" wp14:editId="23201C4B">
            <wp:extent cx="5731510" cy="3244215"/>
            <wp:effectExtent l="0" t="0" r="2540" b="0"/>
            <wp:docPr id="7" name="Picture 7"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map of a city&#10;&#10;Description automatically generated"/>
                    <pic:cNvPicPr/>
                  </pic:nvPicPr>
                  <pic:blipFill>
                    <a:blip r:embed="rId69"/>
                    <a:stretch>
                      <a:fillRect/>
                    </a:stretch>
                  </pic:blipFill>
                  <pic:spPr>
                    <a:xfrm>
                      <a:off x="0" y="0"/>
                      <a:ext cx="5731510" cy="3244215"/>
                    </a:xfrm>
                    <a:prstGeom prst="rect">
                      <a:avLst/>
                    </a:prstGeom>
                  </pic:spPr>
                </pic:pic>
              </a:graphicData>
            </a:graphic>
          </wp:inline>
        </w:drawing>
      </w:r>
    </w:p>
    <w:p w14:paraId="6E279228" w14:textId="77777777" w:rsidR="00DB7290" w:rsidRPr="00653E50" w:rsidRDefault="00DB7290">
      <w:pPr>
        <w:rPr>
          <w:rFonts w:ascii="Arial" w:hAnsi="Arial" w:cs="Arial"/>
          <w:b/>
          <w:bCs/>
        </w:rPr>
      </w:pPr>
      <w:r w:rsidRPr="00653E50">
        <w:rPr>
          <w:rFonts w:ascii="Arial" w:hAnsi="Arial" w:cs="Arial"/>
          <w:b/>
          <w:bCs/>
        </w:rPr>
        <w:br w:type="page"/>
      </w:r>
    </w:p>
    <w:p w14:paraId="1B30E42F" w14:textId="77777777" w:rsidR="008E7844" w:rsidRPr="00653E50" w:rsidRDefault="008E7844" w:rsidP="008E7844">
      <w:pPr>
        <w:rPr>
          <w:rFonts w:ascii="Arial" w:hAnsi="Arial" w:cs="Arial"/>
          <w:b/>
          <w:bCs/>
        </w:rPr>
      </w:pPr>
    </w:p>
    <w:p w14:paraId="55503E34" w14:textId="4FF3B171" w:rsidR="008E7844" w:rsidRPr="00653E50" w:rsidRDefault="008E7844" w:rsidP="008E7844">
      <w:pPr>
        <w:pStyle w:val="Heading1"/>
        <w:rPr>
          <w:rFonts w:ascii="Arial" w:hAnsi="Arial" w:cs="Arial"/>
        </w:rPr>
      </w:pPr>
      <w:bookmarkStart w:id="6" w:name="_Toc158989035"/>
      <w:r w:rsidRPr="00653E50">
        <w:rPr>
          <w:rFonts w:ascii="Arial" w:hAnsi="Arial" w:cs="Arial"/>
        </w:rPr>
        <w:t xml:space="preserve">Supplementary </w:t>
      </w:r>
      <w:r w:rsidR="00653E50" w:rsidRPr="00653E50">
        <w:rPr>
          <w:rFonts w:ascii="Arial" w:hAnsi="Arial" w:cs="Arial"/>
        </w:rPr>
        <w:t>7</w:t>
      </w:r>
      <w:r w:rsidRPr="00653E50">
        <w:rPr>
          <w:rFonts w:ascii="Arial" w:hAnsi="Arial" w:cs="Arial"/>
        </w:rPr>
        <w:t>: detailed outline of limitations</w:t>
      </w:r>
      <w:bookmarkEnd w:id="6"/>
    </w:p>
    <w:p w14:paraId="026F3200" w14:textId="77777777" w:rsidR="008E7844" w:rsidRPr="00653E50" w:rsidRDefault="008E7844" w:rsidP="008E7844">
      <w:pPr>
        <w:rPr>
          <w:rFonts w:ascii="Arial" w:hAnsi="Arial" w:cs="Arial"/>
        </w:rPr>
      </w:pPr>
    </w:p>
    <w:tbl>
      <w:tblPr>
        <w:tblStyle w:val="TableGrid"/>
        <w:tblW w:w="0" w:type="auto"/>
        <w:tblLook w:val="04A0" w:firstRow="1" w:lastRow="0" w:firstColumn="1" w:lastColumn="0" w:noHBand="0" w:noVBand="1"/>
      </w:tblPr>
      <w:tblGrid>
        <w:gridCol w:w="2192"/>
        <w:gridCol w:w="2347"/>
        <w:gridCol w:w="2395"/>
        <w:gridCol w:w="2082"/>
      </w:tblGrid>
      <w:tr w:rsidR="008E7844" w:rsidRPr="00653E50" w14:paraId="6338985F" w14:textId="77777777" w:rsidTr="00C005D8">
        <w:tc>
          <w:tcPr>
            <w:tcW w:w="2192" w:type="dxa"/>
          </w:tcPr>
          <w:p w14:paraId="7EDDED0F" w14:textId="77777777" w:rsidR="008E7844" w:rsidRPr="00653E50" w:rsidRDefault="008E7844" w:rsidP="00C005D8">
            <w:pPr>
              <w:rPr>
                <w:rFonts w:ascii="Arial" w:hAnsi="Arial" w:cs="Arial"/>
              </w:rPr>
            </w:pPr>
            <w:r w:rsidRPr="00653E50">
              <w:rPr>
                <w:rFonts w:ascii="Arial" w:hAnsi="Arial" w:cs="Arial"/>
              </w:rPr>
              <w:t xml:space="preserve">City </w:t>
            </w:r>
          </w:p>
        </w:tc>
        <w:tc>
          <w:tcPr>
            <w:tcW w:w="2347" w:type="dxa"/>
          </w:tcPr>
          <w:p w14:paraId="22DC4819" w14:textId="77777777" w:rsidR="008E7844" w:rsidRPr="00653E50" w:rsidRDefault="008E7844" w:rsidP="00C005D8">
            <w:pPr>
              <w:rPr>
                <w:rFonts w:ascii="Arial" w:hAnsi="Arial" w:cs="Arial"/>
              </w:rPr>
            </w:pPr>
            <w:r w:rsidRPr="00653E50">
              <w:rPr>
                <w:rFonts w:ascii="Arial" w:hAnsi="Arial" w:cs="Arial"/>
              </w:rPr>
              <w:t>Quality concerns</w:t>
            </w:r>
          </w:p>
        </w:tc>
        <w:tc>
          <w:tcPr>
            <w:tcW w:w="2395" w:type="dxa"/>
          </w:tcPr>
          <w:p w14:paraId="77C6A3FF" w14:textId="77777777" w:rsidR="008E7844" w:rsidRPr="00653E50" w:rsidRDefault="008E7844" w:rsidP="00C005D8">
            <w:pPr>
              <w:rPr>
                <w:rFonts w:ascii="Arial" w:hAnsi="Arial" w:cs="Arial"/>
              </w:rPr>
            </w:pPr>
            <w:r w:rsidRPr="00653E50">
              <w:rPr>
                <w:rFonts w:ascii="Arial" w:hAnsi="Arial" w:cs="Arial"/>
              </w:rPr>
              <w:t>Processing concerns</w:t>
            </w:r>
          </w:p>
        </w:tc>
        <w:tc>
          <w:tcPr>
            <w:tcW w:w="2082" w:type="dxa"/>
          </w:tcPr>
          <w:p w14:paraId="1A8E6154" w14:textId="77777777" w:rsidR="008E7844" w:rsidRPr="00653E50" w:rsidRDefault="008E7844" w:rsidP="00C005D8">
            <w:pPr>
              <w:rPr>
                <w:rFonts w:ascii="Arial" w:hAnsi="Arial" w:cs="Arial"/>
              </w:rPr>
            </w:pPr>
            <w:r w:rsidRPr="00653E50">
              <w:rPr>
                <w:rFonts w:ascii="Arial" w:hAnsi="Arial" w:cs="Arial"/>
              </w:rPr>
              <w:t>Relative precision</w:t>
            </w:r>
          </w:p>
        </w:tc>
      </w:tr>
      <w:tr w:rsidR="008E7844" w:rsidRPr="00653E50" w14:paraId="17241873" w14:textId="77777777" w:rsidTr="00C005D8">
        <w:tc>
          <w:tcPr>
            <w:tcW w:w="2192" w:type="dxa"/>
          </w:tcPr>
          <w:p w14:paraId="0D3A71F2" w14:textId="77777777" w:rsidR="008E7844" w:rsidRPr="00653E50" w:rsidRDefault="008E7844" w:rsidP="00C005D8">
            <w:pPr>
              <w:rPr>
                <w:rFonts w:ascii="Arial" w:hAnsi="Arial" w:cs="Arial"/>
              </w:rPr>
            </w:pPr>
            <w:r w:rsidRPr="00653E50">
              <w:rPr>
                <w:rFonts w:ascii="Arial" w:hAnsi="Arial" w:cs="Arial"/>
              </w:rPr>
              <w:t>NY</w:t>
            </w:r>
          </w:p>
        </w:tc>
        <w:tc>
          <w:tcPr>
            <w:tcW w:w="2347" w:type="dxa"/>
          </w:tcPr>
          <w:p w14:paraId="163206F1" w14:textId="48733B23" w:rsidR="008E7844" w:rsidRPr="00653E50" w:rsidRDefault="008E7844" w:rsidP="00C005D8">
            <w:pPr>
              <w:rPr>
                <w:rFonts w:ascii="Arial" w:hAnsi="Arial" w:cs="Arial"/>
              </w:rPr>
            </w:pPr>
            <w:r w:rsidRPr="00653E50">
              <w:rPr>
                <w:rFonts w:ascii="Arial" w:hAnsi="Arial" w:cs="Arial"/>
              </w:rPr>
              <w:t>Tree data was quite old (2010-2014</w:t>
            </w:r>
            <w:proofErr w:type="gramStart"/>
            <w:r w:rsidRPr="00653E50">
              <w:rPr>
                <w:rFonts w:ascii="Arial" w:hAnsi="Arial" w:cs="Arial"/>
              </w:rPr>
              <w:t>)</w:t>
            </w:r>
            <w:proofErr w:type="gramEnd"/>
            <w:r w:rsidRPr="00653E50">
              <w:rPr>
                <w:rFonts w:ascii="Arial" w:hAnsi="Arial" w:cs="Arial"/>
              </w:rPr>
              <w:t xml:space="preserve"> and resolution was somewhat coarse (1m)</w:t>
            </w:r>
            <w:r w:rsidR="00DB7290" w:rsidRPr="00653E50">
              <w:rPr>
                <w:rFonts w:ascii="Arial" w:hAnsi="Arial" w:cs="Arial"/>
              </w:rPr>
              <w:t xml:space="preserve">. </w:t>
            </w:r>
            <w:r w:rsidRPr="00653E50">
              <w:rPr>
                <w:rFonts w:ascii="Arial" w:hAnsi="Arial" w:cs="Arial"/>
              </w:rPr>
              <w:t xml:space="preserve"> </w:t>
            </w:r>
          </w:p>
        </w:tc>
        <w:tc>
          <w:tcPr>
            <w:tcW w:w="2395" w:type="dxa"/>
          </w:tcPr>
          <w:p w14:paraId="1840FD9B" w14:textId="77777777" w:rsidR="008E7844" w:rsidRPr="00653E50" w:rsidRDefault="008E7844" w:rsidP="00C005D8">
            <w:pPr>
              <w:rPr>
                <w:rFonts w:ascii="Arial" w:hAnsi="Arial" w:cs="Arial"/>
              </w:rPr>
            </w:pPr>
            <w:r w:rsidRPr="00653E50">
              <w:rPr>
                <w:rFonts w:ascii="Arial" w:hAnsi="Arial" w:cs="Arial"/>
              </w:rPr>
              <w:t>Network analysis failed to find a small fraction of paths</w:t>
            </w:r>
          </w:p>
        </w:tc>
        <w:tc>
          <w:tcPr>
            <w:tcW w:w="2082" w:type="dxa"/>
          </w:tcPr>
          <w:p w14:paraId="104DE3AD" w14:textId="77777777" w:rsidR="008E7844" w:rsidRPr="00653E50" w:rsidRDefault="008E7844" w:rsidP="00C005D8">
            <w:pPr>
              <w:rPr>
                <w:rFonts w:ascii="Arial" w:hAnsi="Arial" w:cs="Arial"/>
              </w:rPr>
            </w:pPr>
            <w:r w:rsidRPr="00653E50">
              <w:rPr>
                <w:rFonts w:ascii="Arial" w:hAnsi="Arial" w:cs="Arial"/>
              </w:rPr>
              <w:t>Highest – minimal approximations and shortcuts required</w:t>
            </w:r>
          </w:p>
        </w:tc>
      </w:tr>
      <w:tr w:rsidR="008E7844" w:rsidRPr="00653E50" w14:paraId="3D83D610" w14:textId="77777777" w:rsidTr="00C005D8">
        <w:tc>
          <w:tcPr>
            <w:tcW w:w="2192" w:type="dxa"/>
          </w:tcPr>
          <w:p w14:paraId="5ECABAE2" w14:textId="77777777" w:rsidR="008E7844" w:rsidRPr="00653E50" w:rsidRDefault="008E7844" w:rsidP="00C005D8">
            <w:pPr>
              <w:rPr>
                <w:rFonts w:ascii="Arial" w:hAnsi="Arial" w:cs="Arial"/>
              </w:rPr>
            </w:pPr>
            <w:r w:rsidRPr="00653E50">
              <w:rPr>
                <w:rFonts w:ascii="Arial" w:hAnsi="Arial" w:cs="Arial"/>
              </w:rPr>
              <w:t>Melbourne</w:t>
            </w:r>
          </w:p>
        </w:tc>
        <w:tc>
          <w:tcPr>
            <w:tcW w:w="2347" w:type="dxa"/>
          </w:tcPr>
          <w:p w14:paraId="22705867" w14:textId="77777777" w:rsidR="008E7844" w:rsidRPr="00653E50" w:rsidRDefault="008E7844" w:rsidP="00C005D8">
            <w:pPr>
              <w:rPr>
                <w:rFonts w:ascii="Arial" w:hAnsi="Arial" w:cs="Arial"/>
              </w:rPr>
            </w:pPr>
            <w:r w:rsidRPr="00653E50">
              <w:rPr>
                <w:rFonts w:ascii="Arial" w:hAnsi="Arial" w:cs="Arial"/>
              </w:rPr>
              <w:t>Public trees only</w:t>
            </w:r>
          </w:p>
          <w:p w14:paraId="4AFC3B43" w14:textId="77777777" w:rsidR="008E7844" w:rsidRPr="00653E50" w:rsidRDefault="008E7844" w:rsidP="00C005D8">
            <w:pPr>
              <w:rPr>
                <w:rFonts w:ascii="Arial" w:hAnsi="Arial" w:cs="Arial"/>
              </w:rPr>
            </w:pPr>
          </w:p>
          <w:p w14:paraId="497A5CFF" w14:textId="77777777" w:rsidR="008E7844" w:rsidRPr="00653E50" w:rsidRDefault="008E7844" w:rsidP="00C005D8">
            <w:pPr>
              <w:rPr>
                <w:rFonts w:ascii="Arial" w:hAnsi="Arial" w:cs="Arial"/>
              </w:rPr>
            </w:pPr>
            <w:r w:rsidRPr="00653E50">
              <w:rPr>
                <w:rFonts w:ascii="Arial" w:hAnsi="Arial" w:cs="Arial"/>
              </w:rPr>
              <w:t>Building dataset included some unusual structures e.g. bridges, stadiums</w:t>
            </w:r>
          </w:p>
        </w:tc>
        <w:tc>
          <w:tcPr>
            <w:tcW w:w="2395" w:type="dxa"/>
          </w:tcPr>
          <w:p w14:paraId="764E6C70" w14:textId="77777777" w:rsidR="008E7844" w:rsidRPr="00653E50" w:rsidRDefault="008E7844" w:rsidP="00C005D8">
            <w:pPr>
              <w:rPr>
                <w:rFonts w:ascii="Arial" w:hAnsi="Arial" w:cs="Arial"/>
              </w:rPr>
            </w:pPr>
            <w:r w:rsidRPr="00653E50">
              <w:rPr>
                <w:rFonts w:ascii="Arial" w:hAnsi="Arial" w:cs="Arial"/>
              </w:rPr>
              <w:t>Network analysis failed to find a small fraction of paths</w:t>
            </w:r>
          </w:p>
        </w:tc>
        <w:tc>
          <w:tcPr>
            <w:tcW w:w="2082" w:type="dxa"/>
          </w:tcPr>
          <w:p w14:paraId="39A301AB" w14:textId="77777777" w:rsidR="008E7844" w:rsidRPr="00653E50" w:rsidRDefault="008E7844" w:rsidP="00C005D8">
            <w:pPr>
              <w:rPr>
                <w:rFonts w:ascii="Arial" w:hAnsi="Arial" w:cs="Arial"/>
              </w:rPr>
            </w:pPr>
            <w:r w:rsidRPr="00653E50">
              <w:rPr>
                <w:rFonts w:ascii="Arial" w:hAnsi="Arial" w:cs="Arial"/>
              </w:rPr>
              <w:t>High</w:t>
            </w:r>
          </w:p>
        </w:tc>
      </w:tr>
      <w:tr w:rsidR="008E7844" w:rsidRPr="00653E50" w14:paraId="3D2FE491" w14:textId="77777777" w:rsidTr="00C005D8">
        <w:tc>
          <w:tcPr>
            <w:tcW w:w="2192" w:type="dxa"/>
          </w:tcPr>
          <w:p w14:paraId="05B7EE98" w14:textId="77777777" w:rsidR="008E7844" w:rsidRPr="00653E50" w:rsidRDefault="008E7844" w:rsidP="00C005D8">
            <w:pPr>
              <w:rPr>
                <w:rFonts w:ascii="Arial" w:hAnsi="Arial" w:cs="Arial"/>
              </w:rPr>
            </w:pPr>
            <w:r w:rsidRPr="00653E50">
              <w:rPr>
                <w:rFonts w:ascii="Arial" w:hAnsi="Arial" w:cs="Arial"/>
              </w:rPr>
              <w:t>Sydney</w:t>
            </w:r>
          </w:p>
        </w:tc>
        <w:tc>
          <w:tcPr>
            <w:tcW w:w="2347" w:type="dxa"/>
          </w:tcPr>
          <w:p w14:paraId="7C48FB55" w14:textId="77777777" w:rsidR="008E7844" w:rsidRPr="00653E50" w:rsidRDefault="008E7844" w:rsidP="00C005D8">
            <w:pPr>
              <w:rPr>
                <w:rFonts w:ascii="Arial" w:hAnsi="Arial" w:cs="Arial"/>
              </w:rPr>
            </w:pPr>
            <w:r w:rsidRPr="00653E50">
              <w:rPr>
                <w:rFonts w:ascii="Arial" w:hAnsi="Arial" w:cs="Arial"/>
              </w:rPr>
              <w:t xml:space="preserve">Public trees only </w:t>
            </w:r>
          </w:p>
          <w:p w14:paraId="16DEDBF9" w14:textId="77777777" w:rsidR="008E7844" w:rsidRPr="00653E50" w:rsidRDefault="008E7844" w:rsidP="00C005D8">
            <w:pPr>
              <w:rPr>
                <w:rFonts w:ascii="Arial" w:hAnsi="Arial" w:cs="Arial"/>
              </w:rPr>
            </w:pPr>
          </w:p>
        </w:tc>
        <w:tc>
          <w:tcPr>
            <w:tcW w:w="2395" w:type="dxa"/>
          </w:tcPr>
          <w:p w14:paraId="7EA9AF1A" w14:textId="77777777" w:rsidR="008E7844" w:rsidRPr="00653E50" w:rsidRDefault="008E7844" w:rsidP="00C005D8">
            <w:pPr>
              <w:rPr>
                <w:rFonts w:ascii="Arial" w:hAnsi="Arial" w:cs="Arial"/>
              </w:rPr>
            </w:pPr>
            <w:r w:rsidRPr="00653E50">
              <w:rPr>
                <w:rFonts w:ascii="Arial" w:hAnsi="Arial" w:cs="Arial"/>
              </w:rPr>
              <w:t>Network analysis failed to find a small fraction of paths</w:t>
            </w:r>
          </w:p>
        </w:tc>
        <w:tc>
          <w:tcPr>
            <w:tcW w:w="2082" w:type="dxa"/>
          </w:tcPr>
          <w:p w14:paraId="4EAF7BDE" w14:textId="77777777" w:rsidR="008E7844" w:rsidRPr="00653E50" w:rsidRDefault="008E7844" w:rsidP="00C005D8">
            <w:pPr>
              <w:rPr>
                <w:rFonts w:ascii="Arial" w:hAnsi="Arial" w:cs="Arial"/>
              </w:rPr>
            </w:pPr>
            <w:r w:rsidRPr="00653E50">
              <w:rPr>
                <w:rFonts w:ascii="Arial" w:hAnsi="Arial" w:cs="Arial"/>
              </w:rPr>
              <w:t>High</w:t>
            </w:r>
          </w:p>
        </w:tc>
      </w:tr>
      <w:tr w:rsidR="008E7844" w:rsidRPr="00653E50" w14:paraId="0EC9E6CE" w14:textId="77777777" w:rsidTr="00C005D8">
        <w:tc>
          <w:tcPr>
            <w:tcW w:w="2192" w:type="dxa"/>
          </w:tcPr>
          <w:p w14:paraId="71605E3F" w14:textId="77777777" w:rsidR="008E7844" w:rsidRPr="00653E50" w:rsidRDefault="008E7844" w:rsidP="00C005D8">
            <w:pPr>
              <w:rPr>
                <w:rFonts w:ascii="Arial" w:hAnsi="Arial" w:cs="Arial"/>
              </w:rPr>
            </w:pPr>
            <w:r w:rsidRPr="00653E50">
              <w:rPr>
                <w:rFonts w:ascii="Arial" w:hAnsi="Arial" w:cs="Arial"/>
              </w:rPr>
              <w:t>Denver</w:t>
            </w:r>
          </w:p>
        </w:tc>
        <w:tc>
          <w:tcPr>
            <w:tcW w:w="2347" w:type="dxa"/>
          </w:tcPr>
          <w:p w14:paraId="190C9358" w14:textId="77777777" w:rsidR="008E7844" w:rsidRPr="00653E50" w:rsidRDefault="008E7844" w:rsidP="00C005D8">
            <w:pPr>
              <w:rPr>
                <w:rFonts w:ascii="Arial" w:hAnsi="Arial" w:cs="Arial"/>
              </w:rPr>
            </w:pPr>
            <w:r w:rsidRPr="00653E50">
              <w:rPr>
                <w:rFonts w:ascii="Arial" w:hAnsi="Arial" w:cs="Arial"/>
              </w:rPr>
              <w:t>Parks layer included golf courses</w:t>
            </w:r>
          </w:p>
        </w:tc>
        <w:tc>
          <w:tcPr>
            <w:tcW w:w="2395" w:type="dxa"/>
          </w:tcPr>
          <w:p w14:paraId="127D6592" w14:textId="77777777" w:rsidR="008E7844" w:rsidRPr="00653E50" w:rsidRDefault="008E7844" w:rsidP="00C005D8">
            <w:pPr>
              <w:rPr>
                <w:rFonts w:ascii="Arial" w:hAnsi="Arial" w:cs="Arial"/>
              </w:rPr>
            </w:pPr>
            <w:r w:rsidRPr="00653E50">
              <w:rPr>
                <w:rFonts w:ascii="Arial" w:hAnsi="Arial" w:cs="Arial"/>
              </w:rPr>
              <w:t>Network analysis failed to find a small fraction of paths</w:t>
            </w:r>
          </w:p>
        </w:tc>
        <w:tc>
          <w:tcPr>
            <w:tcW w:w="2082" w:type="dxa"/>
          </w:tcPr>
          <w:p w14:paraId="6FAE5A44" w14:textId="77777777" w:rsidR="008E7844" w:rsidRPr="00653E50" w:rsidRDefault="008E7844" w:rsidP="00C005D8">
            <w:pPr>
              <w:rPr>
                <w:rFonts w:ascii="Arial" w:hAnsi="Arial" w:cs="Arial"/>
              </w:rPr>
            </w:pPr>
            <w:r w:rsidRPr="00653E50">
              <w:rPr>
                <w:rFonts w:ascii="Arial" w:hAnsi="Arial" w:cs="Arial"/>
              </w:rPr>
              <w:t>High</w:t>
            </w:r>
          </w:p>
        </w:tc>
      </w:tr>
      <w:tr w:rsidR="008E7844" w:rsidRPr="00653E50" w14:paraId="0A88A813" w14:textId="77777777" w:rsidTr="00C005D8">
        <w:tc>
          <w:tcPr>
            <w:tcW w:w="2192" w:type="dxa"/>
          </w:tcPr>
          <w:p w14:paraId="72A8294D" w14:textId="77777777" w:rsidR="008E7844" w:rsidRPr="00653E50" w:rsidRDefault="008E7844" w:rsidP="00C005D8">
            <w:pPr>
              <w:rPr>
                <w:rFonts w:ascii="Arial" w:hAnsi="Arial" w:cs="Arial"/>
              </w:rPr>
            </w:pPr>
            <w:r w:rsidRPr="00653E50">
              <w:rPr>
                <w:rFonts w:ascii="Arial" w:hAnsi="Arial" w:cs="Arial"/>
              </w:rPr>
              <w:t>Seattle</w:t>
            </w:r>
          </w:p>
        </w:tc>
        <w:tc>
          <w:tcPr>
            <w:tcW w:w="2347" w:type="dxa"/>
          </w:tcPr>
          <w:p w14:paraId="38455F37" w14:textId="42D7DF3C" w:rsidR="008E7844" w:rsidRPr="00653E50" w:rsidRDefault="00DB7290" w:rsidP="00C005D8">
            <w:pPr>
              <w:rPr>
                <w:rFonts w:ascii="Arial" w:hAnsi="Arial" w:cs="Arial"/>
              </w:rPr>
            </w:pPr>
            <w:r w:rsidRPr="00653E50">
              <w:rPr>
                <w:rFonts w:ascii="Arial" w:hAnsi="Arial" w:cs="Arial"/>
              </w:rPr>
              <w:t>Machine-learned canopy and tree location data – includes a margin of error.</w:t>
            </w:r>
          </w:p>
        </w:tc>
        <w:tc>
          <w:tcPr>
            <w:tcW w:w="2395" w:type="dxa"/>
          </w:tcPr>
          <w:p w14:paraId="58629EB7" w14:textId="77777777" w:rsidR="008E7844" w:rsidRPr="00653E50" w:rsidRDefault="008E7844" w:rsidP="00C005D8">
            <w:pPr>
              <w:rPr>
                <w:rFonts w:ascii="Arial" w:hAnsi="Arial" w:cs="Arial"/>
              </w:rPr>
            </w:pPr>
          </w:p>
        </w:tc>
        <w:tc>
          <w:tcPr>
            <w:tcW w:w="2082" w:type="dxa"/>
          </w:tcPr>
          <w:p w14:paraId="5A6FB53C" w14:textId="77777777" w:rsidR="008E7844" w:rsidRPr="00653E50" w:rsidRDefault="008E7844" w:rsidP="00C005D8">
            <w:pPr>
              <w:rPr>
                <w:rFonts w:ascii="Arial" w:hAnsi="Arial" w:cs="Arial"/>
              </w:rPr>
            </w:pPr>
            <w:r w:rsidRPr="00653E50">
              <w:rPr>
                <w:rFonts w:ascii="Arial" w:hAnsi="Arial" w:cs="Arial"/>
              </w:rPr>
              <w:t xml:space="preserve">Highest </w:t>
            </w:r>
          </w:p>
        </w:tc>
      </w:tr>
      <w:tr w:rsidR="008E7844" w:rsidRPr="00653E50" w14:paraId="6CA3BB44" w14:textId="77777777" w:rsidTr="00C005D8">
        <w:tc>
          <w:tcPr>
            <w:tcW w:w="2192" w:type="dxa"/>
          </w:tcPr>
          <w:p w14:paraId="37A49C3F" w14:textId="77777777" w:rsidR="008E7844" w:rsidRPr="00653E50" w:rsidRDefault="008E7844" w:rsidP="00C005D8">
            <w:pPr>
              <w:rPr>
                <w:rFonts w:ascii="Arial" w:hAnsi="Arial" w:cs="Arial"/>
              </w:rPr>
            </w:pPr>
            <w:r w:rsidRPr="00653E50">
              <w:rPr>
                <w:rFonts w:ascii="Arial" w:hAnsi="Arial" w:cs="Arial"/>
              </w:rPr>
              <w:t>Buenos Aires</w:t>
            </w:r>
          </w:p>
        </w:tc>
        <w:tc>
          <w:tcPr>
            <w:tcW w:w="2347" w:type="dxa"/>
          </w:tcPr>
          <w:p w14:paraId="410AF155" w14:textId="77777777" w:rsidR="008E7844" w:rsidRPr="00653E50" w:rsidRDefault="008E7844" w:rsidP="00C005D8">
            <w:pPr>
              <w:rPr>
                <w:rFonts w:ascii="Arial" w:hAnsi="Arial" w:cs="Arial"/>
              </w:rPr>
            </w:pPr>
            <w:r w:rsidRPr="00653E50">
              <w:rPr>
                <w:rFonts w:ascii="Arial" w:hAnsi="Arial" w:cs="Arial"/>
              </w:rPr>
              <w:t>Building layer was approximate (machine learned)</w:t>
            </w:r>
          </w:p>
          <w:p w14:paraId="5BD9188D" w14:textId="77777777" w:rsidR="008E7844" w:rsidRPr="00653E50" w:rsidRDefault="008E7844" w:rsidP="00C005D8">
            <w:pPr>
              <w:rPr>
                <w:rFonts w:ascii="Arial" w:hAnsi="Arial" w:cs="Arial"/>
              </w:rPr>
            </w:pPr>
          </w:p>
          <w:p w14:paraId="328FCEC9" w14:textId="77777777" w:rsidR="008E7844" w:rsidRPr="00653E50" w:rsidRDefault="008E7844" w:rsidP="00C005D8">
            <w:pPr>
              <w:rPr>
                <w:rFonts w:ascii="Arial" w:hAnsi="Arial" w:cs="Arial"/>
              </w:rPr>
            </w:pPr>
            <w:r w:rsidRPr="00653E50">
              <w:rPr>
                <w:rFonts w:ascii="Arial" w:hAnsi="Arial" w:cs="Arial"/>
              </w:rPr>
              <w:t>Tree inventory was from 2017-18</w:t>
            </w:r>
          </w:p>
          <w:p w14:paraId="51FCCEA2" w14:textId="77777777" w:rsidR="008E7844" w:rsidRPr="00653E50" w:rsidRDefault="008E7844" w:rsidP="00C005D8">
            <w:pPr>
              <w:rPr>
                <w:rFonts w:ascii="Arial" w:hAnsi="Arial" w:cs="Arial"/>
              </w:rPr>
            </w:pPr>
          </w:p>
          <w:p w14:paraId="6A8FFFFB" w14:textId="77777777" w:rsidR="008E7844" w:rsidRPr="00653E50" w:rsidRDefault="008E7844" w:rsidP="00C005D8">
            <w:pPr>
              <w:rPr>
                <w:rFonts w:ascii="Arial" w:hAnsi="Arial" w:cs="Arial"/>
              </w:rPr>
            </w:pPr>
            <w:r w:rsidRPr="00653E50">
              <w:rPr>
                <w:rFonts w:ascii="Arial" w:hAnsi="Arial" w:cs="Arial"/>
              </w:rPr>
              <w:t>Greenview instead of canopy</w:t>
            </w:r>
          </w:p>
          <w:p w14:paraId="315C25F0" w14:textId="77777777" w:rsidR="008E7844" w:rsidRPr="00653E50" w:rsidRDefault="008E7844" w:rsidP="00C005D8">
            <w:pPr>
              <w:rPr>
                <w:rFonts w:ascii="Arial" w:hAnsi="Arial" w:cs="Arial"/>
              </w:rPr>
            </w:pPr>
          </w:p>
          <w:p w14:paraId="3728354A" w14:textId="77777777" w:rsidR="008E7844" w:rsidRPr="00653E50" w:rsidRDefault="008E7844" w:rsidP="00C005D8">
            <w:pPr>
              <w:rPr>
                <w:rFonts w:ascii="Arial" w:hAnsi="Arial" w:cs="Arial"/>
              </w:rPr>
            </w:pPr>
          </w:p>
        </w:tc>
        <w:tc>
          <w:tcPr>
            <w:tcW w:w="2395" w:type="dxa"/>
          </w:tcPr>
          <w:p w14:paraId="1C912E34" w14:textId="77777777" w:rsidR="008E7844" w:rsidRPr="00653E50" w:rsidRDefault="008E7844" w:rsidP="00C005D8">
            <w:pPr>
              <w:rPr>
                <w:rFonts w:ascii="Arial" w:hAnsi="Arial" w:cs="Arial"/>
              </w:rPr>
            </w:pPr>
          </w:p>
        </w:tc>
        <w:tc>
          <w:tcPr>
            <w:tcW w:w="2082" w:type="dxa"/>
          </w:tcPr>
          <w:p w14:paraId="08A63DF6" w14:textId="77777777" w:rsidR="008E7844" w:rsidRPr="00653E50" w:rsidRDefault="008E7844" w:rsidP="00C005D8">
            <w:pPr>
              <w:rPr>
                <w:rFonts w:ascii="Arial" w:hAnsi="Arial" w:cs="Arial"/>
              </w:rPr>
            </w:pPr>
            <w:r w:rsidRPr="00653E50">
              <w:rPr>
                <w:rFonts w:ascii="Arial" w:hAnsi="Arial" w:cs="Arial"/>
              </w:rPr>
              <w:t>Lower – significant approximations and workarounds required</w:t>
            </w:r>
          </w:p>
        </w:tc>
      </w:tr>
      <w:tr w:rsidR="008E7844" w:rsidRPr="00653E50" w14:paraId="2532C8A5" w14:textId="77777777" w:rsidTr="00C005D8">
        <w:tc>
          <w:tcPr>
            <w:tcW w:w="2192" w:type="dxa"/>
          </w:tcPr>
          <w:p w14:paraId="605402AF" w14:textId="77777777" w:rsidR="008E7844" w:rsidRPr="00653E50" w:rsidRDefault="008E7844" w:rsidP="00C005D8">
            <w:pPr>
              <w:rPr>
                <w:rFonts w:ascii="Arial" w:hAnsi="Arial" w:cs="Arial"/>
              </w:rPr>
            </w:pPr>
            <w:r w:rsidRPr="00653E50">
              <w:rPr>
                <w:rFonts w:ascii="Arial" w:hAnsi="Arial" w:cs="Arial"/>
              </w:rPr>
              <w:t>Amsterdam</w:t>
            </w:r>
          </w:p>
        </w:tc>
        <w:tc>
          <w:tcPr>
            <w:tcW w:w="2347" w:type="dxa"/>
          </w:tcPr>
          <w:p w14:paraId="11F7CB78" w14:textId="77777777" w:rsidR="008E7844" w:rsidRPr="00653E50" w:rsidRDefault="008E7844" w:rsidP="00C005D8">
            <w:pPr>
              <w:rPr>
                <w:rFonts w:ascii="Arial" w:hAnsi="Arial" w:cs="Arial"/>
              </w:rPr>
            </w:pPr>
            <w:r w:rsidRPr="00653E50">
              <w:rPr>
                <w:rFonts w:ascii="Arial" w:hAnsi="Arial" w:cs="Arial"/>
              </w:rPr>
              <w:t xml:space="preserve">Public trees only </w:t>
            </w:r>
          </w:p>
          <w:p w14:paraId="6A45708A" w14:textId="77777777" w:rsidR="008E7844" w:rsidRPr="00653E50" w:rsidRDefault="008E7844" w:rsidP="00C005D8">
            <w:pPr>
              <w:rPr>
                <w:rFonts w:ascii="Arial" w:hAnsi="Arial" w:cs="Arial"/>
              </w:rPr>
            </w:pPr>
          </w:p>
        </w:tc>
        <w:tc>
          <w:tcPr>
            <w:tcW w:w="2395" w:type="dxa"/>
          </w:tcPr>
          <w:p w14:paraId="04FB55F2" w14:textId="77777777" w:rsidR="008E7844" w:rsidRPr="00653E50" w:rsidRDefault="008E7844" w:rsidP="00C005D8">
            <w:pPr>
              <w:rPr>
                <w:rFonts w:ascii="Arial" w:hAnsi="Arial" w:cs="Arial"/>
              </w:rPr>
            </w:pPr>
            <w:r w:rsidRPr="00653E50">
              <w:rPr>
                <w:rFonts w:ascii="Arial" w:hAnsi="Arial" w:cs="Arial"/>
              </w:rPr>
              <w:t>Road network had severe routing issues – proximity analysis was used instead</w:t>
            </w:r>
          </w:p>
        </w:tc>
        <w:tc>
          <w:tcPr>
            <w:tcW w:w="2082" w:type="dxa"/>
          </w:tcPr>
          <w:p w14:paraId="391CE966" w14:textId="77777777" w:rsidR="008E7844" w:rsidRPr="00653E50" w:rsidRDefault="008E7844" w:rsidP="00C005D8">
            <w:pPr>
              <w:rPr>
                <w:rFonts w:ascii="Arial" w:hAnsi="Arial" w:cs="Arial"/>
              </w:rPr>
            </w:pPr>
            <w:r w:rsidRPr="00653E50">
              <w:rPr>
                <w:rFonts w:ascii="Arial" w:hAnsi="Arial" w:cs="Arial"/>
              </w:rPr>
              <w:t>Lower – significant approximations and workarounds required</w:t>
            </w:r>
          </w:p>
        </w:tc>
      </w:tr>
      <w:tr w:rsidR="008E7844" w:rsidRPr="00653E50" w14:paraId="70CB44D5" w14:textId="77777777" w:rsidTr="00C005D8">
        <w:tc>
          <w:tcPr>
            <w:tcW w:w="2192" w:type="dxa"/>
          </w:tcPr>
          <w:p w14:paraId="28482C92" w14:textId="77777777" w:rsidR="008E7844" w:rsidRPr="00653E50" w:rsidRDefault="008E7844" w:rsidP="00C005D8">
            <w:pPr>
              <w:rPr>
                <w:rFonts w:ascii="Arial" w:hAnsi="Arial" w:cs="Arial"/>
              </w:rPr>
            </w:pPr>
            <w:r w:rsidRPr="00653E50">
              <w:rPr>
                <w:rFonts w:ascii="Arial" w:hAnsi="Arial" w:cs="Arial"/>
              </w:rPr>
              <w:t>Singapore</w:t>
            </w:r>
          </w:p>
        </w:tc>
        <w:tc>
          <w:tcPr>
            <w:tcW w:w="2347" w:type="dxa"/>
          </w:tcPr>
          <w:p w14:paraId="73E2B394" w14:textId="77777777" w:rsidR="008E7844" w:rsidRPr="00653E50" w:rsidRDefault="008E7844" w:rsidP="00C005D8">
            <w:pPr>
              <w:rPr>
                <w:rFonts w:ascii="Arial" w:hAnsi="Arial" w:cs="Arial"/>
              </w:rPr>
            </w:pPr>
            <w:r w:rsidRPr="00653E50">
              <w:rPr>
                <w:rFonts w:ascii="Arial" w:hAnsi="Arial" w:cs="Arial"/>
              </w:rPr>
              <w:t xml:space="preserve">Parks layer derived from </w:t>
            </w:r>
            <w:proofErr w:type="gramStart"/>
            <w:r w:rsidRPr="00653E50">
              <w:rPr>
                <w:rFonts w:ascii="Arial" w:hAnsi="Arial" w:cs="Arial"/>
              </w:rPr>
              <w:t>OSM</w:t>
            </w:r>
            <w:proofErr w:type="gramEnd"/>
          </w:p>
          <w:p w14:paraId="5B102D19" w14:textId="77777777" w:rsidR="008E7844" w:rsidRPr="00653E50" w:rsidRDefault="008E7844" w:rsidP="00C005D8">
            <w:pPr>
              <w:rPr>
                <w:rFonts w:ascii="Arial" w:hAnsi="Arial" w:cs="Arial"/>
              </w:rPr>
            </w:pPr>
          </w:p>
          <w:p w14:paraId="169F0D7F" w14:textId="77777777" w:rsidR="008E7844" w:rsidRPr="00653E50" w:rsidRDefault="008E7844" w:rsidP="00C005D8">
            <w:pPr>
              <w:rPr>
                <w:rFonts w:ascii="Arial" w:hAnsi="Arial" w:cs="Arial"/>
              </w:rPr>
            </w:pPr>
            <w:r w:rsidRPr="00653E50">
              <w:rPr>
                <w:rFonts w:ascii="Arial" w:hAnsi="Arial" w:cs="Arial"/>
              </w:rPr>
              <w:t>Somewhat informal tree data source</w:t>
            </w:r>
          </w:p>
          <w:p w14:paraId="6ED58CD0" w14:textId="77777777" w:rsidR="008E7844" w:rsidRPr="00653E50" w:rsidRDefault="008E7844" w:rsidP="00C005D8">
            <w:pPr>
              <w:rPr>
                <w:rFonts w:ascii="Arial" w:hAnsi="Arial" w:cs="Arial"/>
              </w:rPr>
            </w:pPr>
          </w:p>
          <w:p w14:paraId="1187F2F0" w14:textId="77777777" w:rsidR="008E7844" w:rsidRPr="00653E50" w:rsidRDefault="008E7844" w:rsidP="00C005D8">
            <w:pPr>
              <w:rPr>
                <w:rFonts w:ascii="Arial" w:hAnsi="Arial" w:cs="Arial"/>
              </w:rPr>
            </w:pPr>
            <w:r w:rsidRPr="00653E50">
              <w:rPr>
                <w:rFonts w:ascii="Arial" w:hAnsi="Arial" w:cs="Arial"/>
              </w:rPr>
              <w:t xml:space="preserve">Greenview </w:t>
            </w:r>
          </w:p>
        </w:tc>
        <w:tc>
          <w:tcPr>
            <w:tcW w:w="2395" w:type="dxa"/>
          </w:tcPr>
          <w:p w14:paraId="277F9FE8" w14:textId="77777777" w:rsidR="008E7844" w:rsidRPr="00653E50" w:rsidRDefault="008E7844" w:rsidP="00C005D8">
            <w:pPr>
              <w:rPr>
                <w:rFonts w:ascii="Arial" w:hAnsi="Arial" w:cs="Arial"/>
              </w:rPr>
            </w:pPr>
            <w:r w:rsidRPr="00653E50">
              <w:rPr>
                <w:rFonts w:ascii="Arial" w:hAnsi="Arial" w:cs="Arial"/>
              </w:rPr>
              <w:t xml:space="preserve">Road network had severe routing issues – proximity analysis was used </w:t>
            </w:r>
            <w:proofErr w:type="gramStart"/>
            <w:r w:rsidRPr="00653E50">
              <w:rPr>
                <w:rFonts w:ascii="Arial" w:hAnsi="Arial" w:cs="Arial"/>
              </w:rPr>
              <w:t>instead</w:t>
            </w:r>
            <w:proofErr w:type="gramEnd"/>
          </w:p>
          <w:p w14:paraId="66263C07" w14:textId="77777777" w:rsidR="008E7844" w:rsidRPr="00653E50" w:rsidRDefault="008E7844" w:rsidP="00C005D8">
            <w:pPr>
              <w:rPr>
                <w:rFonts w:ascii="Arial" w:hAnsi="Arial" w:cs="Arial"/>
              </w:rPr>
            </w:pPr>
          </w:p>
          <w:p w14:paraId="63D9D3F3" w14:textId="77777777" w:rsidR="008E7844" w:rsidRPr="00653E50" w:rsidRDefault="008E7844" w:rsidP="00C005D8">
            <w:pPr>
              <w:rPr>
                <w:rFonts w:ascii="Arial" w:hAnsi="Arial" w:cs="Arial"/>
              </w:rPr>
            </w:pPr>
          </w:p>
        </w:tc>
        <w:tc>
          <w:tcPr>
            <w:tcW w:w="2082" w:type="dxa"/>
          </w:tcPr>
          <w:p w14:paraId="36A4F156" w14:textId="77777777" w:rsidR="008E7844" w:rsidRPr="00653E50" w:rsidRDefault="008E7844" w:rsidP="00C005D8">
            <w:pPr>
              <w:rPr>
                <w:rFonts w:ascii="Arial" w:hAnsi="Arial" w:cs="Arial"/>
              </w:rPr>
            </w:pPr>
            <w:r w:rsidRPr="00653E50">
              <w:rPr>
                <w:rFonts w:ascii="Arial" w:hAnsi="Arial" w:cs="Arial"/>
              </w:rPr>
              <w:t>Lower – significant approximations and workarounds required</w:t>
            </w:r>
          </w:p>
        </w:tc>
      </w:tr>
    </w:tbl>
    <w:p w14:paraId="411CA25B" w14:textId="77777777" w:rsidR="008E7844" w:rsidRPr="00653E50" w:rsidRDefault="008E7844" w:rsidP="008E7844">
      <w:pPr>
        <w:rPr>
          <w:rFonts w:ascii="Arial" w:hAnsi="Arial" w:cs="Arial"/>
        </w:rPr>
      </w:pPr>
    </w:p>
    <w:p w14:paraId="028D4405" w14:textId="77777777" w:rsidR="008E7844" w:rsidRPr="00653E50" w:rsidRDefault="008E7844" w:rsidP="008E7844">
      <w:pPr>
        <w:pStyle w:val="Heading3"/>
        <w:rPr>
          <w:rFonts w:ascii="Arial" w:hAnsi="Arial" w:cs="Arial"/>
        </w:rPr>
      </w:pPr>
      <w:bookmarkStart w:id="7" w:name="_Toc158989036"/>
      <w:r w:rsidRPr="00653E50">
        <w:rPr>
          <w:rFonts w:ascii="Arial" w:hAnsi="Arial" w:cs="Arial"/>
        </w:rPr>
        <w:lastRenderedPageBreak/>
        <w:t>Processing limitations</w:t>
      </w:r>
      <w:bookmarkEnd w:id="7"/>
    </w:p>
    <w:p w14:paraId="007727D2" w14:textId="77777777" w:rsidR="008E7844" w:rsidRPr="00653E50" w:rsidRDefault="008E7844" w:rsidP="008E7844">
      <w:pPr>
        <w:rPr>
          <w:rFonts w:ascii="Arial" w:hAnsi="Arial" w:cs="Arial"/>
        </w:rPr>
      </w:pPr>
    </w:p>
    <w:p w14:paraId="763F5903" w14:textId="77777777" w:rsidR="008E7844" w:rsidRPr="00653E50" w:rsidRDefault="008E7844" w:rsidP="008E7844">
      <w:pPr>
        <w:rPr>
          <w:rFonts w:ascii="Arial" w:hAnsi="Arial" w:cs="Arial"/>
        </w:rPr>
      </w:pPr>
      <w:r w:rsidRPr="00653E50">
        <w:rPr>
          <w:rFonts w:ascii="Arial" w:hAnsi="Arial" w:cs="Arial"/>
        </w:rPr>
        <w:t xml:space="preserve">The method employed by this study to calculate views of three or more trees was the largest deviation from Browning et al. (2024), who contend that views from windows are best determined by either the use of questionnaires or advanced analyses based on the precise location of windows (including window height, </w:t>
      </w:r>
      <w:proofErr w:type="gramStart"/>
      <w:r w:rsidRPr="00653E50">
        <w:rPr>
          <w:rFonts w:ascii="Arial" w:hAnsi="Arial" w:cs="Arial"/>
        </w:rPr>
        <w:t>location</w:t>
      </w:r>
      <w:proofErr w:type="gramEnd"/>
      <w:r w:rsidRPr="00653E50">
        <w:rPr>
          <w:rFonts w:ascii="Arial" w:hAnsi="Arial" w:cs="Arial"/>
        </w:rPr>
        <w:t xml:space="preserve"> and landscape elevation). While more precise, these analyses are not practical for city-scale estimates; for example, our analysis of New York involved over one million buildings. Analyses based on individual windows also would require sophisticated input data that is not currently available at the city scale; while assuming a window every 5m is fairly coarse, it does give a sense of which buildings have an unobstructed line of sight to trees, which is the only aspect of the urban forester’s job that is within their control (urban foresters can offer the opportunity to </w:t>
      </w:r>
      <w:r w:rsidRPr="00653E50">
        <w:rPr>
          <w:rFonts w:ascii="Arial" w:hAnsi="Arial" w:cs="Arial"/>
          <w:i/>
          <w:iCs/>
        </w:rPr>
        <w:t>view</w:t>
      </w:r>
      <w:r w:rsidRPr="00653E50">
        <w:rPr>
          <w:rFonts w:ascii="Arial" w:hAnsi="Arial" w:cs="Arial"/>
        </w:rPr>
        <w:t xml:space="preserve"> three trees, but the visibility of those trees for residents ultimately depends on whether the building’s design includes windows). </w:t>
      </w:r>
    </w:p>
    <w:p w14:paraId="7746C1FD" w14:textId="77777777" w:rsidR="008E7844" w:rsidRPr="00653E50" w:rsidRDefault="008E7844" w:rsidP="008E7844">
      <w:pPr>
        <w:rPr>
          <w:rFonts w:ascii="Arial" w:hAnsi="Arial" w:cs="Arial"/>
        </w:rPr>
      </w:pPr>
      <w:r w:rsidRPr="00653E50">
        <w:rPr>
          <w:rFonts w:ascii="Arial" w:hAnsi="Arial" w:cs="Arial"/>
        </w:rPr>
        <w:t xml:space="preserve">Spatial software offers a range of ways of calculating a ‘viewshed’ from a digital elevation model. In lay terms, this is essentially the use of an algorithm to show which areas on a map are visible from a given point. While this is more conventionally used in landscape-scale analyses (e.g. to determine which houses in a valley will be able to see a new wind farm), it could also be used to create viewsheds for single properties in urban settings. Intersecting a viewshed for each property with a tree inventory layer would offer a more precise estimate of tree visibility. However, carrying out this relatively ‘heavy’ calculation at city scale quickly proved to be computationally unfeasible with generic desktop computers, and the simpler ‘line of sight’ method was developed as a substitute. </w:t>
      </w:r>
    </w:p>
    <w:p w14:paraId="708D084F" w14:textId="77777777" w:rsidR="008E7844" w:rsidRPr="00653E50" w:rsidRDefault="008E7844" w:rsidP="008E7844">
      <w:pPr>
        <w:rPr>
          <w:rFonts w:ascii="Arial" w:hAnsi="Arial" w:cs="Arial"/>
        </w:rPr>
      </w:pPr>
      <w:r w:rsidRPr="00653E50">
        <w:rPr>
          <w:rFonts w:ascii="Arial" w:hAnsi="Arial" w:cs="Arial"/>
        </w:rPr>
        <w:t>Routing along these road networks proved complex and error-</w:t>
      </w:r>
      <w:proofErr w:type="gramStart"/>
      <w:r w:rsidRPr="00653E50">
        <w:rPr>
          <w:rFonts w:ascii="Arial" w:hAnsi="Arial" w:cs="Arial"/>
        </w:rPr>
        <w:t>prone, but</w:t>
      </w:r>
      <w:proofErr w:type="gramEnd"/>
      <w:r w:rsidRPr="00653E50">
        <w:rPr>
          <w:rFonts w:ascii="Arial" w:hAnsi="Arial" w:cs="Arial"/>
        </w:rPr>
        <w:t xml:space="preserve"> was eventually achieved by increasing snapping distances or substituting buffer methods. We note that computer scientists have recently published specifically on the nuances of this task </w:t>
      </w:r>
      <w:r w:rsidRPr="00653E50">
        <w:rPr>
          <w:rFonts w:ascii="Arial" w:hAnsi="Arial" w:cs="Arial"/>
        </w:rPr>
        <w:fldChar w:fldCharType="begin" w:fldLock="1"/>
      </w:r>
      <w:r w:rsidRPr="00653E50">
        <w:rPr>
          <w:rFonts w:ascii="Arial" w:hAnsi="Arial" w:cs="Arial"/>
        </w:rPr>
        <w:instrText>ADDIN CSL_CITATION {"citationItems":[{"id":"ITEM-1","itemData":{"DOI":"10.1016/j.simpat.2021.102398","ISSN":"1569190X","abstract":"City-scale simulation modelling of active modes of transportation (i.e., walking and cycling) is becoming increasingly popular in recent years. The heterogeneous and complex behaviour of these transportation modes, however, indicates the need for a shift from the traditional car and public transport centred modelling approaches towards incorporating the requirements for walking and cycling behaviour, while maintaining the run-time efficiency of the models. In this paper, we introduce and test our algorithm to create road network representations, designed and optimised to be used in city-scale active transportation modelling. The algorithm relies on open and universal data. In addition to the major roads and attributes typically used in transport modelling (e.g., speed limit, number of lanes, permitted travel modes), the algorithm also captures minor roads usually favoured by pedestrians and cyclists, along with road attributes such as bicycle-specific infrastructure, traffic signals, road gradient and road surface type. Furthermore, it simplifies the complex geometries of the network and merges parallel roads, if applicable, to make it suitable for large-scale simulations. To examine the utility and performance of the algorithm, we used it to create a network representation for Greater Melbourne, Australia, and compared the output with a network created using an existing simulation toolkit along with another network from an existing city-scale transport model from the Victorian government. Through simulation experiments with these networks, we illustrated that for routed trips on our network for walking and cycling, it is of comparable accuracy to the common network conversion tools in terms of travel distance of the shortest paths while being more than two times faster when used for simulating different sample sizes. Therefore, our algorithm offers a flexible and adjustable solution for users to create road networks for city-scale active transport modelling while balancing between their desired simulation accuracy and run-time.","author":[{"dropping-particle":"","family":"Jafari","given":"Afshin","non-dropping-particle":"","parse-names":false,"suffix":""},{"dropping-particle":"","family":"Both","given":"Alan","non-dropping-particle":"","parse-names":false,"suffix":""},{"dropping-particle":"","family":"Singh","given":"Dhirendra","non-dropping-particle":"","parse-names":false,"suffix":""},{"dropping-particle":"","family":"Gunn","given":"Lucy","non-dropping-particle":"","parse-names":false,"suffix":""},{"dropping-particle":"","family":"Giles-Corti","given":"Billie","non-dropping-particle":"","parse-names":false,"suffix":""}],"container-title":"Simulation Modelling Practice and Theory","id":"ITEM-1","issue":"August 2021","issued":{"date-parts":[["2022"]]},"page":"102398","publisher":"Elsevier B.V.","title":"Building the road network for city-scale active transport simulation models","type":"article-journal","volume":"114"},"uris":["http://www.mendeley.com/documents/?uuid=dcecf4f7-98f9-49f1-8035-941992baa9e2"]}],"mendeley":{"formattedCitation":"(Jafari et al., 2022)","plainTextFormattedCitation":"(Jafari et al., 2022)","previouslyFormattedCitation":"(Jafari et al., 2022)"},"properties":{"noteIndex":0},"schema":"https://github.com/citation-style-language/schema/raw/master/csl-citation.json"}</w:instrText>
      </w:r>
      <w:r w:rsidRPr="00653E50">
        <w:rPr>
          <w:rFonts w:ascii="Arial" w:hAnsi="Arial" w:cs="Arial"/>
        </w:rPr>
        <w:fldChar w:fldCharType="separate"/>
      </w:r>
      <w:r w:rsidRPr="00653E50">
        <w:rPr>
          <w:rFonts w:ascii="Arial" w:hAnsi="Arial" w:cs="Arial"/>
          <w:noProof/>
        </w:rPr>
        <w:t>(Jafari et al., 2022)</w:t>
      </w:r>
      <w:r w:rsidRPr="00653E50">
        <w:rPr>
          <w:rFonts w:ascii="Arial" w:hAnsi="Arial" w:cs="Arial"/>
        </w:rPr>
        <w:fldChar w:fldCharType="end"/>
      </w:r>
      <w:r w:rsidRPr="00653E50">
        <w:rPr>
          <w:rFonts w:ascii="Arial" w:hAnsi="Arial" w:cs="Arial"/>
        </w:rPr>
        <w:t xml:space="preserve">. </w:t>
      </w:r>
    </w:p>
    <w:p w14:paraId="6D84B336" w14:textId="77777777" w:rsidR="008E7844" w:rsidRPr="00653E50" w:rsidRDefault="008E7844" w:rsidP="008E7844">
      <w:pPr>
        <w:rPr>
          <w:rFonts w:ascii="Arial" w:hAnsi="Arial" w:cs="Arial"/>
        </w:rPr>
      </w:pPr>
      <w:r w:rsidRPr="00653E50">
        <w:rPr>
          <w:rFonts w:ascii="Arial" w:hAnsi="Arial" w:cs="Arial"/>
        </w:rPr>
        <w:t>Network analysis for this study quickly revealed the need to use ‘snapping’ distances of up to 100m to ensure building and park centroids link to a road network (thereby avoiding a high proportion of ‘no path’ errors), which does mean that measures of travel distance are also not completely precise.</w:t>
      </w:r>
    </w:p>
    <w:p w14:paraId="16DC09D8" w14:textId="77777777" w:rsidR="008E7844" w:rsidRPr="00653E50" w:rsidRDefault="008E7844" w:rsidP="008E7844">
      <w:pPr>
        <w:rPr>
          <w:rFonts w:ascii="Arial" w:hAnsi="Arial" w:cs="Arial"/>
        </w:rPr>
      </w:pPr>
      <w:r w:rsidRPr="00653E50">
        <w:rPr>
          <w:rFonts w:ascii="Arial" w:hAnsi="Arial" w:cs="Arial"/>
        </w:rPr>
        <w:t xml:space="preserve">Finally, the construction of a scoring out of ten was an experiment in adding nuance to the ‘rule’, but it was quite coarse. Use of a stepped scoring which offered up to 4 points for canopy cover to produce a score out of ten does bias the index toward one of the three tests; the metric also does not reward over-achievement of the tests (e.g. a 40% canopy result, or a park within 100m, is not treated differently to 30% canopy or 299m park distance). The test also assumes linear decrease in benefit with decreasing green infrastructure. A more precise partial scoring might weight the three tests equally, and apportion scores based on evidence of how beneficial a partial achievement of the result really is. Parametrising such a test was beyond the scope of our study.  </w:t>
      </w:r>
    </w:p>
    <w:p w14:paraId="12725440" w14:textId="77777777" w:rsidR="008E7844" w:rsidRPr="00653E50" w:rsidRDefault="008E7844" w:rsidP="008E7844">
      <w:pPr>
        <w:pStyle w:val="Heading3"/>
        <w:rPr>
          <w:rFonts w:ascii="Arial" w:hAnsi="Arial" w:cs="Arial"/>
        </w:rPr>
      </w:pPr>
      <w:bookmarkStart w:id="8" w:name="_Toc158989037"/>
      <w:r w:rsidRPr="00653E50">
        <w:rPr>
          <w:rFonts w:ascii="Arial" w:hAnsi="Arial" w:cs="Arial"/>
        </w:rPr>
        <w:t>Data limitations</w:t>
      </w:r>
      <w:bookmarkEnd w:id="8"/>
    </w:p>
    <w:p w14:paraId="4716D83E" w14:textId="77777777" w:rsidR="008E7844" w:rsidRPr="00653E50" w:rsidRDefault="008E7844" w:rsidP="008E7844">
      <w:pPr>
        <w:rPr>
          <w:rFonts w:ascii="Arial" w:hAnsi="Arial" w:cs="Arial"/>
          <w:highlight w:val="green"/>
        </w:rPr>
      </w:pPr>
    </w:p>
    <w:p w14:paraId="527296D1" w14:textId="77777777" w:rsidR="008E7844" w:rsidRPr="00653E50" w:rsidRDefault="008E7844" w:rsidP="008E7844">
      <w:pPr>
        <w:rPr>
          <w:rFonts w:ascii="Arial" w:hAnsi="Arial" w:cs="Arial"/>
        </w:rPr>
      </w:pPr>
      <w:r w:rsidRPr="00653E50">
        <w:rPr>
          <w:rFonts w:ascii="Arial" w:hAnsi="Arial" w:cs="Arial"/>
        </w:rPr>
        <w:t xml:space="preserve">Most of the urban forest datasets in this study are generated and maintained by municipality staff, and accordingly are limited to public trees. This does lead to some underestimates of green space access; for </w:t>
      </w:r>
      <w:proofErr w:type="gramStart"/>
      <w:r w:rsidRPr="00653E50">
        <w:rPr>
          <w:rFonts w:ascii="Arial" w:hAnsi="Arial" w:cs="Arial"/>
        </w:rPr>
        <w:t>example</w:t>
      </w:r>
      <w:proofErr w:type="gramEnd"/>
      <w:r w:rsidRPr="00653E50">
        <w:rPr>
          <w:rFonts w:ascii="Arial" w:hAnsi="Arial" w:cs="Arial"/>
        </w:rPr>
        <w:t xml:space="preserve"> the University of Sydney has many privately-owned trees </w:t>
      </w:r>
      <w:r w:rsidRPr="00653E50">
        <w:rPr>
          <w:rFonts w:ascii="Arial" w:hAnsi="Arial" w:cs="Arial"/>
        </w:rPr>
        <w:lastRenderedPageBreak/>
        <w:t xml:space="preserve">on its large campus, but the use of public urban forest datasets for the ‘3’ test meant that its buildings performed poorly on this test. </w:t>
      </w:r>
    </w:p>
    <w:p w14:paraId="1110B708" w14:textId="40850BC9" w:rsidR="008E7844" w:rsidRPr="00653E50" w:rsidRDefault="008E7844" w:rsidP="008E7844">
      <w:pPr>
        <w:rPr>
          <w:rFonts w:ascii="Arial" w:hAnsi="Arial" w:cs="Arial"/>
        </w:rPr>
      </w:pPr>
      <w:r w:rsidRPr="00653E50">
        <w:rPr>
          <w:rFonts w:ascii="Arial" w:hAnsi="Arial" w:cs="Arial"/>
        </w:rPr>
        <w:t xml:space="preserve">Conversely, some areas received scores were either false positives – such as buildings that got positive scores for open space access because they were near grassy areas associated with airport runways – or negative scores that may not be problematic, e.g. in port areas. In both cases this is because data was not meticulously cleaned for tailored use; this step may be necessary for some municipalities. </w:t>
      </w:r>
    </w:p>
    <w:p w14:paraId="494A5EFC" w14:textId="77777777" w:rsidR="008E7844" w:rsidRPr="00653E50" w:rsidRDefault="008E7844" w:rsidP="008E7844">
      <w:pPr>
        <w:rPr>
          <w:rFonts w:ascii="Arial" w:hAnsi="Arial" w:cs="Arial"/>
        </w:rPr>
      </w:pPr>
      <w:r w:rsidRPr="00653E50">
        <w:rPr>
          <w:rFonts w:ascii="Arial" w:hAnsi="Arial" w:cs="Arial"/>
        </w:rPr>
        <w:t xml:space="preserve">Data limitations also prevented the exclusion of small trees from the analysis, as data that links individual trees to their canopy cover is still a relative novelty. It also limited the precision of the analysis to the building scale; multi-unit dwellings were treated as single structures, which may limit accuracy in large structures where individual apartments have substantially different views or locations. </w:t>
      </w:r>
    </w:p>
    <w:p w14:paraId="452AC269" w14:textId="77777777" w:rsidR="008E7844" w:rsidRPr="00653E50" w:rsidRDefault="008E7844" w:rsidP="008E7844">
      <w:pPr>
        <w:rPr>
          <w:rFonts w:ascii="Arial" w:hAnsi="Arial" w:cs="Arial"/>
        </w:rPr>
      </w:pPr>
    </w:p>
    <w:p w14:paraId="20FDC35A" w14:textId="77777777" w:rsidR="008E7844" w:rsidRPr="00653E50" w:rsidRDefault="008E7844" w:rsidP="008E7844">
      <w:pPr>
        <w:rPr>
          <w:rFonts w:ascii="Arial" w:hAnsi="Arial" w:cs="Arial"/>
        </w:rPr>
      </w:pPr>
    </w:p>
    <w:p w14:paraId="38B9D4D1" w14:textId="77777777" w:rsidR="00041B57" w:rsidRPr="00653E50" w:rsidRDefault="00041B57" w:rsidP="00041B57">
      <w:pPr>
        <w:pStyle w:val="Heading2"/>
        <w:ind w:left="1080"/>
        <w:rPr>
          <w:rFonts w:ascii="Arial" w:hAnsi="Arial" w:cs="Arial"/>
        </w:rPr>
      </w:pPr>
    </w:p>
    <w:p w14:paraId="6D2C0498" w14:textId="77777777" w:rsidR="00041B57" w:rsidRPr="00653E50" w:rsidRDefault="00041B57" w:rsidP="00041B57">
      <w:pPr>
        <w:rPr>
          <w:rFonts w:ascii="Arial" w:hAnsi="Arial" w:cs="Arial"/>
        </w:rPr>
      </w:pPr>
    </w:p>
    <w:p w14:paraId="4FEE8ACD" w14:textId="77777777" w:rsidR="008E7844" w:rsidRPr="00653E50" w:rsidRDefault="008E7844" w:rsidP="008E7844">
      <w:pPr>
        <w:rPr>
          <w:rFonts w:ascii="Arial" w:hAnsi="Arial" w:cs="Arial"/>
        </w:rPr>
      </w:pPr>
    </w:p>
    <w:p w14:paraId="0AF65954" w14:textId="77777777" w:rsidR="008E7844" w:rsidRPr="00653E50" w:rsidRDefault="008E7844" w:rsidP="008E7844">
      <w:pPr>
        <w:rPr>
          <w:rFonts w:ascii="Arial" w:hAnsi="Arial" w:cs="Arial"/>
        </w:rPr>
      </w:pPr>
    </w:p>
    <w:p w14:paraId="421A8559" w14:textId="4E594C71" w:rsidR="008E7844" w:rsidRPr="00653E50" w:rsidRDefault="008E7844" w:rsidP="008E7844">
      <w:pPr>
        <w:rPr>
          <w:rFonts w:ascii="Arial" w:hAnsi="Arial" w:cs="Arial"/>
        </w:rPr>
      </w:pPr>
      <w:r w:rsidRPr="00653E50">
        <w:rPr>
          <w:rFonts w:ascii="Arial" w:hAnsi="Arial" w:cs="Arial"/>
        </w:rPr>
        <w:br w:type="page"/>
      </w:r>
    </w:p>
    <w:p w14:paraId="3FA36CF9" w14:textId="10CFD06C" w:rsidR="008B4F28" w:rsidRPr="00653E50" w:rsidRDefault="00CA37D4" w:rsidP="00CA37D4">
      <w:pPr>
        <w:pStyle w:val="Heading1"/>
        <w:rPr>
          <w:rFonts w:ascii="Arial" w:hAnsi="Arial" w:cs="Arial"/>
        </w:rPr>
      </w:pPr>
      <w:bookmarkStart w:id="9" w:name="_Toc158989038"/>
      <w:r w:rsidRPr="00653E50">
        <w:rPr>
          <w:rFonts w:ascii="Arial" w:hAnsi="Arial" w:cs="Arial"/>
        </w:rPr>
        <w:lastRenderedPageBreak/>
        <w:t>References (supplementary)</w:t>
      </w:r>
      <w:bookmarkEnd w:id="9"/>
    </w:p>
    <w:p w14:paraId="44591974" w14:textId="389845B6"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rPr>
        <w:fldChar w:fldCharType="begin" w:fldLock="1"/>
      </w:r>
      <w:r w:rsidRPr="00653E50">
        <w:rPr>
          <w:rFonts w:ascii="Arial" w:hAnsi="Arial" w:cs="Arial"/>
        </w:rPr>
        <w:instrText xml:space="preserve">ADDIN Mendeley Bibliography CSL_BIBLIOGRAPHY </w:instrText>
      </w:r>
      <w:r w:rsidRPr="00653E50">
        <w:rPr>
          <w:rFonts w:ascii="Arial" w:hAnsi="Arial" w:cs="Arial"/>
        </w:rPr>
        <w:fldChar w:fldCharType="separate"/>
      </w:r>
      <w:r w:rsidRPr="00653E50">
        <w:rPr>
          <w:rFonts w:ascii="Arial" w:hAnsi="Arial" w:cs="Arial"/>
          <w:noProof/>
          <w:szCs w:val="24"/>
        </w:rPr>
        <w:t xml:space="preserve">Abril, I., &amp; Sánchez, V. (2023). </w:t>
      </w:r>
      <w:r w:rsidRPr="00653E50">
        <w:rPr>
          <w:rFonts w:ascii="Arial" w:hAnsi="Arial" w:cs="Arial"/>
          <w:i/>
          <w:iCs/>
          <w:noProof/>
          <w:szCs w:val="24"/>
        </w:rPr>
        <w:t>Accessing Eye-level Greenness Visibility from Open- Source Street View Images : A methodological development and implementation in multi-city and multi-country contexts</w:t>
      </w:r>
      <w:r w:rsidRPr="00653E50">
        <w:rPr>
          <w:rFonts w:ascii="Arial" w:hAnsi="Arial" w:cs="Arial"/>
          <w:noProof/>
          <w:szCs w:val="24"/>
        </w:rPr>
        <w:t>. 1–34.</w:t>
      </w:r>
    </w:p>
    <w:p w14:paraId="293251CE"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American Forests. (2023). </w:t>
      </w:r>
      <w:r w:rsidRPr="00653E50">
        <w:rPr>
          <w:rFonts w:ascii="Arial" w:hAnsi="Arial" w:cs="Arial"/>
          <w:i/>
          <w:iCs/>
          <w:noProof/>
          <w:szCs w:val="24"/>
        </w:rPr>
        <w:t>Tree Equity Score UK</w:t>
      </w:r>
      <w:r w:rsidRPr="00653E50">
        <w:rPr>
          <w:rFonts w:ascii="Arial" w:hAnsi="Arial" w:cs="Arial"/>
          <w:noProof/>
          <w:szCs w:val="24"/>
        </w:rPr>
        <w:t>. https://uk.treeequityscore.org/</w:t>
      </w:r>
    </w:p>
    <w:p w14:paraId="0A791D70"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Annerstedt Van Den Bosch, M., Egorov, A. I., Mudu, P., Uscila, V., Barrdahl, M., Kruize, H., Kulinkina, A., Staatsen, B., Swart, W., &amp; Zurlyte, I. (2016). Development of an urban green space indicator and the public health rationale. </w:t>
      </w:r>
      <w:r w:rsidRPr="00653E50">
        <w:rPr>
          <w:rFonts w:ascii="Arial" w:hAnsi="Arial" w:cs="Arial"/>
          <w:i/>
          <w:iCs/>
          <w:noProof/>
          <w:szCs w:val="24"/>
        </w:rPr>
        <w:t>Scandinavian Journal of Public Health</w:t>
      </w:r>
      <w:r w:rsidRPr="00653E50">
        <w:rPr>
          <w:rFonts w:ascii="Arial" w:hAnsi="Arial" w:cs="Arial"/>
          <w:noProof/>
          <w:szCs w:val="24"/>
        </w:rPr>
        <w:t xml:space="preserve">, </w:t>
      </w:r>
      <w:r w:rsidRPr="00653E50">
        <w:rPr>
          <w:rFonts w:ascii="Arial" w:hAnsi="Arial" w:cs="Arial"/>
          <w:i/>
          <w:iCs/>
          <w:noProof/>
          <w:szCs w:val="24"/>
        </w:rPr>
        <w:t>44</w:t>
      </w:r>
      <w:r w:rsidRPr="00653E50">
        <w:rPr>
          <w:rFonts w:ascii="Arial" w:hAnsi="Arial" w:cs="Arial"/>
          <w:noProof/>
          <w:szCs w:val="24"/>
        </w:rPr>
        <w:t>(2), 159–167. https://doi.org/10.1177/1403494815615444</w:t>
      </w:r>
    </w:p>
    <w:p w14:paraId="636AFDBE"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Balai Kerishnan, P., &amp; Maruthaveeran, S. (2021). Factors contributing to the usage of pocket parks―A review of the evidence. </w:t>
      </w:r>
      <w:r w:rsidRPr="00653E50">
        <w:rPr>
          <w:rFonts w:ascii="Arial" w:hAnsi="Arial" w:cs="Arial"/>
          <w:i/>
          <w:iCs/>
          <w:noProof/>
          <w:szCs w:val="24"/>
        </w:rPr>
        <w:t>Urban Forestry and Urban Greening</w:t>
      </w:r>
      <w:r w:rsidRPr="00653E50">
        <w:rPr>
          <w:rFonts w:ascii="Arial" w:hAnsi="Arial" w:cs="Arial"/>
          <w:noProof/>
          <w:szCs w:val="24"/>
        </w:rPr>
        <w:t xml:space="preserve">, </w:t>
      </w:r>
      <w:r w:rsidRPr="00653E50">
        <w:rPr>
          <w:rFonts w:ascii="Arial" w:hAnsi="Arial" w:cs="Arial"/>
          <w:i/>
          <w:iCs/>
          <w:noProof/>
          <w:szCs w:val="24"/>
        </w:rPr>
        <w:t>58</w:t>
      </w:r>
      <w:r w:rsidRPr="00653E50">
        <w:rPr>
          <w:rFonts w:ascii="Arial" w:hAnsi="Arial" w:cs="Arial"/>
          <w:noProof/>
          <w:szCs w:val="24"/>
        </w:rPr>
        <w:t>(April 2020), 126985. https://doi.org/10.1016/j.ufug.2021.126985</w:t>
      </w:r>
    </w:p>
    <w:p w14:paraId="1A955ABC"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Balch, O. (2019). </w:t>
      </w:r>
      <w:r w:rsidRPr="00653E50">
        <w:rPr>
          <w:rFonts w:ascii="Arial" w:hAnsi="Arial" w:cs="Arial"/>
          <w:i/>
          <w:iCs/>
          <w:noProof/>
          <w:szCs w:val="24"/>
        </w:rPr>
        <w:t>Green streets: which city has the most trees?</w:t>
      </w:r>
      <w:r w:rsidRPr="00653E50">
        <w:rPr>
          <w:rFonts w:ascii="Arial" w:hAnsi="Arial" w:cs="Arial"/>
          <w:noProof/>
          <w:szCs w:val="24"/>
        </w:rPr>
        <w:t xml:space="preserve"> The Guardian. https://www.theguardian.com/cities/2019/nov/05/green-streets-which-city-has-the-most-trees</w:t>
      </w:r>
    </w:p>
    <w:p w14:paraId="6EC6A9AC"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Barron, S., Sheppard, S. R. J., &amp; Condon, P. M. (2016). Urban forest indicators for planning and designing future forests. </w:t>
      </w:r>
      <w:r w:rsidRPr="00653E50">
        <w:rPr>
          <w:rFonts w:ascii="Arial" w:hAnsi="Arial" w:cs="Arial"/>
          <w:i/>
          <w:iCs/>
          <w:noProof/>
          <w:szCs w:val="24"/>
        </w:rPr>
        <w:t>Forests</w:t>
      </w:r>
      <w:r w:rsidRPr="00653E50">
        <w:rPr>
          <w:rFonts w:ascii="Arial" w:hAnsi="Arial" w:cs="Arial"/>
          <w:noProof/>
          <w:szCs w:val="24"/>
        </w:rPr>
        <w:t xml:space="preserve">, </w:t>
      </w:r>
      <w:r w:rsidRPr="00653E50">
        <w:rPr>
          <w:rFonts w:ascii="Arial" w:hAnsi="Arial" w:cs="Arial"/>
          <w:i/>
          <w:iCs/>
          <w:noProof/>
          <w:szCs w:val="24"/>
        </w:rPr>
        <w:t>7</w:t>
      </w:r>
      <w:r w:rsidRPr="00653E50">
        <w:rPr>
          <w:rFonts w:ascii="Arial" w:hAnsi="Arial" w:cs="Arial"/>
          <w:noProof/>
          <w:szCs w:val="24"/>
        </w:rPr>
        <w:t>(9), 1–17. https://doi.org/10.3390/f7090208</w:t>
      </w:r>
    </w:p>
    <w:p w14:paraId="56682158"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Battisti, L., Giacco, G., Moraca, M., Pettenati, G., Dansero, E., Larcher, F., &amp; Forest, U. (2024). Spatializing Urban Forests as Nature-based Solutions : a methodological proposal. </w:t>
      </w:r>
      <w:r w:rsidRPr="00653E50">
        <w:rPr>
          <w:rFonts w:ascii="Arial" w:hAnsi="Arial" w:cs="Arial"/>
          <w:i/>
          <w:iCs/>
          <w:noProof/>
          <w:szCs w:val="24"/>
        </w:rPr>
        <w:t>Cities</w:t>
      </w:r>
      <w:r w:rsidRPr="00653E50">
        <w:rPr>
          <w:rFonts w:ascii="Arial" w:hAnsi="Arial" w:cs="Arial"/>
          <w:noProof/>
          <w:szCs w:val="24"/>
        </w:rPr>
        <w:t xml:space="preserve">, </w:t>
      </w:r>
      <w:r w:rsidRPr="00653E50">
        <w:rPr>
          <w:rFonts w:ascii="Arial" w:hAnsi="Arial" w:cs="Arial"/>
          <w:i/>
          <w:iCs/>
          <w:noProof/>
          <w:szCs w:val="24"/>
        </w:rPr>
        <w:t>144</w:t>
      </w:r>
      <w:r w:rsidRPr="00653E50">
        <w:rPr>
          <w:rFonts w:ascii="Arial" w:hAnsi="Arial" w:cs="Arial"/>
          <w:noProof/>
          <w:szCs w:val="24"/>
        </w:rPr>
        <w:t>(June 2023), 104629. https://doi.org/10.1016/j.cities.2023.104629</w:t>
      </w:r>
    </w:p>
    <w:p w14:paraId="73D42287"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City of Darebin. (2019). </w:t>
      </w:r>
      <w:r w:rsidRPr="00653E50">
        <w:rPr>
          <w:rFonts w:ascii="Arial" w:hAnsi="Arial" w:cs="Arial"/>
          <w:i/>
          <w:iCs/>
          <w:noProof/>
          <w:szCs w:val="24"/>
        </w:rPr>
        <w:t>Breathing Space: City of Darebin Open Space Strategy</w:t>
      </w:r>
      <w:r w:rsidRPr="00653E50">
        <w:rPr>
          <w:rFonts w:ascii="Arial" w:hAnsi="Arial" w:cs="Arial"/>
          <w:noProof/>
          <w:szCs w:val="24"/>
        </w:rPr>
        <w:t>. https://www.darebin.vic.gov.au/About-Council/Policies-and-transparency/Council-policies-and-strategies</w:t>
      </w:r>
    </w:p>
    <w:p w14:paraId="2C3D9506"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Galle, N. J., Halpern, D., Nitoslawski, S., Duarte, F., Ratti, C., &amp; Pilla, F. (2021). Mapping the diversity of street tree inventories across eight cities internationally using open data. </w:t>
      </w:r>
      <w:r w:rsidRPr="00653E50">
        <w:rPr>
          <w:rFonts w:ascii="Arial" w:hAnsi="Arial" w:cs="Arial"/>
          <w:i/>
          <w:iCs/>
          <w:noProof/>
          <w:szCs w:val="24"/>
        </w:rPr>
        <w:t>Urban Forestry and Urban Greening</w:t>
      </w:r>
      <w:r w:rsidRPr="00653E50">
        <w:rPr>
          <w:rFonts w:ascii="Arial" w:hAnsi="Arial" w:cs="Arial"/>
          <w:noProof/>
          <w:szCs w:val="24"/>
        </w:rPr>
        <w:t xml:space="preserve">, </w:t>
      </w:r>
      <w:r w:rsidRPr="00653E50">
        <w:rPr>
          <w:rFonts w:ascii="Arial" w:hAnsi="Arial" w:cs="Arial"/>
          <w:i/>
          <w:iCs/>
          <w:noProof/>
          <w:szCs w:val="24"/>
        </w:rPr>
        <w:t>61</w:t>
      </w:r>
      <w:r w:rsidRPr="00653E50">
        <w:rPr>
          <w:rFonts w:ascii="Arial" w:hAnsi="Arial" w:cs="Arial"/>
          <w:noProof/>
          <w:szCs w:val="24"/>
        </w:rPr>
        <w:t>. https://doi.org/10.1016/j.ufug.2021.127099</w:t>
      </w:r>
    </w:p>
    <w:p w14:paraId="518AC3F2"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Jafari, A., Both, A., Singh, D., Gunn, L., &amp; Giles-Corti, B. (2022). Building the road network for city-scale active transport simulation models. </w:t>
      </w:r>
      <w:r w:rsidRPr="00653E50">
        <w:rPr>
          <w:rFonts w:ascii="Arial" w:hAnsi="Arial" w:cs="Arial"/>
          <w:i/>
          <w:iCs/>
          <w:noProof/>
          <w:szCs w:val="24"/>
        </w:rPr>
        <w:t>Simulation Modelling Practice and Theory</w:t>
      </w:r>
      <w:r w:rsidRPr="00653E50">
        <w:rPr>
          <w:rFonts w:ascii="Arial" w:hAnsi="Arial" w:cs="Arial"/>
          <w:noProof/>
          <w:szCs w:val="24"/>
        </w:rPr>
        <w:t xml:space="preserve">, </w:t>
      </w:r>
      <w:r w:rsidRPr="00653E50">
        <w:rPr>
          <w:rFonts w:ascii="Arial" w:hAnsi="Arial" w:cs="Arial"/>
          <w:i/>
          <w:iCs/>
          <w:noProof/>
          <w:szCs w:val="24"/>
        </w:rPr>
        <w:t>114</w:t>
      </w:r>
      <w:r w:rsidRPr="00653E50">
        <w:rPr>
          <w:rFonts w:ascii="Arial" w:hAnsi="Arial" w:cs="Arial"/>
          <w:noProof/>
          <w:szCs w:val="24"/>
        </w:rPr>
        <w:t>(August 2021), 102398. https://doi.org/10.1016/j.simpat.2021.102398</w:t>
      </w:r>
    </w:p>
    <w:p w14:paraId="538C00AA"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Konijnendijk, C. C. (2022). Evidence-based guidelines for greener, healthier, more resilient neighbourhoods: Introducing the 3–30–300 rule. </w:t>
      </w:r>
      <w:r w:rsidRPr="00653E50">
        <w:rPr>
          <w:rFonts w:ascii="Arial" w:hAnsi="Arial" w:cs="Arial"/>
          <w:i/>
          <w:iCs/>
          <w:noProof/>
          <w:szCs w:val="24"/>
        </w:rPr>
        <w:t>Journal of Forestry Research</w:t>
      </w:r>
      <w:r w:rsidRPr="00653E50">
        <w:rPr>
          <w:rFonts w:ascii="Arial" w:hAnsi="Arial" w:cs="Arial"/>
          <w:noProof/>
          <w:szCs w:val="24"/>
        </w:rPr>
        <w:t>. https://doi.org/10.1007/s11676-022-01523-z</w:t>
      </w:r>
    </w:p>
    <w:p w14:paraId="3D026D39"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Labib, S. M., Huck, J. J., &amp; Lindley, S. (2021). Modelling and mapping eye-level greenness visibility exposure using multi-source data at high spatial resolutions. </w:t>
      </w:r>
      <w:r w:rsidRPr="00653E50">
        <w:rPr>
          <w:rFonts w:ascii="Arial" w:hAnsi="Arial" w:cs="Arial"/>
          <w:i/>
          <w:iCs/>
          <w:noProof/>
          <w:szCs w:val="24"/>
        </w:rPr>
        <w:t>Science of the Total Environment</w:t>
      </w:r>
      <w:r w:rsidRPr="00653E50">
        <w:rPr>
          <w:rFonts w:ascii="Arial" w:hAnsi="Arial" w:cs="Arial"/>
          <w:noProof/>
          <w:szCs w:val="24"/>
        </w:rPr>
        <w:t xml:space="preserve">, </w:t>
      </w:r>
      <w:r w:rsidRPr="00653E50">
        <w:rPr>
          <w:rFonts w:ascii="Arial" w:hAnsi="Arial" w:cs="Arial"/>
          <w:i/>
          <w:iCs/>
          <w:noProof/>
          <w:szCs w:val="24"/>
        </w:rPr>
        <w:t>755</w:t>
      </w:r>
      <w:r w:rsidRPr="00653E50">
        <w:rPr>
          <w:rFonts w:ascii="Arial" w:hAnsi="Arial" w:cs="Arial"/>
          <w:noProof/>
          <w:szCs w:val="24"/>
        </w:rPr>
        <w:t>, 143050. https://doi.org/10.1016/j.scitotenv.2020.143050</w:t>
      </w:r>
    </w:p>
    <w:p w14:paraId="2124FA07"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Labib, S. M., Lindley, S., &amp; Huck, J. J. (2020). Spatial dimensions of the influence of urban green-blue spaces on human health: A systematic review. </w:t>
      </w:r>
      <w:r w:rsidRPr="00653E50">
        <w:rPr>
          <w:rFonts w:ascii="Arial" w:hAnsi="Arial" w:cs="Arial"/>
          <w:i/>
          <w:iCs/>
          <w:noProof/>
          <w:szCs w:val="24"/>
        </w:rPr>
        <w:t>Environmental Research</w:t>
      </w:r>
      <w:r w:rsidRPr="00653E50">
        <w:rPr>
          <w:rFonts w:ascii="Arial" w:hAnsi="Arial" w:cs="Arial"/>
          <w:noProof/>
          <w:szCs w:val="24"/>
        </w:rPr>
        <w:t xml:space="preserve">, </w:t>
      </w:r>
      <w:r w:rsidRPr="00653E50">
        <w:rPr>
          <w:rFonts w:ascii="Arial" w:hAnsi="Arial" w:cs="Arial"/>
          <w:i/>
          <w:iCs/>
          <w:noProof/>
          <w:szCs w:val="24"/>
        </w:rPr>
        <w:t>180</w:t>
      </w:r>
      <w:r w:rsidRPr="00653E50">
        <w:rPr>
          <w:rFonts w:ascii="Arial" w:hAnsi="Arial" w:cs="Arial"/>
          <w:noProof/>
          <w:szCs w:val="24"/>
        </w:rPr>
        <w:t>(May 2019), 108869. https://doi.org/10.1016/j.envres.2019.108869</w:t>
      </w:r>
    </w:p>
    <w:p w14:paraId="22989B9D"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Li, X., Zhang, C., Li, W., Ricard, R., Meng, Q., &amp; Zhang, W. (2015). Assessing street-level urban greenery using Google Street View and a modified green view index. </w:t>
      </w:r>
      <w:r w:rsidRPr="00653E50">
        <w:rPr>
          <w:rFonts w:ascii="Arial" w:hAnsi="Arial" w:cs="Arial"/>
          <w:i/>
          <w:iCs/>
          <w:noProof/>
          <w:szCs w:val="24"/>
        </w:rPr>
        <w:t>Urban Forestry and Urban Greening</w:t>
      </w:r>
      <w:r w:rsidRPr="00653E50">
        <w:rPr>
          <w:rFonts w:ascii="Arial" w:hAnsi="Arial" w:cs="Arial"/>
          <w:noProof/>
          <w:szCs w:val="24"/>
        </w:rPr>
        <w:t xml:space="preserve">, </w:t>
      </w:r>
      <w:r w:rsidRPr="00653E50">
        <w:rPr>
          <w:rFonts w:ascii="Arial" w:hAnsi="Arial" w:cs="Arial"/>
          <w:i/>
          <w:iCs/>
          <w:noProof/>
          <w:szCs w:val="24"/>
        </w:rPr>
        <w:t>14</w:t>
      </w:r>
      <w:r w:rsidRPr="00653E50">
        <w:rPr>
          <w:rFonts w:ascii="Arial" w:hAnsi="Arial" w:cs="Arial"/>
          <w:noProof/>
          <w:szCs w:val="24"/>
        </w:rPr>
        <w:t>(3), 675–685. https://doi.org/10.1016/j.ufug.2015.06.006</w:t>
      </w:r>
    </w:p>
    <w:p w14:paraId="53968AEF"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Majahan, S. (2023). </w:t>
      </w:r>
      <w:r w:rsidRPr="00653E50">
        <w:rPr>
          <w:rFonts w:ascii="Arial" w:hAnsi="Arial" w:cs="Arial"/>
          <w:i/>
          <w:iCs/>
          <w:noProof/>
          <w:szCs w:val="24"/>
        </w:rPr>
        <w:t>greenR: An Open-Source Framework for Quantifying Urban Greenness</w:t>
      </w:r>
      <w:r w:rsidRPr="00653E50">
        <w:rPr>
          <w:rFonts w:ascii="Arial" w:hAnsi="Arial" w:cs="Arial"/>
          <w:noProof/>
          <w:szCs w:val="24"/>
        </w:rPr>
        <w:t>. GitHub. https://github.com/sachit27/greenR</w:t>
      </w:r>
    </w:p>
    <w:p w14:paraId="515CD5CE"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McArthur, J., &amp; Robin, E. (2019). Victims of their own (definition of) success: Urban </w:t>
      </w:r>
      <w:r w:rsidRPr="00653E50">
        <w:rPr>
          <w:rFonts w:ascii="Arial" w:hAnsi="Arial" w:cs="Arial"/>
          <w:noProof/>
          <w:szCs w:val="24"/>
        </w:rPr>
        <w:lastRenderedPageBreak/>
        <w:t xml:space="preserve">discourse and expert knowledge production in the Liveable City. </w:t>
      </w:r>
      <w:r w:rsidRPr="00653E50">
        <w:rPr>
          <w:rFonts w:ascii="Arial" w:hAnsi="Arial" w:cs="Arial"/>
          <w:i/>
          <w:iCs/>
          <w:noProof/>
          <w:szCs w:val="24"/>
        </w:rPr>
        <w:t>Urban Studies</w:t>
      </w:r>
      <w:r w:rsidRPr="00653E50">
        <w:rPr>
          <w:rFonts w:ascii="Arial" w:hAnsi="Arial" w:cs="Arial"/>
          <w:noProof/>
          <w:szCs w:val="24"/>
        </w:rPr>
        <w:t xml:space="preserve">, </w:t>
      </w:r>
      <w:r w:rsidRPr="00653E50">
        <w:rPr>
          <w:rFonts w:ascii="Arial" w:hAnsi="Arial" w:cs="Arial"/>
          <w:i/>
          <w:iCs/>
          <w:noProof/>
          <w:szCs w:val="24"/>
        </w:rPr>
        <w:t>56</w:t>
      </w:r>
      <w:r w:rsidRPr="00653E50">
        <w:rPr>
          <w:rFonts w:ascii="Arial" w:hAnsi="Arial" w:cs="Arial"/>
          <w:noProof/>
          <w:szCs w:val="24"/>
        </w:rPr>
        <w:t>(9), 1711–1728. https://doi.org/10.1177/0042098018804759</w:t>
      </w:r>
    </w:p>
    <w:p w14:paraId="718317A6"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Secretariat of the Convention on Biological Diversity. (2021). </w:t>
      </w:r>
      <w:r w:rsidRPr="00653E50">
        <w:rPr>
          <w:rFonts w:ascii="Arial" w:hAnsi="Arial" w:cs="Arial"/>
          <w:i/>
          <w:iCs/>
          <w:noProof/>
          <w:szCs w:val="24"/>
        </w:rPr>
        <w:t>Handbook on the Singapore Index of Cites’ Biodiversity</w:t>
      </w:r>
      <w:r w:rsidRPr="00653E50">
        <w:rPr>
          <w:rFonts w:ascii="Arial" w:hAnsi="Arial" w:cs="Arial"/>
          <w:noProof/>
          <w:szCs w:val="24"/>
        </w:rPr>
        <w:t>. https://www.cbd.int/doc/publications/cbd-ts-98-en.pdf</w:t>
      </w:r>
    </w:p>
    <w:p w14:paraId="4D2F3703"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szCs w:val="24"/>
        </w:rPr>
      </w:pPr>
      <w:r w:rsidRPr="00653E50">
        <w:rPr>
          <w:rFonts w:ascii="Arial" w:hAnsi="Arial" w:cs="Arial"/>
          <w:noProof/>
          <w:szCs w:val="24"/>
        </w:rPr>
        <w:t xml:space="preserve">Victorian Planning Authority. (2021). </w:t>
      </w:r>
      <w:r w:rsidRPr="00653E50">
        <w:rPr>
          <w:rFonts w:ascii="Arial" w:hAnsi="Arial" w:cs="Arial"/>
          <w:i/>
          <w:iCs/>
          <w:noProof/>
          <w:szCs w:val="24"/>
        </w:rPr>
        <w:t>Precinct Structure Planning Guidelines</w:t>
      </w:r>
      <w:r w:rsidRPr="00653E50">
        <w:rPr>
          <w:rFonts w:ascii="Arial" w:hAnsi="Arial" w:cs="Arial"/>
          <w:noProof/>
          <w:szCs w:val="24"/>
        </w:rPr>
        <w:t>. https://vpa.vic.gov.au/project/psp-guidelines/</w:t>
      </w:r>
    </w:p>
    <w:p w14:paraId="275E43BC" w14:textId="77777777" w:rsidR="00CA37D4" w:rsidRPr="00653E50" w:rsidRDefault="00CA37D4" w:rsidP="00CA37D4">
      <w:pPr>
        <w:widowControl w:val="0"/>
        <w:autoSpaceDE w:val="0"/>
        <w:autoSpaceDN w:val="0"/>
        <w:adjustRightInd w:val="0"/>
        <w:spacing w:line="240" w:lineRule="auto"/>
        <w:ind w:left="480" w:hanging="480"/>
        <w:rPr>
          <w:rFonts w:ascii="Arial" w:hAnsi="Arial" w:cs="Arial"/>
          <w:noProof/>
        </w:rPr>
      </w:pPr>
      <w:r w:rsidRPr="00653E50">
        <w:rPr>
          <w:rFonts w:ascii="Arial" w:hAnsi="Arial" w:cs="Arial"/>
          <w:noProof/>
          <w:szCs w:val="24"/>
        </w:rPr>
        <w:t xml:space="preserve">Zhao, H., Morgenroth, J., Pearse, G., &amp; Schindler, J. (2023). A Systematic Review of Individual Tree Crown Detection and Delineation with Convolutional Neural Networks (CNN). </w:t>
      </w:r>
      <w:r w:rsidRPr="00653E50">
        <w:rPr>
          <w:rFonts w:ascii="Arial" w:hAnsi="Arial" w:cs="Arial"/>
          <w:i/>
          <w:iCs/>
          <w:noProof/>
          <w:szCs w:val="24"/>
        </w:rPr>
        <w:t>Current Forestry Reports</w:t>
      </w:r>
      <w:r w:rsidRPr="00653E50">
        <w:rPr>
          <w:rFonts w:ascii="Arial" w:hAnsi="Arial" w:cs="Arial"/>
          <w:noProof/>
          <w:szCs w:val="24"/>
        </w:rPr>
        <w:t xml:space="preserve">, </w:t>
      </w:r>
      <w:r w:rsidRPr="00653E50">
        <w:rPr>
          <w:rFonts w:ascii="Arial" w:hAnsi="Arial" w:cs="Arial"/>
          <w:i/>
          <w:iCs/>
          <w:noProof/>
          <w:szCs w:val="24"/>
        </w:rPr>
        <w:t>9</w:t>
      </w:r>
      <w:r w:rsidRPr="00653E50">
        <w:rPr>
          <w:rFonts w:ascii="Arial" w:hAnsi="Arial" w:cs="Arial"/>
          <w:noProof/>
          <w:szCs w:val="24"/>
        </w:rPr>
        <w:t>(3), 149–170. https://doi.org/10.1007/s40725-023-00184-3</w:t>
      </w:r>
    </w:p>
    <w:p w14:paraId="0E74B68A" w14:textId="7BAF07E4" w:rsidR="00CA37D4" w:rsidRPr="00653E50" w:rsidRDefault="00CA37D4" w:rsidP="00CA37D4">
      <w:pPr>
        <w:rPr>
          <w:rFonts w:ascii="Arial" w:hAnsi="Arial" w:cs="Arial"/>
        </w:rPr>
      </w:pPr>
      <w:r w:rsidRPr="00653E50">
        <w:rPr>
          <w:rFonts w:ascii="Arial" w:hAnsi="Arial" w:cs="Arial"/>
        </w:rPr>
        <w:fldChar w:fldCharType="end"/>
      </w:r>
    </w:p>
    <w:sectPr w:rsidR="00CA37D4" w:rsidRPr="00653E5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A8093" w14:textId="77777777" w:rsidR="006E6212" w:rsidRDefault="006E6212" w:rsidP="005B092C">
      <w:pPr>
        <w:spacing w:after="0" w:line="240" w:lineRule="auto"/>
      </w:pPr>
      <w:r>
        <w:separator/>
      </w:r>
    </w:p>
  </w:endnote>
  <w:endnote w:type="continuationSeparator" w:id="0">
    <w:p w14:paraId="2A372672" w14:textId="77777777" w:rsidR="006E6212" w:rsidRDefault="006E6212" w:rsidP="005B0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E8F35" w14:textId="77777777" w:rsidR="006E6212" w:rsidRDefault="006E6212" w:rsidP="005B092C">
      <w:pPr>
        <w:spacing w:after="0" w:line="240" w:lineRule="auto"/>
      </w:pPr>
      <w:r>
        <w:separator/>
      </w:r>
    </w:p>
  </w:footnote>
  <w:footnote w:type="continuationSeparator" w:id="0">
    <w:p w14:paraId="46B0FA2A" w14:textId="77777777" w:rsidR="006E6212" w:rsidRDefault="006E6212" w:rsidP="005B09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C4AC7"/>
    <w:multiLevelType w:val="hybridMultilevel"/>
    <w:tmpl w:val="F1A83A82"/>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 w15:restartNumberingAfterBreak="0">
    <w:nsid w:val="12087D20"/>
    <w:multiLevelType w:val="hybridMultilevel"/>
    <w:tmpl w:val="DFEC23F4"/>
    <w:lvl w:ilvl="0" w:tplc="9F1ED4BC">
      <w:start w:val="1"/>
      <w:numFmt w:val="decimal"/>
      <w:lvlText w:val="%1."/>
      <w:lvlJc w:val="left"/>
      <w:pPr>
        <w:ind w:left="720" w:hanging="36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8603DDF"/>
    <w:multiLevelType w:val="hybridMultilevel"/>
    <w:tmpl w:val="1D92F494"/>
    <w:lvl w:ilvl="0" w:tplc="8C1ECD1E">
      <w:start w:val="5"/>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D544BC9"/>
    <w:multiLevelType w:val="hybridMultilevel"/>
    <w:tmpl w:val="2578CA8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D730498"/>
    <w:multiLevelType w:val="hybridMultilevel"/>
    <w:tmpl w:val="C8060B5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06E4723"/>
    <w:multiLevelType w:val="hybridMultilevel"/>
    <w:tmpl w:val="91306DEA"/>
    <w:lvl w:ilvl="0" w:tplc="760C2576">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0980FDA"/>
    <w:multiLevelType w:val="hybridMultilevel"/>
    <w:tmpl w:val="9A4279F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2C81007"/>
    <w:multiLevelType w:val="hybridMultilevel"/>
    <w:tmpl w:val="2C5C28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7E0697E"/>
    <w:multiLevelType w:val="hybridMultilevel"/>
    <w:tmpl w:val="44606B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93F10C1"/>
    <w:multiLevelType w:val="hybridMultilevel"/>
    <w:tmpl w:val="7AAEE7F8"/>
    <w:lvl w:ilvl="0" w:tplc="275EC2BE">
      <w:start w:val="1"/>
      <w:numFmt w:val="bullet"/>
      <w:lvlText w:val=""/>
      <w:lvlJc w:val="left"/>
      <w:pPr>
        <w:ind w:left="1800" w:hanging="360"/>
      </w:pPr>
      <w:rPr>
        <w:rFonts w:ascii="Symbol" w:hAnsi="Symbol"/>
      </w:rPr>
    </w:lvl>
    <w:lvl w:ilvl="1" w:tplc="E18439E4">
      <w:start w:val="1"/>
      <w:numFmt w:val="bullet"/>
      <w:lvlText w:val=""/>
      <w:lvlJc w:val="left"/>
      <w:pPr>
        <w:ind w:left="2520" w:hanging="360"/>
      </w:pPr>
      <w:rPr>
        <w:rFonts w:ascii="Symbol" w:hAnsi="Symbol"/>
      </w:rPr>
    </w:lvl>
    <w:lvl w:ilvl="2" w:tplc="D7627CD6">
      <w:start w:val="1"/>
      <w:numFmt w:val="bullet"/>
      <w:lvlText w:val=""/>
      <w:lvlJc w:val="left"/>
      <w:pPr>
        <w:ind w:left="3240" w:hanging="360"/>
      </w:pPr>
      <w:rPr>
        <w:rFonts w:ascii="Symbol" w:hAnsi="Symbol"/>
      </w:rPr>
    </w:lvl>
    <w:lvl w:ilvl="3" w:tplc="317CEF1A">
      <w:start w:val="1"/>
      <w:numFmt w:val="bullet"/>
      <w:lvlText w:val=""/>
      <w:lvlJc w:val="left"/>
      <w:pPr>
        <w:ind w:left="1800" w:hanging="360"/>
      </w:pPr>
      <w:rPr>
        <w:rFonts w:ascii="Symbol" w:hAnsi="Symbol"/>
      </w:rPr>
    </w:lvl>
    <w:lvl w:ilvl="4" w:tplc="43E0441A">
      <w:start w:val="1"/>
      <w:numFmt w:val="bullet"/>
      <w:lvlText w:val=""/>
      <w:lvlJc w:val="left"/>
      <w:pPr>
        <w:ind w:left="1800" w:hanging="360"/>
      </w:pPr>
      <w:rPr>
        <w:rFonts w:ascii="Symbol" w:hAnsi="Symbol"/>
      </w:rPr>
    </w:lvl>
    <w:lvl w:ilvl="5" w:tplc="04EE8F84">
      <w:start w:val="1"/>
      <w:numFmt w:val="bullet"/>
      <w:lvlText w:val=""/>
      <w:lvlJc w:val="left"/>
      <w:pPr>
        <w:ind w:left="1800" w:hanging="360"/>
      </w:pPr>
      <w:rPr>
        <w:rFonts w:ascii="Symbol" w:hAnsi="Symbol"/>
      </w:rPr>
    </w:lvl>
    <w:lvl w:ilvl="6" w:tplc="38D4AA62">
      <w:start w:val="1"/>
      <w:numFmt w:val="bullet"/>
      <w:lvlText w:val=""/>
      <w:lvlJc w:val="left"/>
      <w:pPr>
        <w:ind w:left="1800" w:hanging="360"/>
      </w:pPr>
      <w:rPr>
        <w:rFonts w:ascii="Symbol" w:hAnsi="Symbol"/>
      </w:rPr>
    </w:lvl>
    <w:lvl w:ilvl="7" w:tplc="FF96AB4A">
      <w:start w:val="1"/>
      <w:numFmt w:val="bullet"/>
      <w:lvlText w:val=""/>
      <w:lvlJc w:val="left"/>
      <w:pPr>
        <w:ind w:left="1800" w:hanging="360"/>
      </w:pPr>
      <w:rPr>
        <w:rFonts w:ascii="Symbol" w:hAnsi="Symbol"/>
      </w:rPr>
    </w:lvl>
    <w:lvl w:ilvl="8" w:tplc="B276F6F4">
      <w:start w:val="1"/>
      <w:numFmt w:val="bullet"/>
      <w:lvlText w:val=""/>
      <w:lvlJc w:val="left"/>
      <w:pPr>
        <w:ind w:left="1800" w:hanging="360"/>
      </w:pPr>
      <w:rPr>
        <w:rFonts w:ascii="Symbol" w:hAnsi="Symbol"/>
      </w:rPr>
    </w:lvl>
  </w:abstractNum>
  <w:abstractNum w:abstractNumId="10" w15:restartNumberingAfterBreak="0">
    <w:nsid w:val="2B4C3F90"/>
    <w:multiLevelType w:val="hybridMultilevel"/>
    <w:tmpl w:val="7A00BCA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DCC3304"/>
    <w:multiLevelType w:val="hybridMultilevel"/>
    <w:tmpl w:val="BAC0D964"/>
    <w:lvl w:ilvl="0" w:tplc="4F04B0DE">
      <w:start w:val="1"/>
      <w:numFmt w:val="bullet"/>
      <w:lvlText w:val=""/>
      <w:lvlJc w:val="left"/>
      <w:pPr>
        <w:ind w:left="1080" w:hanging="360"/>
      </w:pPr>
      <w:rPr>
        <w:rFonts w:ascii="Symbol" w:hAnsi="Symbol"/>
      </w:rPr>
    </w:lvl>
    <w:lvl w:ilvl="1" w:tplc="C30AD3CE">
      <w:start w:val="1"/>
      <w:numFmt w:val="bullet"/>
      <w:lvlText w:val=""/>
      <w:lvlJc w:val="left"/>
      <w:pPr>
        <w:ind w:left="1080" w:hanging="360"/>
      </w:pPr>
      <w:rPr>
        <w:rFonts w:ascii="Symbol" w:hAnsi="Symbol"/>
      </w:rPr>
    </w:lvl>
    <w:lvl w:ilvl="2" w:tplc="1562D136">
      <w:start w:val="1"/>
      <w:numFmt w:val="bullet"/>
      <w:lvlText w:val=""/>
      <w:lvlJc w:val="left"/>
      <w:pPr>
        <w:ind w:left="1080" w:hanging="360"/>
      </w:pPr>
      <w:rPr>
        <w:rFonts w:ascii="Symbol" w:hAnsi="Symbol"/>
      </w:rPr>
    </w:lvl>
    <w:lvl w:ilvl="3" w:tplc="A574CDDA">
      <w:start w:val="1"/>
      <w:numFmt w:val="bullet"/>
      <w:lvlText w:val=""/>
      <w:lvlJc w:val="left"/>
      <w:pPr>
        <w:ind w:left="1080" w:hanging="360"/>
      </w:pPr>
      <w:rPr>
        <w:rFonts w:ascii="Symbol" w:hAnsi="Symbol"/>
      </w:rPr>
    </w:lvl>
    <w:lvl w:ilvl="4" w:tplc="D898DB68">
      <w:start w:val="1"/>
      <w:numFmt w:val="bullet"/>
      <w:lvlText w:val=""/>
      <w:lvlJc w:val="left"/>
      <w:pPr>
        <w:ind w:left="1080" w:hanging="360"/>
      </w:pPr>
      <w:rPr>
        <w:rFonts w:ascii="Symbol" w:hAnsi="Symbol"/>
      </w:rPr>
    </w:lvl>
    <w:lvl w:ilvl="5" w:tplc="E136583E">
      <w:start w:val="1"/>
      <w:numFmt w:val="bullet"/>
      <w:lvlText w:val=""/>
      <w:lvlJc w:val="left"/>
      <w:pPr>
        <w:ind w:left="1080" w:hanging="360"/>
      </w:pPr>
      <w:rPr>
        <w:rFonts w:ascii="Symbol" w:hAnsi="Symbol"/>
      </w:rPr>
    </w:lvl>
    <w:lvl w:ilvl="6" w:tplc="A716A16C">
      <w:start w:val="1"/>
      <w:numFmt w:val="bullet"/>
      <w:lvlText w:val=""/>
      <w:lvlJc w:val="left"/>
      <w:pPr>
        <w:ind w:left="1080" w:hanging="360"/>
      </w:pPr>
      <w:rPr>
        <w:rFonts w:ascii="Symbol" w:hAnsi="Symbol"/>
      </w:rPr>
    </w:lvl>
    <w:lvl w:ilvl="7" w:tplc="2F30C28C">
      <w:start w:val="1"/>
      <w:numFmt w:val="bullet"/>
      <w:lvlText w:val=""/>
      <w:lvlJc w:val="left"/>
      <w:pPr>
        <w:ind w:left="1080" w:hanging="360"/>
      </w:pPr>
      <w:rPr>
        <w:rFonts w:ascii="Symbol" w:hAnsi="Symbol"/>
      </w:rPr>
    </w:lvl>
    <w:lvl w:ilvl="8" w:tplc="27C867A6">
      <w:start w:val="1"/>
      <w:numFmt w:val="bullet"/>
      <w:lvlText w:val=""/>
      <w:lvlJc w:val="left"/>
      <w:pPr>
        <w:ind w:left="1080" w:hanging="360"/>
      </w:pPr>
      <w:rPr>
        <w:rFonts w:ascii="Symbol" w:hAnsi="Symbol"/>
      </w:rPr>
    </w:lvl>
  </w:abstractNum>
  <w:abstractNum w:abstractNumId="12" w15:restartNumberingAfterBreak="0">
    <w:nsid w:val="300033A2"/>
    <w:multiLevelType w:val="hybridMultilevel"/>
    <w:tmpl w:val="7A00BCA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A42F54"/>
    <w:multiLevelType w:val="hybridMultilevel"/>
    <w:tmpl w:val="D9A4DFE8"/>
    <w:lvl w:ilvl="0" w:tplc="FFFFFFFF">
      <w:start w:val="2"/>
      <w:numFmt w:val="decimal"/>
      <w:lvlText w:val="%1."/>
      <w:lvlJc w:val="left"/>
      <w:pPr>
        <w:ind w:left="108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3045E44"/>
    <w:multiLevelType w:val="hybridMultilevel"/>
    <w:tmpl w:val="70863BA6"/>
    <w:lvl w:ilvl="0" w:tplc="0407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720" w:hanging="360"/>
      </w:pPr>
      <w:rPr>
        <w:rFonts w:ascii="Courier New" w:hAnsi="Courier New" w:cs="Courier New"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5" w15:restartNumberingAfterBreak="0">
    <w:nsid w:val="3B781FA4"/>
    <w:multiLevelType w:val="hybridMultilevel"/>
    <w:tmpl w:val="142089F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3CCE70B7"/>
    <w:multiLevelType w:val="hybridMultilevel"/>
    <w:tmpl w:val="B4C0A1A2"/>
    <w:lvl w:ilvl="0" w:tplc="FFFFFFF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FF435EE"/>
    <w:multiLevelType w:val="hybridMultilevel"/>
    <w:tmpl w:val="37DC4CFC"/>
    <w:lvl w:ilvl="0" w:tplc="0C090019">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22006D2"/>
    <w:multiLevelType w:val="hybridMultilevel"/>
    <w:tmpl w:val="10B6922A"/>
    <w:lvl w:ilvl="0" w:tplc="10E2ED02">
      <w:numFmt w:val="bullet"/>
      <w:lvlText w:val="-"/>
      <w:lvlJc w:val="left"/>
      <w:pPr>
        <w:ind w:left="1080" w:hanging="360"/>
      </w:pPr>
      <w:rPr>
        <w:rFonts w:ascii="Calibri" w:eastAsiaTheme="minorHAnsi" w:hAnsi="Calibri" w:cs="Calibri"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9" w15:restartNumberingAfterBreak="0">
    <w:nsid w:val="43C7641F"/>
    <w:multiLevelType w:val="hybridMultilevel"/>
    <w:tmpl w:val="2578CA8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D2B2A7A"/>
    <w:multiLevelType w:val="hybridMultilevel"/>
    <w:tmpl w:val="9CAA90F2"/>
    <w:lvl w:ilvl="0" w:tplc="10E2ED02">
      <w:numFmt w:val="bullet"/>
      <w:lvlText w:val="-"/>
      <w:lvlJc w:val="left"/>
      <w:pPr>
        <w:ind w:left="108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A000960"/>
    <w:multiLevelType w:val="hybridMultilevel"/>
    <w:tmpl w:val="D9A4DFE8"/>
    <w:lvl w:ilvl="0" w:tplc="ABB00892">
      <w:start w:val="2"/>
      <w:numFmt w:val="decimal"/>
      <w:lvlText w:val="%1."/>
      <w:lvlJc w:val="left"/>
      <w:pPr>
        <w:ind w:left="108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5BC32483"/>
    <w:multiLevelType w:val="hybridMultilevel"/>
    <w:tmpl w:val="FDAA2BB6"/>
    <w:lvl w:ilvl="0" w:tplc="FFFFFFF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60765226"/>
    <w:multiLevelType w:val="hybridMultilevel"/>
    <w:tmpl w:val="81C03E3C"/>
    <w:lvl w:ilvl="0" w:tplc="FFFFFFF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61530876"/>
    <w:multiLevelType w:val="hybridMultilevel"/>
    <w:tmpl w:val="C43E3AF4"/>
    <w:lvl w:ilvl="0" w:tplc="FFFFFFF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684A198B"/>
    <w:multiLevelType w:val="hybridMultilevel"/>
    <w:tmpl w:val="1D3A8F4E"/>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6" w15:restartNumberingAfterBreak="0">
    <w:nsid w:val="6C861168"/>
    <w:multiLevelType w:val="hybridMultilevel"/>
    <w:tmpl w:val="251E373A"/>
    <w:lvl w:ilvl="0" w:tplc="2050EC84">
      <w:start w:val="32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3115B1"/>
    <w:multiLevelType w:val="hybridMultilevel"/>
    <w:tmpl w:val="B0787C16"/>
    <w:lvl w:ilvl="0" w:tplc="5218EB6C">
      <w:start w:val="4"/>
      <w:numFmt w:val="decimal"/>
      <w:lvlText w:val="%1."/>
      <w:lvlJc w:val="left"/>
      <w:pPr>
        <w:ind w:left="108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0577E67"/>
    <w:multiLevelType w:val="hybridMultilevel"/>
    <w:tmpl w:val="7A00BCA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5A206E6"/>
    <w:multiLevelType w:val="hybridMultilevel"/>
    <w:tmpl w:val="D06A27E6"/>
    <w:lvl w:ilvl="0" w:tplc="10E2ED02">
      <w:numFmt w:val="bullet"/>
      <w:lvlText w:val="-"/>
      <w:lvlJc w:val="left"/>
      <w:pPr>
        <w:ind w:left="108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C2C6A9E"/>
    <w:multiLevelType w:val="hybridMultilevel"/>
    <w:tmpl w:val="0C160E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3633140">
    <w:abstractNumId w:val="18"/>
  </w:num>
  <w:num w:numId="2" w16cid:durableId="942803428">
    <w:abstractNumId w:val="19"/>
  </w:num>
  <w:num w:numId="3" w16cid:durableId="858393072">
    <w:abstractNumId w:val="5"/>
  </w:num>
  <w:num w:numId="4" w16cid:durableId="285505030">
    <w:abstractNumId w:val="6"/>
  </w:num>
  <w:num w:numId="5" w16cid:durableId="931468602">
    <w:abstractNumId w:val="15"/>
  </w:num>
  <w:num w:numId="6" w16cid:durableId="660962912">
    <w:abstractNumId w:val="7"/>
  </w:num>
  <w:num w:numId="7" w16cid:durableId="1568032683">
    <w:abstractNumId w:val="29"/>
  </w:num>
  <w:num w:numId="8" w16cid:durableId="1508717081">
    <w:abstractNumId w:val="20"/>
  </w:num>
  <w:num w:numId="9" w16cid:durableId="644238649">
    <w:abstractNumId w:val="12"/>
  </w:num>
  <w:num w:numId="10" w16cid:durableId="116729772">
    <w:abstractNumId w:val="10"/>
  </w:num>
  <w:num w:numId="11" w16cid:durableId="936787582">
    <w:abstractNumId w:val="28"/>
  </w:num>
  <w:num w:numId="12" w16cid:durableId="1301224954">
    <w:abstractNumId w:val="17"/>
  </w:num>
  <w:num w:numId="13" w16cid:durableId="1987394525">
    <w:abstractNumId w:val="3"/>
  </w:num>
  <w:num w:numId="14" w16cid:durableId="1244725876">
    <w:abstractNumId w:val="14"/>
  </w:num>
  <w:num w:numId="15" w16cid:durableId="870218365">
    <w:abstractNumId w:val="24"/>
  </w:num>
  <w:num w:numId="16" w16cid:durableId="522745241">
    <w:abstractNumId w:val="23"/>
  </w:num>
  <w:num w:numId="17" w16cid:durableId="1246961526">
    <w:abstractNumId w:val="22"/>
  </w:num>
  <w:num w:numId="18" w16cid:durableId="877015476">
    <w:abstractNumId w:val="16"/>
  </w:num>
  <w:num w:numId="19" w16cid:durableId="1364014375">
    <w:abstractNumId w:val="21"/>
  </w:num>
  <w:num w:numId="20" w16cid:durableId="314066228">
    <w:abstractNumId w:val="25"/>
  </w:num>
  <w:num w:numId="21" w16cid:durableId="1932159696">
    <w:abstractNumId w:val="0"/>
  </w:num>
  <w:num w:numId="22" w16cid:durableId="538708759">
    <w:abstractNumId w:val="2"/>
  </w:num>
  <w:num w:numId="23" w16cid:durableId="1522818759">
    <w:abstractNumId w:val="13"/>
  </w:num>
  <w:num w:numId="24" w16cid:durableId="1682783241">
    <w:abstractNumId w:val="27"/>
  </w:num>
  <w:num w:numId="25" w16cid:durableId="265625756">
    <w:abstractNumId w:val="9"/>
  </w:num>
  <w:num w:numId="26" w16cid:durableId="1281305309">
    <w:abstractNumId w:val="30"/>
  </w:num>
  <w:num w:numId="27" w16cid:durableId="981695369">
    <w:abstractNumId w:val="8"/>
  </w:num>
  <w:num w:numId="28" w16cid:durableId="2019044047">
    <w:abstractNumId w:val="26"/>
  </w:num>
  <w:num w:numId="29" w16cid:durableId="1528373400">
    <w:abstractNumId w:val="4"/>
  </w:num>
  <w:num w:numId="30" w16cid:durableId="1476751841">
    <w:abstractNumId w:val="1"/>
  </w:num>
  <w:num w:numId="31" w16cid:durableId="7773338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7609789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92C"/>
    <w:rsid w:val="00041B57"/>
    <w:rsid w:val="00290325"/>
    <w:rsid w:val="002C4707"/>
    <w:rsid w:val="00415585"/>
    <w:rsid w:val="00534830"/>
    <w:rsid w:val="005B092C"/>
    <w:rsid w:val="00653E50"/>
    <w:rsid w:val="006E6212"/>
    <w:rsid w:val="008B4F28"/>
    <w:rsid w:val="008E2827"/>
    <w:rsid w:val="008E7844"/>
    <w:rsid w:val="009F755A"/>
    <w:rsid w:val="00AE1649"/>
    <w:rsid w:val="00BE30B4"/>
    <w:rsid w:val="00CA37D4"/>
    <w:rsid w:val="00DB7290"/>
    <w:rsid w:val="00DB784A"/>
    <w:rsid w:val="00DC2E0F"/>
    <w:rsid w:val="00E90FD7"/>
    <w:rsid w:val="00FA0C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D151B7"/>
  <w15:chartTrackingRefBased/>
  <w15:docId w15:val="{3003EF5E-879E-45A0-8412-1E8B43407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844"/>
    <w:rPr>
      <w:kern w:val="0"/>
      <w14:ligatures w14:val="none"/>
    </w:rPr>
  </w:style>
  <w:style w:type="paragraph" w:styleId="Heading1">
    <w:name w:val="heading 1"/>
    <w:basedOn w:val="Normal"/>
    <w:next w:val="Normal"/>
    <w:link w:val="Heading1Char"/>
    <w:uiPriority w:val="9"/>
    <w:qFormat/>
    <w:rsid w:val="008E78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E784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E784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9F755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09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092C"/>
  </w:style>
  <w:style w:type="character" w:customStyle="1" w:styleId="Heading1Char">
    <w:name w:val="Heading 1 Char"/>
    <w:basedOn w:val="DefaultParagraphFont"/>
    <w:link w:val="Heading1"/>
    <w:uiPriority w:val="9"/>
    <w:rsid w:val="008E7844"/>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8E7844"/>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8E7844"/>
    <w:rPr>
      <w:rFonts w:asciiTheme="majorHAnsi" w:eastAsiaTheme="majorEastAsia" w:hAnsiTheme="majorHAnsi" w:cstheme="majorBidi"/>
      <w:color w:val="1F3763" w:themeColor="accent1" w:themeShade="7F"/>
      <w:kern w:val="0"/>
      <w:sz w:val="24"/>
      <w:szCs w:val="24"/>
      <w14:ligatures w14:val="none"/>
    </w:rPr>
  </w:style>
  <w:style w:type="paragraph" w:styleId="Footer">
    <w:name w:val="footer"/>
    <w:basedOn w:val="Normal"/>
    <w:link w:val="FooterChar"/>
    <w:uiPriority w:val="99"/>
    <w:unhideWhenUsed/>
    <w:rsid w:val="008E78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7844"/>
    <w:rPr>
      <w:kern w:val="0"/>
      <w14:ligatures w14:val="none"/>
    </w:rPr>
  </w:style>
  <w:style w:type="paragraph" w:styleId="ListParagraph">
    <w:name w:val="List Paragraph"/>
    <w:basedOn w:val="Normal"/>
    <w:uiPriority w:val="34"/>
    <w:qFormat/>
    <w:rsid w:val="008E7844"/>
    <w:pPr>
      <w:ind w:left="720"/>
      <w:contextualSpacing/>
    </w:pPr>
  </w:style>
  <w:style w:type="character" w:styleId="CommentReference">
    <w:name w:val="annotation reference"/>
    <w:basedOn w:val="DefaultParagraphFont"/>
    <w:uiPriority w:val="99"/>
    <w:semiHidden/>
    <w:unhideWhenUsed/>
    <w:rsid w:val="008E7844"/>
    <w:rPr>
      <w:sz w:val="16"/>
      <w:szCs w:val="16"/>
    </w:rPr>
  </w:style>
  <w:style w:type="paragraph" w:styleId="CommentText">
    <w:name w:val="annotation text"/>
    <w:basedOn w:val="Normal"/>
    <w:link w:val="CommentTextChar"/>
    <w:uiPriority w:val="99"/>
    <w:unhideWhenUsed/>
    <w:rsid w:val="008E7844"/>
    <w:pPr>
      <w:spacing w:line="240" w:lineRule="auto"/>
    </w:pPr>
    <w:rPr>
      <w:sz w:val="20"/>
      <w:szCs w:val="20"/>
    </w:rPr>
  </w:style>
  <w:style w:type="character" w:customStyle="1" w:styleId="CommentTextChar">
    <w:name w:val="Comment Text Char"/>
    <w:basedOn w:val="DefaultParagraphFont"/>
    <w:link w:val="CommentText"/>
    <w:uiPriority w:val="99"/>
    <w:rsid w:val="008E7844"/>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E7844"/>
    <w:rPr>
      <w:b/>
      <w:bCs/>
    </w:rPr>
  </w:style>
  <w:style w:type="character" w:customStyle="1" w:styleId="CommentSubjectChar">
    <w:name w:val="Comment Subject Char"/>
    <w:basedOn w:val="CommentTextChar"/>
    <w:link w:val="CommentSubject"/>
    <w:uiPriority w:val="99"/>
    <w:semiHidden/>
    <w:rsid w:val="008E7844"/>
    <w:rPr>
      <w:b/>
      <w:bCs/>
      <w:kern w:val="0"/>
      <w:sz w:val="20"/>
      <w:szCs w:val="20"/>
      <w14:ligatures w14:val="none"/>
    </w:rPr>
  </w:style>
  <w:style w:type="paragraph" w:styleId="NormalWeb">
    <w:name w:val="Normal (Web)"/>
    <w:basedOn w:val="Normal"/>
    <w:uiPriority w:val="99"/>
    <w:semiHidden/>
    <w:unhideWhenUsed/>
    <w:rsid w:val="008E7844"/>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italics">
    <w:name w:val="italics"/>
    <w:basedOn w:val="DefaultParagraphFont"/>
    <w:rsid w:val="008E7844"/>
  </w:style>
  <w:style w:type="character" w:styleId="Hyperlink">
    <w:name w:val="Hyperlink"/>
    <w:basedOn w:val="DefaultParagraphFont"/>
    <w:uiPriority w:val="99"/>
    <w:unhideWhenUsed/>
    <w:rsid w:val="008E7844"/>
    <w:rPr>
      <w:color w:val="0563C1" w:themeColor="hyperlink"/>
      <w:u w:val="single"/>
    </w:rPr>
  </w:style>
  <w:style w:type="character" w:styleId="UnresolvedMention">
    <w:name w:val="Unresolved Mention"/>
    <w:basedOn w:val="DefaultParagraphFont"/>
    <w:uiPriority w:val="99"/>
    <w:semiHidden/>
    <w:unhideWhenUsed/>
    <w:rsid w:val="008E7844"/>
    <w:rPr>
      <w:color w:val="605E5C"/>
      <w:shd w:val="clear" w:color="auto" w:fill="E1DFDD"/>
    </w:rPr>
  </w:style>
  <w:style w:type="paragraph" w:styleId="Revision">
    <w:name w:val="Revision"/>
    <w:hidden/>
    <w:uiPriority w:val="99"/>
    <w:semiHidden/>
    <w:rsid w:val="008E7844"/>
    <w:pPr>
      <w:spacing w:after="0" w:line="240" w:lineRule="auto"/>
    </w:pPr>
    <w:rPr>
      <w:kern w:val="0"/>
      <w14:ligatures w14:val="none"/>
    </w:rPr>
  </w:style>
  <w:style w:type="character" w:styleId="FollowedHyperlink">
    <w:name w:val="FollowedHyperlink"/>
    <w:basedOn w:val="DefaultParagraphFont"/>
    <w:uiPriority w:val="99"/>
    <w:semiHidden/>
    <w:unhideWhenUsed/>
    <w:rsid w:val="008E7844"/>
    <w:rPr>
      <w:color w:val="954F72" w:themeColor="followedHyperlink"/>
      <w:u w:val="single"/>
    </w:rPr>
  </w:style>
  <w:style w:type="table" w:styleId="TableGrid">
    <w:name w:val="Table Grid"/>
    <w:basedOn w:val="TableNormal"/>
    <w:uiPriority w:val="39"/>
    <w:rsid w:val="008E784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E7844"/>
  </w:style>
  <w:style w:type="paragraph" w:styleId="Caption">
    <w:name w:val="caption"/>
    <w:basedOn w:val="Normal"/>
    <w:next w:val="Normal"/>
    <w:uiPriority w:val="35"/>
    <w:unhideWhenUsed/>
    <w:qFormat/>
    <w:rsid w:val="008E7844"/>
    <w:pPr>
      <w:spacing w:after="200" w:line="240" w:lineRule="auto"/>
    </w:pPr>
    <w:rPr>
      <w:i/>
      <w:iCs/>
      <w:color w:val="44546A" w:themeColor="text2"/>
      <w:sz w:val="18"/>
      <w:szCs w:val="18"/>
    </w:rPr>
  </w:style>
  <w:style w:type="paragraph" w:customStyle="1" w:styleId="xmsolistparagraph">
    <w:name w:val="x_msolistparagraph"/>
    <w:basedOn w:val="Normal"/>
    <w:rsid w:val="008E7844"/>
    <w:pPr>
      <w:spacing w:before="100" w:beforeAutospacing="1" w:after="100" w:afterAutospacing="1" w:line="240" w:lineRule="auto"/>
    </w:pPr>
    <w:rPr>
      <w:rFonts w:ascii="Calibri" w:hAnsi="Calibri" w:cs="Calibri"/>
      <w:lang w:eastAsia="en-AU"/>
    </w:rPr>
  </w:style>
  <w:style w:type="character" w:customStyle="1" w:styleId="Heading4Char">
    <w:name w:val="Heading 4 Char"/>
    <w:basedOn w:val="DefaultParagraphFont"/>
    <w:link w:val="Heading4"/>
    <w:uiPriority w:val="9"/>
    <w:rsid w:val="009F755A"/>
    <w:rPr>
      <w:rFonts w:asciiTheme="majorHAnsi" w:eastAsiaTheme="majorEastAsia" w:hAnsiTheme="majorHAnsi" w:cstheme="majorBidi"/>
      <w:i/>
      <w:iCs/>
      <w:color w:val="2F5496" w:themeColor="accent1" w:themeShade="BF"/>
      <w:kern w:val="0"/>
      <w14:ligatures w14:val="none"/>
    </w:rPr>
  </w:style>
  <w:style w:type="paragraph" w:styleId="Title">
    <w:name w:val="Title"/>
    <w:basedOn w:val="Normal"/>
    <w:next w:val="Normal"/>
    <w:link w:val="TitleChar"/>
    <w:uiPriority w:val="10"/>
    <w:qFormat/>
    <w:rsid w:val="00DC2E0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2E0F"/>
    <w:rPr>
      <w:rFonts w:asciiTheme="majorHAnsi" w:eastAsiaTheme="majorEastAsia" w:hAnsiTheme="majorHAnsi" w:cstheme="majorBidi"/>
      <w:spacing w:val="-10"/>
      <w:kern w:val="28"/>
      <w:sz w:val="56"/>
      <w:szCs w:val="56"/>
      <w14:ligatures w14:val="none"/>
    </w:rPr>
  </w:style>
  <w:style w:type="paragraph" w:styleId="TOCHeading">
    <w:name w:val="TOC Heading"/>
    <w:basedOn w:val="Heading1"/>
    <w:next w:val="Normal"/>
    <w:uiPriority w:val="39"/>
    <w:unhideWhenUsed/>
    <w:qFormat/>
    <w:rsid w:val="00DC2E0F"/>
    <w:pPr>
      <w:outlineLvl w:val="9"/>
    </w:pPr>
    <w:rPr>
      <w:lang w:val="en-US"/>
    </w:rPr>
  </w:style>
  <w:style w:type="paragraph" w:styleId="TOC1">
    <w:name w:val="toc 1"/>
    <w:basedOn w:val="Normal"/>
    <w:next w:val="Normal"/>
    <w:autoRedefine/>
    <w:uiPriority w:val="39"/>
    <w:unhideWhenUsed/>
    <w:rsid w:val="00DC2E0F"/>
    <w:pPr>
      <w:spacing w:after="100"/>
    </w:pPr>
  </w:style>
  <w:style w:type="paragraph" w:styleId="TOC3">
    <w:name w:val="toc 3"/>
    <w:basedOn w:val="Normal"/>
    <w:next w:val="Normal"/>
    <w:autoRedefine/>
    <w:uiPriority w:val="39"/>
    <w:unhideWhenUsed/>
    <w:rsid w:val="00DC2E0F"/>
    <w:pPr>
      <w:spacing w:after="100"/>
      <w:ind w:left="440"/>
    </w:pPr>
  </w:style>
  <w:style w:type="paragraph" w:styleId="TOC2">
    <w:name w:val="toc 2"/>
    <w:basedOn w:val="Normal"/>
    <w:next w:val="Normal"/>
    <w:autoRedefine/>
    <w:uiPriority w:val="39"/>
    <w:unhideWhenUsed/>
    <w:rsid w:val="00DC2E0F"/>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iscover.data.vic.gov.au/dataset/open-space" TargetMode="External"/><Relationship Id="rId21" Type="http://schemas.openxmlformats.org/officeDocument/2006/relationships/hyperlink" Target="https://data.cityofnewyork.us/City-Government/2020-Census-Tracts-Mapped/weqx-t5xr" TargetMode="External"/><Relationship Id="rId42" Type="http://schemas.openxmlformats.org/officeDocument/2006/relationships/hyperlink" Target="file:///\\rmit.internal\USRHome\eh9\e38179\3_30_300%20Filedump\3-30-300%20Paper\Local%20dataset%092021" TargetMode="External"/><Relationship Id="rId47" Type="http://schemas.openxmlformats.org/officeDocument/2006/relationships/hyperlink" Target="https://data-seattlecitygis.opendata.arcgis.com/datasets/9075e8c912a24c4b9458af8866c72ae7" TargetMode="External"/><Relationship Id="rId63" Type="http://schemas.openxmlformats.org/officeDocument/2006/relationships/hyperlink" Target="https://download.geofabrik.de/europe.html" TargetMode="External"/><Relationship Id="rId68" Type="http://schemas.openxmlformats.org/officeDocument/2006/relationships/image" Target="media/image9.png"/><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ciencedirect.com/science/article/pii/S1618866722002680?via%3Dihub" TargetMode="External"/><Relationship Id="rId29" Type="http://schemas.openxmlformats.org/officeDocument/2006/relationships/hyperlink" Target="https://www.abs.gov.au/statistics/standards/australian-statistical-geography-standard-asgs-edition-3/jul2021-jun2026/access-and-downloads/digital-boundary-files" TargetMode="External"/><Relationship Id="rId11" Type="http://schemas.openxmlformats.org/officeDocument/2006/relationships/chart" Target="charts/chart2.xml"/><Relationship Id="rId24" Type="http://schemas.openxmlformats.org/officeDocument/2006/relationships/hyperlink" Target="https://data.melbourne.vic.gov.au/pages/home/" TargetMode="External"/><Relationship Id="rId32" Type="http://schemas.openxmlformats.org/officeDocument/2006/relationships/hyperlink" Target="https://datasets.seed.nsw.gov.au/dataset/existing-green-assets" TargetMode="External"/><Relationship Id="rId37" Type="http://schemas.openxmlformats.org/officeDocument/2006/relationships/hyperlink" Target="https://www.denvergov.org/opendata/" TargetMode="External"/><Relationship Id="rId40" Type="http://schemas.openxmlformats.org/officeDocument/2006/relationships/hyperlink" Target="https://www.denvergov.org/opendata/dataset/city-and-county-of-denver-building-outlines-2018" TargetMode="External"/><Relationship Id="rId45" Type="http://schemas.openxmlformats.org/officeDocument/2006/relationships/hyperlink" Target="file:///\\rmit.internal\USRHome\eh9\e38179\3_30_300%20Filedump\3-30-300%20Paper\Local%20dataset%092021" TargetMode="External"/><Relationship Id="rId53" Type="http://schemas.openxmlformats.org/officeDocument/2006/relationships/hyperlink" Target="https://data.buenosaires.gob.ar/dataset/barrios" TargetMode="External"/><Relationship Id="rId58" Type="http://schemas.openxmlformats.org/officeDocument/2006/relationships/hyperlink" Target="https://eubucco.com/data/" TargetMode="External"/><Relationship Id="rId66" Type="http://schemas.openxmlformats.org/officeDocument/2006/relationships/image" Target="media/image7.png"/><Relationship Id="rId5" Type="http://schemas.openxmlformats.org/officeDocument/2006/relationships/webSettings" Target="webSettings.xml"/><Relationship Id="rId61" Type="http://schemas.openxmlformats.org/officeDocument/2006/relationships/hyperlink" Target="https://senseable.mit.edu/treepedia-shared/" TargetMode="External"/><Relationship Id="rId19" Type="http://schemas.openxmlformats.org/officeDocument/2006/relationships/hyperlink" Target="https://www.abs.gov.au/statistics/standards/australian-statistical-geography-standard-asgs-edition-3/jul2021-jun2026/access-and-downloads/digital-boundary-files" TargetMode="External"/><Relationship Id="rId14" Type="http://schemas.openxmlformats.org/officeDocument/2006/relationships/image" Target="media/image5.png"/><Relationship Id="rId22" Type="http://schemas.openxmlformats.org/officeDocument/2006/relationships/hyperlink" Target="https://data.beta.nyc/dataset/pediacities-nyc-neighborhoods" TargetMode="External"/><Relationship Id="rId27" Type="http://schemas.openxmlformats.org/officeDocument/2006/relationships/hyperlink" Target="https://discover.data.vic.gov.au/dataset/vicmap-transport-road-register-line" TargetMode="External"/><Relationship Id="rId30" Type="http://schemas.openxmlformats.org/officeDocument/2006/relationships/hyperlink" Target="https://data.cityofsydney.nsw.gov.au/datasets/15c4713a688a48fcb604fc343118af05/explore" TargetMode="External"/><Relationship Id="rId35" Type="http://schemas.openxmlformats.org/officeDocument/2006/relationships/hyperlink" Target="https://www.abs.gov.au/statistics/standards/australian-statistical-geography-standard-asgs-edition-3/jul2021-jun2026/access-and-downloads/digital-boundary-files" TargetMode="External"/><Relationship Id="rId43" Type="http://schemas.openxmlformats.org/officeDocument/2006/relationships/hyperlink" Target="file:///\\rmit.internal\USRHome\eh9\e38179\3_30_300%20Filedump\3-30-300%20Paper\Local%20dataset%092021" TargetMode="External"/><Relationship Id="rId48" Type="http://schemas.openxmlformats.org/officeDocument/2006/relationships/hyperlink" Target="https://data.buenosaires.gob.ar/dataset/arbolado-publico-lineal" TargetMode="External"/><Relationship Id="rId56" Type="http://schemas.openxmlformats.org/officeDocument/2006/relationships/hyperlink" Target="https://maps.amsterdam.nl/open_geodata/" TargetMode="External"/><Relationship Id="rId64" Type="http://schemas.openxmlformats.org/officeDocument/2006/relationships/hyperlink" Target="https://sites.research.google/open-buildings/" TargetMode="External"/><Relationship Id="rId69" Type="http://schemas.openxmlformats.org/officeDocument/2006/relationships/image" Target="media/image10.png"/><Relationship Id="rId8" Type="http://schemas.openxmlformats.org/officeDocument/2006/relationships/image" Target="media/image1.png"/><Relationship Id="rId51" Type="http://schemas.openxmlformats.org/officeDocument/2006/relationships/hyperlink" Target="https://data.buenosaires.gob.ar/dataset/?q=callejero"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www.sciencedirect.com/science/article/pii/S1618866722002680?via%3Dihub" TargetMode="External"/><Relationship Id="rId25" Type="http://schemas.openxmlformats.org/officeDocument/2006/relationships/hyperlink" Target="https://data.melbourne.vic.gov.au/explore/dataset/tree-canopies-2021-urban-forest/information/" TargetMode="External"/><Relationship Id="rId33" Type="http://schemas.openxmlformats.org/officeDocument/2006/relationships/hyperlink" Target="https://opendata.transport.nsw.gov.au/dataset/road-segment-data-from-datansw" TargetMode="External"/><Relationship Id="rId38" Type="http://schemas.openxmlformats.org/officeDocument/2006/relationships/hyperlink" Target="https://www.denvergov.org/opendata/dataset/city-and-county-of-denver-parks" TargetMode="External"/><Relationship Id="rId46" Type="http://schemas.openxmlformats.org/officeDocument/2006/relationships/hyperlink" Target="file:///\\rmit.internal\USRHome\eh9\e38179\3_30_300%20Filedump\3-30-300%20Paper\Local%20dataset%092021" TargetMode="External"/><Relationship Id="rId59" Type="http://schemas.openxmlformats.org/officeDocument/2006/relationships/hyperlink" Target="https://maps.amsterdam.nl/open_geodata/" TargetMode="External"/><Relationship Id="rId67" Type="http://schemas.openxmlformats.org/officeDocument/2006/relationships/image" Target="media/image8.png"/><Relationship Id="rId20" Type="http://schemas.openxmlformats.org/officeDocument/2006/relationships/hyperlink" Target="https://data.cityofnewyork.us/Housing-Development/Building-Footprints/nqwf-w8eh" TargetMode="External"/><Relationship Id="rId41" Type="http://schemas.openxmlformats.org/officeDocument/2006/relationships/hyperlink" Target="https://www.denvergov.org/opendata/dataset/city-and-county-of-denver-census-tracts-2000" TargetMode="External"/><Relationship Id="rId54" Type="http://schemas.openxmlformats.org/officeDocument/2006/relationships/hyperlink" Target="https://maps.amsterdam.nl/open_geodata/" TargetMode="External"/><Relationship Id="rId62" Type="http://schemas.openxmlformats.org/officeDocument/2006/relationships/hyperlink" Target="Data.gov.sg"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s://data.cityofnewyork.us/City-Government/Community-Districts/yfnk-k7r4" TargetMode="External"/><Relationship Id="rId28" Type="http://schemas.openxmlformats.org/officeDocument/2006/relationships/hyperlink" Target="https://data.melbourne.vic.gov.au/explore/dataset/2020-building-footprints/information/" TargetMode="External"/><Relationship Id="rId36" Type="http://schemas.openxmlformats.org/officeDocument/2006/relationships/hyperlink" Target="https://data.colorado.gov/Environment/Tree-Inventory-of-Denver-Map/hzmx-2dfk" TargetMode="External"/><Relationship Id="rId49" Type="http://schemas.openxmlformats.org/officeDocument/2006/relationships/hyperlink" Target="https://senseable.mit.edu/treepedia-shared/" TargetMode="External"/><Relationship Id="rId57" Type="http://schemas.openxmlformats.org/officeDocument/2006/relationships/hyperlink" Target="https://download.geofabrik.de/europe.html" TargetMode="External"/><Relationship Id="rId10" Type="http://schemas.openxmlformats.org/officeDocument/2006/relationships/image" Target="media/image2.png"/><Relationship Id="rId31" Type="http://schemas.openxmlformats.org/officeDocument/2006/relationships/hyperlink" Target="https://datasets.seed.nsw.gov.au/dataset/greater-sydney-urban-vegetation-cover-to-modified-mesh-block-2019" TargetMode="External"/><Relationship Id="rId44" Type="http://schemas.openxmlformats.org/officeDocument/2006/relationships/hyperlink" Target="file:///\\rmit.internal\USRHome\eh9\e38179\3_30_300%20Filedump\3-30-300%20Paper\Local%20dataset%092021" TargetMode="External"/><Relationship Id="rId52" Type="http://schemas.openxmlformats.org/officeDocument/2006/relationships/hyperlink" Target="https://sites.research.google/open-buildings/" TargetMode="External"/><Relationship Id="rId60" Type="http://schemas.openxmlformats.org/officeDocument/2006/relationships/hyperlink" Target="https://github.com/cheeaun/sgtreesdata/tree/main/data" TargetMode="External"/><Relationship Id="rId65" Type="http://schemas.openxmlformats.org/officeDocument/2006/relationships/hyperlink" Target="https://beta.data.gov.sg/datasets/2104/view" TargetMode="External"/><Relationship Id="rId4" Type="http://schemas.openxmlformats.org/officeDocument/2006/relationships/settings" Target="settings.xml"/><Relationship Id="rId9" Type="http://schemas.openxmlformats.org/officeDocument/2006/relationships/chart" Target="charts/chart1.xml"/><Relationship Id="rId13" Type="http://schemas.openxmlformats.org/officeDocument/2006/relationships/image" Target="media/image4.png"/><Relationship Id="rId18" Type="http://schemas.openxmlformats.org/officeDocument/2006/relationships/hyperlink" Target="https://data.cityofnewyork.us/Recreation/Parks-Properties/enfh-gkve" TargetMode="External"/><Relationship Id="rId39" Type="http://schemas.openxmlformats.org/officeDocument/2006/relationships/hyperlink" Target="https://www.denvergov.org/opendata/dataset/city-and-county-of-denver-street-centerline" TargetMode="External"/><Relationship Id="rId34" Type="http://schemas.openxmlformats.org/officeDocument/2006/relationships/hyperlink" Target="https://blogs.bing.com/maps/2023-06/Bing-Maps-Global-Building-Footprints-released" TargetMode="External"/><Relationship Id="rId50" Type="http://schemas.openxmlformats.org/officeDocument/2006/relationships/hyperlink" Target="https://data.buenosaires.gob.ar/dataset/espacios-verdes" TargetMode="External"/><Relationship Id="rId55" Type="http://schemas.openxmlformats.org/officeDocument/2006/relationships/hyperlink" Target="https://data.europa.eu/data/datasets/14394-bomen-in-nederland?locale=en"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rmit.internal\USRHome\eh9\e38179\3_30_300%20Filedump\Final%20Tests\Results%20-%20Final\DenverResult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rmit.internal\USRHome\eh9\e38179\3_30_300%20Filedump\Final%20Tests\Results%20-%20Final\DenverResult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Denver - Buildings by 3-30-300 </a:t>
            </a:r>
          </a:p>
          <a:p>
            <a:pPr>
              <a:defRPr/>
            </a:pPr>
            <a:r>
              <a:rPr lang="en-AU"/>
              <a:t>Simple binary scoring</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col"/>
        <c:grouping val="clustered"/>
        <c:varyColors val="0"/>
        <c:ser>
          <c:idx val="0"/>
          <c:order val="0"/>
          <c:spPr>
            <a:solidFill>
              <a:schemeClr val="tx1"/>
            </a:solidFill>
            <a:ln>
              <a:noFill/>
            </a:ln>
            <a:effectLst/>
          </c:spPr>
          <c:invertIfNegative val="0"/>
          <c:cat>
            <c:numRef>
              <c:f>DenverResults!$Y$10:$AB$10</c:f>
              <c:numCache>
                <c:formatCode>General</c:formatCode>
                <c:ptCount val="4"/>
                <c:pt idx="0">
                  <c:v>0</c:v>
                </c:pt>
                <c:pt idx="1">
                  <c:v>1</c:v>
                </c:pt>
                <c:pt idx="2">
                  <c:v>2</c:v>
                </c:pt>
                <c:pt idx="3">
                  <c:v>3</c:v>
                </c:pt>
              </c:numCache>
            </c:numRef>
          </c:cat>
          <c:val>
            <c:numRef>
              <c:f>DenverResults!$Y$11:$AB$11</c:f>
              <c:numCache>
                <c:formatCode>General</c:formatCode>
                <c:ptCount val="4"/>
                <c:pt idx="0">
                  <c:v>109530</c:v>
                </c:pt>
                <c:pt idx="1">
                  <c:v>128439</c:v>
                </c:pt>
                <c:pt idx="2">
                  <c:v>56040</c:v>
                </c:pt>
                <c:pt idx="3">
                  <c:v>6883</c:v>
                </c:pt>
              </c:numCache>
            </c:numRef>
          </c:val>
          <c:extLst>
            <c:ext xmlns:c16="http://schemas.microsoft.com/office/drawing/2014/chart" uri="{C3380CC4-5D6E-409C-BE32-E72D297353CC}">
              <c16:uniqueId val="{00000000-17F2-4299-BEA2-FBF59CEB4D99}"/>
            </c:ext>
          </c:extLst>
        </c:ser>
        <c:dLbls>
          <c:showLegendKey val="0"/>
          <c:showVal val="0"/>
          <c:showCatName val="0"/>
          <c:showSerName val="0"/>
          <c:showPercent val="0"/>
          <c:showBubbleSize val="0"/>
        </c:dLbls>
        <c:gapWidth val="219"/>
        <c:overlap val="-27"/>
        <c:axId val="760743199"/>
        <c:axId val="583493759"/>
      </c:barChart>
      <c:catAx>
        <c:axId val="7607431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583493759"/>
        <c:crosses val="autoZero"/>
        <c:auto val="1"/>
        <c:lblAlgn val="ctr"/>
        <c:lblOffset val="100"/>
        <c:noMultiLvlLbl val="0"/>
      </c:catAx>
      <c:valAx>
        <c:axId val="5834937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76074319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AU"/>
              <a:t>Denver - Buildings by 3-30-300 </a:t>
            </a:r>
          </a:p>
          <a:p>
            <a:pPr>
              <a:defRPr/>
            </a:pPr>
            <a:r>
              <a:rPr lang="en-AU"/>
              <a:t>Graded scoring</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barChart>
        <c:barDir val="col"/>
        <c:grouping val="clustered"/>
        <c:varyColors val="0"/>
        <c:ser>
          <c:idx val="0"/>
          <c:order val="0"/>
          <c:spPr>
            <a:solidFill>
              <a:schemeClr val="tx1"/>
            </a:solidFill>
            <a:ln>
              <a:noFill/>
            </a:ln>
            <a:effectLst/>
          </c:spPr>
          <c:invertIfNegative val="0"/>
          <c:cat>
            <c:multiLvlStrRef>
              <c:f>DenverResults!$Y$5:$AI$6</c:f>
              <c:multiLvlStrCache>
                <c:ptCount val="11"/>
                <c:lvl>
                  <c:pt idx="0">
                    <c:v>0</c:v>
                  </c:pt>
                  <c:pt idx="1">
                    <c:v>1</c:v>
                  </c:pt>
                  <c:pt idx="2">
                    <c:v>2</c:v>
                  </c:pt>
                  <c:pt idx="3">
                    <c:v>3</c:v>
                  </c:pt>
                  <c:pt idx="4">
                    <c:v>4</c:v>
                  </c:pt>
                  <c:pt idx="5">
                    <c:v>5</c:v>
                  </c:pt>
                  <c:pt idx="6">
                    <c:v>6</c:v>
                  </c:pt>
                  <c:pt idx="7">
                    <c:v>7</c:v>
                  </c:pt>
                  <c:pt idx="8">
                    <c:v>8</c:v>
                  </c:pt>
                  <c:pt idx="9">
                    <c:v>9</c:v>
                  </c:pt>
                  <c:pt idx="10">
                    <c:v>10</c:v>
                  </c:pt>
                </c:lvl>
                <c:lvl>
                  <c:pt idx="0">
                    <c:v>Graded</c:v>
                  </c:pt>
                </c:lvl>
              </c:multiLvlStrCache>
            </c:multiLvlStrRef>
          </c:cat>
          <c:val>
            <c:numRef>
              <c:f>DenverResults!$Y$7:$AI$7</c:f>
              <c:numCache>
                <c:formatCode>General</c:formatCode>
                <c:ptCount val="11"/>
                <c:pt idx="0">
                  <c:v>8822</c:v>
                </c:pt>
                <c:pt idx="1">
                  <c:v>18012</c:v>
                </c:pt>
                <c:pt idx="2">
                  <c:v>23722</c:v>
                </c:pt>
                <c:pt idx="3">
                  <c:v>39601</c:v>
                </c:pt>
                <c:pt idx="4">
                  <c:v>54552</c:v>
                </c:pt>
                <c:pt idx="5">
                  <c:v>40052</c:v>
                </c:pt>
                <c:pt idx="6">
                  <c:v>41207</c:v>
                </c:pt>
                <c:pt idx="7">
                  <c:v>40982</c:v>
                </c:pt>
                <c:pt idx="8">
                  <c:v>15592</c:v>
                </c:pt>
                <c:pt idx="9">
                  <c:v>10222</c:v>
                </c:pt>
                <c:pt idx="10">
                  <c:v>8128</c:v>
                </c:pt>
              </c:numCache>
            </c:numRef>
          </c:val>
          <c:extLst>
            <c:ext xmlns:c16="http://schemas.microsoft.com/office/drawing/2014/chart" uri="{C3380CC4-5D6E-409C-BE32-E72D297353CC}">
              <c16:uniqueId val="{00000000-38B4-4099-8449-63CE68A19185}"/>
            </c:ext>
          </c:extLst>
        </c:ser>
        <c:dLbls>
          <c:showLegendKey val="0"/>
          <c:showVal val="0"/>
          <c:showCatName val="0"/>
          <c:showSerName val="0"/>
          <c:showPercent val="0"/>
          <c:showBubbleSize val="0"/>
        </c:dLbls>
        <c:gapWidth val="219"/>
        <c:overlap val="-27"/>
        <c:axId val="404909919"/>
        <c:axId val="765909439"/>
      </c:barChart>
      <c:catAx>
        <c:axId val="4049099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765909439"/>
        <c:crosses val="autoZero"/>
        <c:auto val="1"/>
        <c:lblAlgn val="ctr"/>
        <c:lblOffset val="100"/>
        <c:noMultiLvlLbl val="0"/>
      </c:catAx>
      <c:valAx>
        <c:axId val="7659094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490991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4E5CB-B13C-41F5-B00D-FA8A6DEBB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20</Pages>
  <Words>12360</Words>
  <Characters>70455</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RMIT University</Company>
  <LinksUpToDate>false</LinksUpToDate>
  <CharactersWithSpaces>82650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Thami Croeser</dc:creator>
  <cp:keywords/>
  <dc:description/>
  <cp:lastModifiedBy>Thami Croeser</cp:lastModifiedBy>
  <cp:revision>7</cp:revision>
  <dcterms:created xsi:type="dcterms:W3CDTF">2024-02-02T07:30:00Z</dcterms:created>
  <dcterms:modified xsi:type="dcterms:W3CDTF">2024-02-16T04:16:00Z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b52b3a1-dbcb-41fb-a452-370cf542753f_Enabled">
    <vt:lpwstr>true</vt:lpwstr>
  </property>
  <property fmtid="{D5CDD505-2E9C-101B-9397-08002B2CF9AE}" pid="3" name="MSIP_Label_1b52b3a1-dbcb-41fb-a452-370cf542753f_SetDate">
    <vt:lpwstr>2024-02-02T07:31:09Z</vt:lpwstr>
  </property>
  <property fmtid="{D5CDD505-2E9C-101B-9397-08002B2CF9AE}" pid="4" name="MSIP_Label_1b52b3a1-dbcb-41fb-a452-370cf542753f_Method">
    <vt:lpwstr>Privileged</vt:lpwstr>
  </property>
  <property fmtid="{D5CDD505-2E9C-101B-9397-08002B2CF9AE}" pid="5" name="MSIP_Label_1b52b3a1-dbcb-41fb-a452-370cf542753f_Name">
    <vt:lpwstr>Public</vt:lpwstr>
  </property>
  <property fmtid="{D5CDD505-2E9C-101B-9397-08002B2CF9AE}" pid="6" name="MSIP_Label_1b52b3a1-dbcb-41fb-a452-370cf542753f_SiteId">
    <vt:lpwstr>d1323671-cdbe-4417-b4d4-bdb24b51316b</vt:lpwstr>
  </property>
  <property fmtid="{D5CDD505-2E9C-101B-9397-08002B2CF9AE}" pid="7" name="MSIP_Label_1b52b3a1-dbcb-41fb-a452-370cf542753f_ActionId">
    <vt:lpwstr>a4007a38-b880-4fd2-bdb8-955f52338e9a</vt:lpwstr>
  </property>
  <property fmtid="{D5CDD505-2E9C-101B-9397-08002B2CF9AE}" pid="8" name="MSIP_Label_1b52b3a1-dbcb-41fb-a452-370cf542753f_ContentBits">
    <vt:lpwstr>0</vt:lpwstr>
  </property>
  <property fmtid="{D5CDD505-2E9C-101B-9397-08002B2CF9AE}" pid="9" name="Mendeley Recent Style Id 0_1">
    <vt:lpwstr>http://www.zotero.org/styles/american-medical-association</vt:lpwstr>
  </property>
  <property fmtid="{D5CDD505-2E9C-101B-9397-08002B2CF9AE}" pid="10" name="Mendeley Recent Style Name 0_1">
    <vt:lpwstr>American Medical Association 11th edition</vt:lpwstr>
  </property>
  <property fmtid="{D5CDD505-2E9C-101B-9397-08002B2CF9AE}" pid="11" name="Mendeley Recent Style Id 1_1">
    <vt:lpwstr>http://www.zotero.org/styles/american-political-science-association</vt:lpwstr>
  </property>
  <property fmtid="{D5CDD505-2E9C-101B-9397-08002B2CF9AE}" pid="12" name="Mendeley Recent Style Name 1_1">
    <vt:lpwstr>American Political Science Association</vt:lpwstr>
  </property>
  <property fmtid="{D5CDD505-2E9C-101B-9397-08002B2CF9AE}" pid="13" name="Mendeley Recent Style Id 2_1">
    <vt:lpwstr>http://www.zotero.org/styles/apa</vt:lpwstr>
  </property>
  <property fmtid="{D5CDD505-2E9C-101B-9397-08002B2CF9AE}" pid="14" name="Mendeley Recent Style Name 2_1">
    <vt:lpwstr>American Psychological Association 7th edition</vt:lpwstr>
  </property>
  <property fmtid="{D5CDD505-2E9C-101B-9397-08002B2CF9AE}" pid="15" name="Mendeley Recent Style Id 3_1">
    <vt:lpwstr>http://www.zotero.org/styles/american-sociological-association</vt:lpwstr>
  </property>
  <property fmtid="{D5CDD505-2E9C-101B-9397-08002B2CF9AE}" pid="16" name="Mendeley Recent Style Name 3_1">
    <vt:lpwstr>American Sociological Association 6th edition</vt:lpwstr>
  </property>
  <property fmtid="{D5CDD505-2E9C-101B-9397-08002B2CF9AE}" pid="17" name="Mendeley Recent Style Id 4_1">
    <vt:lpwstr>http://www.zotero.org/styles/chicago-author-date</vt:lpwstr>
  </property>
  <property fmtid="{D5CDD505-2E9C-101B-9397-08002B2CF9AE}" pid="18" name="Mendeley Recent Style Name 4_1">
    <vt:lpwstr>Chicago Manual of Style 17th edition (author-date)</vt:lpwstr>
  </property>
  <property fmtid="{D5CDD505-2E9C-101B-9397-08002B2CF9AE}" pid="19" name="Mendeley Recent Style Id 5_1">
    <vt:lpwstr>http://www.zotero.org/styles/harvard1</vt:lpwstr>
  </property>
  <property fmtid="{D5CDD505-2E9C-101B-9397-08002B2CF9AE}" pid="20" name="Mendeley Recent Style Name 5_1">
    <vt:lpwstr>Harvard reference format 1 (deprecated)</vt:lpwstr>
  </property>
  <property fmtid="{D5CDD505-2E9C-101B-9397-08002B2CF9AE}" pid="21" name="Mendeley Recent Style Id 6_1">
    <vt:lpwstr>http://www.zotero.org/styles/ieee</vt:lpwstr>
  </property>
  <property fmtid="{D5CDD505-2E9C-101B-9397-08002B2CF9AE}" pid="22" name="Mendeley Recent Style Name 6_1">
    <vt:lpwstr>IEEE</vt:lpwstr>
  </property>
  <property fmtid="{D5CDD505-2E9C-101B-9397-08002B2CF9AE}" pid="23" name="Mendeley Recent Style Id 7_1">
    <vt:lpwstr>http://www.zotero.org/styles/modern-humanities-research-association</vt:lpwstr>
  </property>
  <property fmtid="{D5CDD505-2E9C-101B-9397-08002B2CF9AE}" pid="24" name="Mendeley Recent Style Name 7_1">
    <vt:lpwstr>Modern Humanities Research Association 3rd edition (note with bibliography)</vt:lpwstr>
  </property>
  <property fmtid="{D5CDD505-2E9C-101B-9397-08002B2CF9AE}" pid="25" name="Mendeley Recent Style Id 8_1">
    <vt:lpwstr>http://www.zotero.org/styles/modern-language-association</vt:lpwstr>
  </property>
  <property fmtid="{D5CDD505-2E9C-101B-9397-08002B2CF9AE}" pid="26" name="Mendeley Recent Style Name 8_1">
    <vt:lpwstr>Modern Language Association 9th edition</vt:lpwstr>
  </property>
  <property fmtid="{D5CDD505-2E9C-101B-9397-08002B2CF9AE}" pid="27" name="Mendeley Recent Style Id 9_1">
    <vt:lpwstr>http://www.zotero.org/styles/nature</vt:lpwstr>
  </property>
  <property fmtid="{D5CDD505-2E9C-101B-9397-08002B2CF9AE}" pid="28" name="Mendeley Recent Style Name 9_1">
    <vt:lpwstr>Nature</vt:lpwstr>
  </property>
  <property fmtid="{D5CDD505-2E9C-101B-9397-08002B2CF9AE}" pid="29" name="Mendeley Document_1">
    <vt:lpwstr>True</vt:lpwstr>
  </property>
  <property fmtid="{D5CDD505-2E9C-101B-9397-08002B2CF9AE}" pid="30" name="Mendeley Unique User Id_1">
    <vt:lpwstr>18b4cd63-43a1-3c80-89aa-4434ec00a18e</vt:lpwstr>
  </property>
  <property fmtid="{D5CDD505-2E9C-101B-9397-08002B2CF9AE}" pid="31" name="Mendeley Citation Style_1">
    <vt:lpwstr>http://www.zotero.org/styles/apa</vt:lpwstr>
  </property>
</Properties>
</file>