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left"/>
      </w:pPr>
      <w:r>
        <w:drawing>
          <wp:inline distT="0" distB="0" distL="114300" distR="114300">
            <wp:extent cx="5273040" cy="2192655"/>
            <wp:effectExtent l="0" t="0" r="1016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r>
        <w:rPr>
          <w:rFonts w:hint="eastAsia" w:ascii="Times New Roman" w:hAnsi="Times New Roman"/>
          <w:b/>
          <w:bCs/>
          <w:color w:val="000000"/>
        </w:rPr>
        <w:t>Supplement</w:t>
      </w:r>
      <w:r>
        <w:rPr>
          <w:rFonts w:ascii="Times New Roman" w:hAnsi="Times New Roman"/>
          <w:b/>
          <w:bCs/>
          <w:color w:val="000000"/>
        </w:rPr>
        <w:t xml:space="preserve"> Figure </w:t>
      </w:r>
      <w:bookmarkEnd w:id="0"/>
      <w:r>
        <w:rPr>
          <w:rFonts w:ascii="Times New Roman" w:hAnsi="Times New Roman"/>
          <w:b/>
          <w:bCs/>
          <w:color w:val="000000"/>
        </w:rPr>
        <w:t>1 Diagram of the MR assumptions</w:t>
      </w: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three assumptions are: (1) the genetic variant must be robustly associated with the exposure; (2) the genetic variant should not be associated with confounders of the exposure-outcome association; and (3) the genetic variant must influence the outcome through the exposure only and not through any direct or alternative pathways. The dashed lines represent pathways that violate the assumptions. </w:t>
      </w: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ar"/>
        </w:rPr>
        <w:t xml:space="preserve">MR, </w:t>
      </w:r>
      <w:r>
        <w:rPr>
          <w:rFonts w:ascii="Times New Roman" w:hAnsi="Times New Roman"/>
        </w:rPr>
        <w:t>Mendelian randomization</w:t>
      </w: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  <w:r>
        <w:drawing>
          <wp:inline distT="0" distB="0" distL="114300" distR="114300">
            <wp:extent cx="5268595" cy="4338955"/>
            <wp:effectExtent l="0" t="0" r="1460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color w:val="000000"/>
          <w:lang w:eastAsia="zh-Hans"/>
        </w:rPr>
      </w:pPr>
      <w:r>
        <w:rPr>
          <w:rFonts w:hint="eastAsia" w:ascii="Times New Roman" w:hAnsi="Times New Roman"/>
          <w:b/>
          <w:bCs/>
          <w:color w:val="000000"/>
        </w:rPr>
        <w:t>Supplement</w:t>
      </w:r>
      <w:r>
        <w:rPr>
          <w:rFonts w:ascii="Times New Roman" w:hAnsi="Times New Roman"/>
          <w:b/>
          <w:bCs/>
          <w:color w:val="000000"/>
        </w:rPr>
        <w:t xml:space="preserve"> Figure 2 MR analysis from BMI to </w:t>
      </w:r>
      <w:r>
        <w:rPr>
          <w:rFonts w:ascii="Times New Roman" w:hAnsi="Times New Roman"/>
          <w:b/>
          <w:bCs/>
          <w:color w:val="000000"/>
          <w:lang w:eastAsia="zh-Hans"/>
        </w:rPr>
        <w:t>bioavailable testosterone</w:t>
      </w:r>
    </w:p>
    <w:p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(A) Forest plots from BMI to </w:t>
      </w:r>
      <w:r>
        <w:rPr>
          <w:rFonts w:hint="eastAsia" w:ascii="Times New Roman" w:hAnsi="Times New Roman"/>
          <w:color w:val="000000"/>
        </w:rPr>
        <w:t>bioavailable testosterone</w:t>
      </w:r>
      <w:r>
        <w:rPr>
          <w:rFonts w:ascii="Times New Roman" w:hAnsi="Times New Roman"/>
          <w:color w:val="000000"/>
        </w:rPr>
        <w:t xml:space="preserve">. (B) Scatter plots. (C) Leave-one-out sensitivity analysis. (D) Funnel plots.  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MR, Mendelian randomization; SNP, single-nucleotide polymorphism;</w:t>
      </w:r>
      <w:r>
        <w:rPr>
          <w:rFonts w:hint="eastAsia"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MR, Mendelian randomization; IVW, inverse‐variance weighted.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zh-Hans"/>
        </w:rPr>
      </w:pPr>
      <w:r>
        <w:drawing>
          <wp:inline distT="0" distB="0" distL="114300" distR="114300">
            <wp:extent cx="5012055" cy="3871595"/>
            <wp:effectExtent l="0" t="0" r="17145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b="781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38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lang w:eastAsia="zh-Hans"/>
        </w:rPr>
      </w:pPr>
      <w:r>
        <w:rPr>
          <w:rFonts w:hint="eastAsia" w:ascii="Times New Roman" w:hAnsi="Times New Roman"/>
          <w:b/>
          <w:bCs/>
          <w:color w:val="000000"/>
        </w:rPr>
        <w:t>Supplement</w:t>
      </w:r>
      <w:r>
        <w:rPr>
          <w:rFonts w:ascii="Times New Roman" w:hAnsi="Times New Roman"/>
          <w:b/>
          <w:bCs/>
          <w:color w:val="000000"/>
        </w:rPr>
        <w:t xml:space="preserve"> Figure 3 MR analysis from BMI to total </w:t>
      </w:r>
      <w:r>
        <w:rPr>
          <w:rFonts w:ascii="Times New Roman" w:hAnsi="Times New Roman"/>
          <w:b/>
          <w:bCs/>
          <w:color w:val="000000"/>
          <w:lang w:eastAsia="zh-Hans"/>
        </w:rPr>
        <w:t>testosterone</w:t>
      </w:r>
    </w:p>
    <w:p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(A) Forest plots from BMI to total</w:t>
      </w:r>
      <w:r>
        <w:rPr>
          <w:rFonts w:hint="eastAsia" w:ascii="Times New Roman" w:hAnsi="Times New Roman"/>
          <w:color w:val="000000"/>
        </w:rPr>
        <w:t xml:space="preserve"> testosterone</w:t>
      </w:r>
      <w:r>
        <w:rPr>
          <w:rFonts w:ascii="Times New Roman" w:hAnsi="Times New Roman"/>
          <w:color w:val="000000"/>
        </w:rPr>
        <w:t xml:space="preserve">. (B) Scatter plots. (C) Leave-one-out sensitivity analysis. (D) Funnel plots. 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MR, Mendelian randomization; SNP, single-nucleotide polymorphism;</w:t>
      </w:r>
      <w:r>
        <w:rPr>
          <w:rFonts w:hint="eastAsia"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MR, Mendelian randomization; IVW, inverse‐variance weighted.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zh-Hans"/>
        </w:rPr>
      </w:pPr>
      <w:r>
        <w:drawing>
          <wp:inline distT="0" distB="0" distL="114300" distR="114300">
            <wp:extent cx="4744720" cy="3783965"/>
            <wp:effectExtent l="0" t="0" r="508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b="484"/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color w:val="000000"/>
          <w:lang w:eastAsia="zh-Hans"/>
        </w:rPr>
      </w:pPr>
      <w:r>
        <w:rPr>
          <w:rFonts w:hint="eastAsia" w:ascii="Times New Roman" w:hAnsi="Times New Roman"/>
          <w:b/>
          <w:bCs/>
          <w:color w:val="000000"/>
        </w:rPr>
        <w:t>Supplement</w:t>
      </w:r>
      <w:r>
        <w:rPr>
          <w:rFonts w:ascii="Times New Roman" w:hAnsi="Times New Roman"/>
          <w:b/>
          <w:bCs/>
          <w:color w:val="000000"/>
        </w:rPr>
        <w:t xml:space="preserve"> Figure 4 MR analysis from </w:t>
      </w:r>
      <w:r>
        <w:rPr>
          <w:rFonts w:ascii="Times New Roman" w:hAnsi="Times New Roman"/>
          <w:b/>
          <w:bCs/>
          <w:color w:val="000000"/>
          <w:lang w:eastAsia="zh-Hans"/>
        </w:rPr>
        <w:t>bioavailable testosterone</w:t>
      </w:r>
      <w:r>
        <w:rPr>
          <w:rFonts w:ascii="Times New Roman" w:hAnsi="Times New Roman"/>
          <w:b/>
          <w:bCs/>
          <w:color w:val="000000"/>
        </w:rPr>
        <w:t xml:space="preserve"> to prostate cancer</w:t>
      </w:r>
    </w:p>
    <w:p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(A) Forest plots from </w:t>
      </w:r>
      <w:r>
        <w:rPr>
          <w:rFonts w:hint="eastAsia" w:ascii="Times New Roman" w:hAnsi="Times New Roman"/>
          <w:color w:val="000000"/>
        </w:rPr>
        <w:t xml:space="preserve">bioavailable testosterone </w:t>
      </w:r>
      <w:r>
        <w:rPr>
          <w:rFonts w:ascii="Times New Roman" w:hAnsi="Times New Roman"/>
          <w:color w:val="000000"/>
        </w:rPr>
        <w:t>to</w:t>
      </w:r>
      <w:r>
        <w:rPr>
          <w:rFonts w:hint="eastAsia" w:ascii="Times New Roman" w:hAnsi="Times New Roman"/>
          <w:color w:val="000000"/>
        </w:rPr>
        <w:t xml:space="preserve"> prostate cancer</w:t>
      </w:r>
      <w:r>
        <w:rPr>
          <w:rFonts w:ascii="Times New Roman" w:hAnsi="Times New Roman"/>
          <w:color w:val="000000"/>
        </w:rPr>
        <w:t xml:space="preserve">. (B) Scatter plots. (C) Leave-one-out sensitivity analysis. (D) Funnel plots.  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MR, Mendelian randomization; SNP, single-nucleotide polymorphism;</w:t>
      </w:r>
      <w:r>
        <w:rPr>
          <w:rFonts w:hint="eastAsia"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MR, Mendelian randomization; IVW, inverse‐variance weighted.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zh-Hans"/>
        </w:rPr>
      </w:pPr>
      <w:r>
        <w:drawing>
          <wp:inline distT="0" distB="0" distL="114300" distR="114300">
            <wp:extent cx="4764405" cy="3916045"/>
            <wp:effectExtent l="0" t="0" r="10795" b="209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4405" cy="39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color w:val="000000"/>
          <w:lang w:eastAsia="zh-Hans"/>
        </w:rPr>
      </w:pPr>
      <w:r>
        <w:rPr>
          <w:rFonts w:hint="eastAsia" w:ascii="Times New Roman" w:hAnsi="Times New Roman"/>
          <w:b/>
          <w:bCs/>
          <w:color w:val="000000"/>
        </w:rPr>
        <w:t>Supplement</w:t>
      </w:r>
      <w:r>
        <w:rPr>
          <w:rFonts w:ascii="Times New Roman" w:hAnsi="Times New Roman"/>
          <w:b/>
          <w:bCs/>
          <w:color w:val="000000"/>
        </w:rPr>
        <w:t xml:space="preserve"> Figure 5</w:t>
      </w:r>
      <w:r>
        <w:rPr>
          <w:rFonts w:hint="eastAsia" w:ascii="Times New Roman" w:hAnsi="Times New Roman"/>
          <w:b/>
          <w:bCs/>
          <w:color w:val="000000"/>
        </w:rPr>
        <w:t xml:space="preserve"> MR analysis from </w:t>
      </w:r>
      <w:r>
        <w:rPr>
          <w:rFonts w:hint="eastAsia" w:ascii="Times New Roman" w:hAnsi="Times New Roman"/>
          <w:b/>
          <w:bCs/>
          <w:color w:val="000000"/>
          <w:lang w:eastAsia="zh-Hans"/>
        </w:rPr>
        <w:t>total testosterone</w:t>
      </w:r>
      <w:r>
        <w:rPr>
          <w:rFonts w:hint="eastAsia" w:ascii="Times New Roman" w:hAnsi="Times New Roman"/>
          <w:b/>
          <w:bCs/>
          <w:color w:val="000000"/>
        </w:rPr>
        <w:t xml:space="preserve"> to prostate cancer</w:t>
      </w:r>
    </w:p>
    <w:p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(A) Forest plots from </w:t>
      </w:r>
      <w:r>
        <w:rPr>
          <w:rFonts w:hint="eastAsia" w:ascii="Times New Roman" w:hAnsi="Times New Roman"/>
          <w:color w:val="000000"/>
        </w:rPr>
        <w:t xml:space="preserve">total testosterone </w:t>
      </w:r>
      <w:r>
        <w:rPr>
          <w:rFonts w:ascii="Times New Roman" w:hAnsi="Times New Roman"/>
          <w:color w:val="000000"/>
        </w:rPr>
        <w:t>to</w:t>
      </w:r>
      <w:r>
        <w:rPr>
          <w:rFonts w:hint="eastAsia" w:ascii="Times New Roman" w:hAnsi="Times New Roman"/>
          <w:color w:val="000000"/>
        </w:rPr>
        <w:t xml:space="preserve"> prostate cancer</w:t>
      </w:r>
      <w:r>
        <w:rPr>
          <w:rFonts w:ascii="Times New Roman" w:hAnsi="Times New Roman"/>
          <w:color w:val="000000"/>
        </w:rPr>
        <w:t xml:space="preserve">. (B) Scatter plots. (C) Leave-one-out sensitivity analysis. (D) Funnel plots. 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MR, Mendelian randomization; SNP, single-nucleotide polymorphism;</w:t>
      </w:r>
      <w:r>
        <w:rPr>
          <w:rFonts w:hint="eastAsia"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MR, Mendelian randomization; IVW, inverse‐variance weighted.</w:t>
      </w:r>
    </w:p>
    <w:p>
      <w:pPr>
        <w:spacing w:line="360" w:lineRule="auto"/>
        <w:rPr>
          <w:rFonts w:ascii="Times New Roman" w:hAnsi="Times New Roman"/>
          <w:b/>
          <w:bCs/>
          <w:color w:val="00000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/>
          <w:b/>
          <w:bCs/>
          <w:color w:val="000000"/>
        </w:rPr>
      </w:pPr>
    </w:p>
    <w:tbl>
      <w:tblPr>
        <w:tblStyle w:val="2"/>
        <w:tblW w:w="872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712"/>
        <w:gridCol w:w="791"/>
        <w:gridCol w:w="817"/>
        <w:gridCol w:w="822"/>
        <w:gridCol w:w="754"/>
        <w:gridCol w:w="937"/>
        <w:gridCol w:w="222"/>
        <w:gridCol w:w="834"/>
        <w:gridCol w:w="778"/>
        <w:gridCol w:w="7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SNP</w:t>
            </w:r>
          </w:p>
        </w:tc>
        <w:tc>
          <w:tcPr>
            <w:tcW w:w="76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</w:t>
            </w:r>
          </w:p>
        </w:tc>
        <w:tc>
          <w:tcPr>
            <w:tcW w:w="800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</w:t>
            </w:r>
          </w:p>
        </w:tc>
        <w:tc>
          <w:tcPr>
            <w:tcW w:w="8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EAF</w:t>
            </w:r>
          </w:p>
        </w:tc>
        <w:tc>
          <w:tcPr>
            <w:tcW w:w="2599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Associations with BMI</w:t>
            </w:r>
          </w:p>
        </w:tc>
        <w:tc>
          <w:tcPr>
            <w:tcW w:w="165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4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Associations with prostate cancer/bioavailable testosterone/total testosterone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allele</w:t>
            </w:r>
          </w:p>
        </w:tc>
        <w:tc>
          <w:tcPr>
            <w:tcW w:w="8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</w:t>
            </w:r>
          </w:p>
        </w:tc>
        <w:tc>
          <w:tcPr>
            <w:tcW w:w="76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99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 value</w:t>
            </w:r>
          </w:p>
        </w:tc>
        <w:tc>
          <w:tcPr>
            <w:tcW w:w="16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Beta</w:t>
            </w:r>
          </w:p>
        </w:tc>
        <w:tc>
          <w:tcPr>
            <w:tcW w:w="79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rs10132280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rs11209963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rs11604680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rs11676272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rs12286929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rs12429545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rs13107325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rs13130484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rs1421085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rs1528435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rs16907751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rs17094222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rs17109256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rs2176040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rs2206277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rs253414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rs2820315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rs3888190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rs4776970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rs492400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rs543874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rs6567160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rs6734363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rs7138803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rs7599312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rs7903146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1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rs9816226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0.097 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宋体"/>
          <w:b/>
          <w:bCs/>
          <w:color w:val="000000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</w:rPr>
        <w:t xml:space="preserve">Supplement Table 1 Characteristics of the SNPs associated with </w:t>
      </w:r>
      <w:r>
        <w:rPr>
          <w:rFonts w:ascii="Times New Roman" w:hAnsi="Times New Roman"/>
          <w:b/>
          <w:bCs/>
          <w:color w:val="000000"/>
        </w:rPr>
        <w:t xml:space="preserve">BMI </w:t>
      </w:r>
      <w:r>
        <w:rPr>
          <w:rFonts w:hint="eastAsia" w:ascii="Times New Roman" w:hAnsi="Times New Roman"/>
          <w:b/>
          <w:bCs/>
          <w:color w:val="000000"/>
          <w:lang w:eastAsia="zh-Hans"/>
        </w:rPr>
        <w:t>a</w:t>
      </w:r>
      <w:r>
        <w:rPr>
          <w:rFonts w:ascii="Times New Roman" w:hAnsi="Times New Roman"/>
          <w:b/>
          <w:bCs/>
          <w:color w:val="000000"/>
          <w:lang w:eastAsia="zh-Hans"/>
        </w:rPr>
        <w:t>nd p</w:t>
      </w:r>
      <w:r>
        <w:rPr>
          <w:rFonts w:ascii="Times New Roman" w:hAnsi="Times New Roman"/>
          <w:b/>
          <w:bCs/>
          <w:color w:val="000000"/>
        </w:rPr>
        <w:t>rostate cancer</w:t>
      </w:r>
      <w:r>
        <w:rPr>
          <w:rFonts w:hint="eastAsia" w:ascii="Times New Roman" w:hAnsi="Times New Roman"/>
          <w:b/>
          <w:bCs/>
          <w:color w:val="000000"/>
          <w:lang w:val="en-US" w:eastAsia="zh-CN"/>
        </w:rPr>
        <w:t>/</w:t>
      </w:r>
      <w:r>
        <w:rPr>
          <w:rFonts w:ascii="Times New Roman" w:hAnsi="Times New Roman"/>
          <w:b/>
          <w:bCs/>
          <w:color w:val="000000"/>
        </w:rPr>
        <w:t>bioavailable testosterone</w:t>
      </w:r>
      <w:r>
        <w:rPr>
          <w:rFonts w:hint="eastAsia" w:ascii="Times New Roman" w:hAnsi="Times New Roman"/>
          <w:b/>
          <w:bCs/>
          <w:color w:val="000000"/>
          <w:lang w:val="en-US" w:eastAsia="zh-CN"/>
        </w:rPr>
        <w:t>/</w:t>
      </w:r>
      <w:r>
        <w:rPr>
          <w:rFonts w:ascii="Times New Roman" w:hAnsi="Times New Roman"/>
          <w:b/>
          <w:bCs/>
          <w:color w:val="000000"/>
        </w:rPr>
        <w:t>total testosterone</w:t>
      </w:r>
    </w:p>
    <w:p>
      <w:pPr>
        <w:spacing w:line="360" w:lineRule="auto"/>
        <w:rPr>
          <w:rFonts w:hint="eastAsia" w:ascii="Times New Roman" w:hAnsi="Times New Roman" w:eastAsia="宋体" w:cs="Times New Roman"/>
          <w:color w:val="000000"/>
          <w:lang w:val="en-US" w:eastAsia="zh-CN"/>
        </w:rPr>
      </w:pPr>
      <w:r>
        <w:rPr>
          <w:rFonts w:ascii="Times New Roman" w:hAnsi="Times New Roman" w:eastAsia="宋体" w:cs="Times New Roman"/>
          <w:color w:val="000000"/>
        </w:rPr>
        <w:t>BMI, Body mass index;</w:t>
      </w:r>
      <w:r>
        <w:rPr>
          <w:rFonts w:hint="eastAsia" w:ascii="Times New Roman" w:hAnsi="Times New Roman" w:eastAsia="宋体" w:cs="Times New Roman"/>
          <w:color w:val="000000"/>
        </w:rPr>
        <w:t xml:space="preserve"> SNP, Single-nucleotide polymorphism</w:t>
      </w:r>
      <w:r>
        <w:rPr>
          <w:rFonts w:hint="default" w:ascii="Times New Roman" w:hAnsi="Times New Roman" w:eastAsia="宋体" w:cs="Times New Roman"/>
          <w:color w:val="000000"/>
          <w:lang w:val="en-US"/>
        </w:rPr>
        <w:t xml:space="preserve">; </w:t>
      </w:r>
      <w:r>
        <w:rPr>
          <w:rFonts w:ascii="Times New Roman" w:hAnsi="Times New Roman" w:eastAsia="宋体" w:cs="Times New Roman"/>
          <w:color w:val="000000"/>
        </w:rPr>
        <w:t>EA, Effect allele; EAF, Effect allele frequency; se, Standard error</w:t>
      </w:r>
      <w:r>
        <w:rPr>
          <w:rFonts w:hint="eastAsia" w:ascii="Times New Roman" w:hAnsi="Times New Roman" w:eastAsia="宋体" w:cs="Times New Roman"/>
          <w:color w:val="000000"/>
          <w:lang w:val="en-US" w:eastAsia="zh-CN"/>
        </w:rPr>
        <w:t>.</w:t>
      </w:r>
    </w:p>
    <w:p>
      <w:pPr>
        <w:spacing w:line="360" w:lineRule="auto"/>
        <w:rPr>
          <w:rFonts w:hint="eastAsia" w:ascii="Times New Roman" w:hAnsi="Times New Roman"/>
          <w:b/>
          <w:bCs/>
          <w:color w:val="000000"/>
        </w:rPr>
      </w:pPr>
    </w:p>
    <w:tbl>
      <w:tblPr>
        <w:tblStyle w:val="2"/>
        <w:tblW w:w="872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687"/>
        <w:gridCol w:w="787"/>
        <w:gridCol w:w="802"/>
        <w:gridCol w:w="816"/>
        <w:gridCol w:w="748"/>
        <w:gridCol w:w="908"/>
        <w:gridCol w:w="222"/>
        <w:gridCol w:w="827"/>
        <w:gridCol w:w="769"/>
        <w:gridCol w:w="7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SNP</w:t>
            </w:r>
          </w:p>
        </w:tc>
        <w:tc>
          <w:tcPr>
            <w:tcW w:w="76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</w:t>
            </w:r>
          </w:p>
        </w:tc>
        <w:tc>
          <w:tcPr>
            <w:tcW w:w="800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</w:t>
            </w:r>
          </w:p>
        </w:tc>
        <w:tc>
          <w:tcPr>
            <w:tcW w:w="8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EAF</w:t>
            </w:r>
          </w:p>
        </w:tc>
        <w:tc>
          <w:tcPr>
            <w:tcW w:w="2599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Associations with bioavailable testosterone </w:t>
            </w:r>
          </w:p>
        </w:tc>
        <w:tc>
          <w:tcPr>
            <w:tcW w:w="165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4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Associations with prostate cancer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allele</w:t>
            </w:r>
          </w:p>
        </w:tc>
        <w:tc>
          <w:tcPr>
            <w:tcW w:w="8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</w:t>
            </w:r>
          </w:p>
        </w:tc>
        <w:tc>
          <w:tcPr>
            <w:tcW w:w="76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99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 value</w:t>
            </w:r>
          </w:p>
        </w:tc>
        <w:tc>
          <w:tcPr>
            <w:tcW w:w="16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Beta</w:t>
            </w:r>
          </w:p>
        </w:tc>
        <w:tc>
          <w:tcPr>
            <w:tcW w:w="79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rs10279715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rs10738700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rs10867084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rs10959646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rs10982156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rs11191415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rs112217694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rs115260227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rs11600831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rs11703376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rs12470971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rs12524918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rs1264327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rs1272131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rs12796488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rs13072540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rs13148682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rs1361109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rs144956283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rs145359938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rs146115416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rs146454382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rs17190166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rs17613014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rs17703883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rs1812755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rs1933801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rs2035837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rs2090409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rs2295094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rs2547241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rs2631864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rs2668776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rs2733341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rs2764772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rs28613899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rs2961853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rs328365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rs34040779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rs34265755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rs35251956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rs3732218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rs3752214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rs4392940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rs4655598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rs4872310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rs56196860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rs58879558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rs61932784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rs62465144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rs6459544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rs647737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rs6486542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rs6718154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rs6766859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rs714786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rs71529289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rs7207165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rs7337958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rs7338818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rs7649178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rs7679843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rs7693957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rs7912521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rs8061590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rs858518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rs9284814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rs9376454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rs950716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rs9824196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1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rs9986829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0.895 </w:t>
            </w:r>
          </w:p>
        </w:tc>
      </w:tr>
    </w:tbl>
    <w:p>
      <w:pPr>
        <w:spacing w:line="360" w:lineRule="auto"/>
        <w:rPr>
          <w:rFonts w:ascii="Times New Roman" w:hAnsi="Times New Roman"/>
          <w:b/>
          <w:bCs/>
          <w:color w:val="000000"/>
        </w:rPr>
      </w:pPr>
      <w:r>
        <w:rPr>
          <w:rFonts w:hint="eastAsia" w:ascii="Times New Roman" w:hAnsi="Times New Roman"/>
          <w:b/>
          <w:bCs/>
          <w:color w:val="000000"/>
        </w:rPr>
        <w:t xml:space="preserve">Supplement Table </w:t>
      </w:r>
      <w:r>
        <w:rPr>
          <w:rFonts w:hint="eastAsia" w:ascii="Times New Roman" w:hAnsi="Times New Roman"/>
          <w:b/>
          <w:bCs/>
          <w:color w:val="000000"/>
          <w:lang w:val="en-US" w:eastAsia="zh-CN"/>
        </w:rPr>
        <w:t>2</w:t>
      </w:r>
      <w:r>
        <w:rPr>
          <w:rFonts w:hint="eastAsia" w:ascii="Times New Roman" w:hAnsi="Times New Roman"/>
          <w:b/>
          <w:bCs/>
          <w:color w:val="000000"/>
        </w:rPr>
        <w:t xml:space="preserve"> Characteristics of the SNPs associated with </w:t>
      </w:r>
      <w:r>
        <w:rPr>
          <w:rFonts w:ascii="Times New Roman" w:hAnsi="Times New Roman"/>
          <w:b/>
          <w:bCs/>
          <w:color w:val="000000"/>
        </w:rPr>
        <w:t xml:space="preserve">bioavailable testosterone </w:t>
      </w:r>
      <w:r>
        <w:rPr>
          <w:rFonts w:hint="eastAsia" w:ascii="Times New Roman" w:hAnsi="Times New Roman"/>
          <w:b/>
          <w:bCs/>
          <w:color w:val="000000"/>
          <w:lang w:eastAsia="zh-Hans"/>
        </w:rPr>
        <w:t>a</w:t>
      </w:r>
      <w:r>
        <w:rPr>
          <w:rFonts w:ascii="Times New Roman" w:hAnsi="Times New Roman"/>
          <w:b/>
          <w:bCs/>
          <w:color w:val="000000"/>
          <w:lang w:eastAsia="zh-Hans"/>
        </w:rPr>
        <w:t>nd p</w:t>
      </w:r>
      <w:r>
        <w:rPr>
          <w:rFonts w:ascii="Times New Roman" w:hAnsi="Times New Roman"/>
          <w:b/>
          <w:bCs/>
          <w:color w:val="000000"/>
        </w:rPr>
        <w:t>rostate cancer</w:t>
      </w:r>
    </w:p>
    <w:p>
      <w:pPr>
        <w:spacing w:line="360" w:lineRule="auto"/>
        <w:rPr>
          <w:rFonts w:hint="eastAsia" w:ascii="Times New Roman" w:hAnsi="Times New Roman" w:eastAsia="宋体" w:cs="Times New Roman"/>
          <w:color w:val="000000"/>
          <w:lang w:val="en-US" w:eastAsia="zh-CN"/>
        </w:rPr>
      </w:pPr>
      <w:r>
        <w:rPr>
          <w:rFonts w:hint="eastAsia" w:ascii="Times New Roman" w:hAnsi="Times New Roman"/>
          <w:color w:val="000000"/>
        </w:rPr>
        <w:t>SNP, Single-nucleotide polymorphism</w:t>
      </w:r>
      <w:r>
        <w:rPr>
          <w:rFonts w:hint="default" w:ascii="Times New Roman" w:hAnsi="Times New Roman" w:eastAsia="宋体" w:cs="Times New Roman"/>
          <w:color w:val="000000"/>
          <w:lang w:val="en-US"/>
        </w:rPr>
        <w:t xml:space="preserve">; </w:t>
      </w:r>
      <w:r>
        <w:rPr>
          <w:rFonts w:ascii="Times New Roman" w:hAnsi="Times New Roman" w:eastAsia="宋体" w:cs="Times New Roman"/>
          <w:color w:val="000000"/>
        </w:rPr>
        <w:t>EA, Effect allele; EAF, Effect allele frequency; se, Standard error</w:t>
      </w:r>
      <w:r>
        <w:rPr>
          <w:rFonts w:hint="eastAsia" w:ascii="Times New Roman" w:hAnsi="Times New Roman" w:eastAsia="宋体" w:cs="Times New Roman"/>
          <w:color w:val="000000"/>
          <w:lang w:val="en-US" w:eastAsia="zh-CN"/>
        </w:rPr>
        <w:t>.</w:t>
      </w:r>
    </w:p>
    <w:p>
      <w:pPr>
        <w:spacing w:line="360" w:lineRule="auto"/>
        <w:rPr>
          <w:rFonts w:ascii="Times New Roman" w:hAnsi="Times New Roman"/>
          <w:color w:val="000000"/>
        </w:rPr>
      </w:pPr>
    </w:p>
    <w:tbl>
      <w:tblPr>
        <w:tblStyle w:val="2"/>
        <w:tblW w:w="872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687"/>
        <w:gridCol w:w="787"/>
        <w:gridCol w:w="802"/>
        <w:gridCol w:w="816"/>
        <w:gridCol w:w="748"/>
        <w:gridCol w:w="908"/>
        <w:gridCol w:w="222"/>
        <w:gridCol w:w="827"/>
        <w:gridCol w:w="769"/>
        <w:gridCol w:w="7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108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SNP</w:t>
            </w:r>
          </w:p>
        </w:tc>
        <w:tc>
          <w:tcPr>
            <w:tcW w:w="76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</w:t>
            </w:r>
          </w:p>
        </w:tc>
        <w:tc>
          <w:tcPr>
            <w:tcW w:w="800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</w:t>
            </w:r>
          </w:p>
        </w:tc>
        <w:tc>
          <w:tcPr>
            <w:tcW w:w="8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EAF</w:t>
            </w:r>
          </w:p>
        </w:tc>
        <w:tc>
          <w:tcPr>
            <w:tcW w:w="2599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Associations with total testosterone </w:t>
            </w:r>
          </w:p>
        </w:tc>
        <w:tc>
          <w:tcPr>
            <w:tcW w:w="165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4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Associations with prostate cancer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108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allele</w:t>
            </w:r>
          </w:p>
        </w:tc>
        <w:tc>
          <w:tcPr>
            <w:tcW w:w="8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</w:t>
            </w:r>
          </w:p>
        </w:tc>
        <w:tc>
          <w:tcPr>
            <w:tcW w:w="76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99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 value</w:t>
            </w:r>
          </w:p>
        </w:tc>
        <w:tc>
          <w:tcPr>
            <w:tcW w:w="16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Beta</w:t>
            </w:r>
          </w:p>
        </w:tc>
        <w:tc>
          <w:tcPr>
            <w:tcW w:w="79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rs10017466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rs10192634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rs10279715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rs10484012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rs10750766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rs10779612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rs10832570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rs10846658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rs10868080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rs10878334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rs10892924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rs10982192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rs11039847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rs111981233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rs112530420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rs1131114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rs114949263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rs11621792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rs11703376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rs11735092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rs117372143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rs117664177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rs118049783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rs12320328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rs12429920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rs12450799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rs1260326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rs12717441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rs12796488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rs12946520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rs13029936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rs13103534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rs13108218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rs1349359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rs1408579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rs149131600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rs1513272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rs1570203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rs17289915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rs1730865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rs1736177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rs184485758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rs1933801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rs1979835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rs1994721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rs2013030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rs202200760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rs2090409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rs2144026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rs222855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rs223373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rs2239222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rs2269856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rs2290867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rs2306216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rs2393775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rs2393969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rs2608911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rs2668776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rs28394864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rs28929474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rs3130293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rs329122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rs34040779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rs34532102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rs34851490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rs34955534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rs35002667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rs35233014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rs35728231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rs35824797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rs35988619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rs36086195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rs3768321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rs3802650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rs3809272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rs3842763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rs40270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rs40831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rs4149056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rs4522206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rs4757142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rs476180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rs4782568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rs4843753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rs4925809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rs520829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rs540730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rs55707100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rs55737039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rs55869022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rs55869502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rs55872725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rs558944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rs56196860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rs56332871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rs575146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rs5752773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rs57586626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rs59194935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rs6029632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rs6073431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rs6077461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rs62011286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rs645040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rs6676846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rs6736913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rs6792725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rs6870458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rs6939861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rs6984305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rs7123283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rs71529289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rs7166920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rs72683923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rs72721770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rs7314285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rs7338818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rs738409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rs74618501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rs7679843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rs7696472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rs7697073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rs7835492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rs7844586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rs7915430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rs79223973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rs79391862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rs7945917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rs79598313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rs79717793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rs80138475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rs8057818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rs8059151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rs8107967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rs9379802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rs9426823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rs9495551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rs9970140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1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rs9986829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0.895 </w:t>
            </w:r>
          </w:p>
        </w:tc>
      </w:tr>
    </w:tbl>
    <w:p>
      <w:pPr>
        <w:spacing w:line="360" w:lineRule="auto"/>
        <w:rPr>
          <w:rFonts w:ascii="Times New Roman" w:hAnsi="Times New Roman"/>
          <w:b/>
          <w:bCs/>
          <w:color w:val="000000"/>
        </w:rPr>
      </w:pPr>
      <w:r>
        <w:rPr>
          <w:rFonts w:hint="eastAsia" w:ascii="Times New Roman" w:hAnsi="Times New Roman"/>
          <w:b/>
          <w:bCs/>
          <w:color w:val="000000"/>
        </w:rPr>
        <w:t xml:space="preserve">Supplement Table </w:t>
      </w:r>
      <w:r>
        <w:rPr>
          <w:rFonts w:hint="eastAsia" w:ascii="Times New Roman" w:hAnsi="Times New Roman"/>
          <w:b/>
          <w:bCs/>
          <w:color w:val="000000"/>
          <w:lang w:val="en-US" w:eastAsia="zh-CN"/>
        </w:rPr>
        <w:t>3</w:t>
      </w:r>
      <w:r>
        <w:rPr>
          <w:rFonts w:hint="eastAsia" w:ascii="Times New Roman" w:hAnsi="Times New Roman"/>
          <w:b/>
          <w:bCs/>
          <w:color w:val="000000"/>
        </w:rPr>
        <w:t xml:space="preserve"> Characteristics of the SNPs associated with </w:t>
      </w:r>
      <w:r>
        <w:rPr>
          <w:rFonts w:ascii="Times New Roman" w:hAnsi="Times New Roman"/>
          <w:b/>
          <w:bCs/>
          <w:color w:val="000000"/>
        </w:rPr>
        <w:t xml:space="preserve">total testosterone </w:t>
      </w:r>
      <w:r>
        <w:rPr>
          <w:rFonts w:hint="eastAsia" w:ascii="Times New Roman" w:hAnsi="Times New Roman"/>
          <w:b/>
          <w:bCs/>
          <w:color w:val="000000"/>
          <w:lang w:eastAsia="zh-Hans"/>
        </w:rPr>
        <w:t>a</w:t>
      </w:r>
      <w:r>
        <w:rPr>
          <w:rFonts w:ascii="Times New Roman" w:hAnsi="Times New Roman"/>
          <w:b/>
          <w:bCs/>
          <w:color w:val="000000"/>
          <w:lang w:eastAsia="zh-Hans"/>
        </w:rPr>
        <w:t>nd p</w:t>
      </w:r>
      <w:r>
        <w:rPr>
          <w:rFonts w:ascii="Times New Roman" w:hAnsi="Times New Roman"/>
          <w:b/>
          <w:bCs/>
          <w:color w:val="000000"/>
        </w:rPr>
        <w:t>rostate cancer</w:t>
      </w:r>
    </w:p>
    <w:p>
      <w:pPr>
        <w:spacing w:line="360" w:lineRule="auto"/>
        <w:rPr>
          <w:rFonts w:hint="default" w:ascii="Times New Roman" w:hAnsi="Times New Roman"/>
          <w:color w:val="000000"/>
          <w:lang w:val="en-US"/>
        </w:rPr>
      </w:pPr>
      <w:r>
        <w:rPr>
          <w:rFonts w:hint="eastAsia" w:ascii="Times New Roman" w:hAnsi="Times New Roman"/>
          <w:color w:val="000000"/>
        </w:rPr>
        <w:t>SNP, Single-nucleotide polymorphism</w:t>
      </w:r>
      <w:r>
        <w:rPr>
          <w:rFonts w:hint="default" w:ascii="Times New Roman" w:hAnsi="Times New Roman" w:eastAsia="宋体" w:cs="Times New Roman"/>
          <w:color w:val="000000"/>
          <w:lang w:val="en-US"/>
        </w:rPr>
        <w:t xml:space="preserve">; </w:t>
      </w:r>
      <w:r>
        <w:rPr>
          <w:rFonts w:ascii="Times New Roman" w:hAnsi="Times New Roman" w:eastAsia="宋体" w:cs="Times New Roman"/>
          <w:color w:val="000000"/>
        </w:rPr>
        <w:t>EA, Effect allele; EAF, Effect allele frequency; se, Standard error</w:t>
      </w:r>
      <w:r>
        <w:rPr>
          <w:rFonts w:hint="eastAsia" w:ascii="Times New Roman" w:hAnsi="Times New Roman" w:eastAsia="宋体" w:cs="Times New Roman"/>
          <w:color w:val="000000"/>
          <w:lang w:val="en-US" w:eastAsia="zh-CN"/>
        </w:rPr>
        <w:t>.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EF065D"/>
    <w:rsid w:val="F6EF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2024-01-04T11:15:00Z</dcterms:created>
  <dc:creator>命运宠儿</dc:creator>
  <cp:lastModifiedBy>命运宠儿</cp:lastModifiedBy>
  <dcterms:modified xsi:type="dcterms:W3CDTF">2024-01-04T11:17:04Z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D4FB57529C3F3033EC2296657D7FF99D_41</vt:lpwstr>
  </property>
</Properties>
</file>