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35CE6" w14:textId="75D8AA00" w:rsidR="004107FC" w:rsidRPr="000F7313" w:rsidRDefault="004107FC" w:rsidP="004107FC">
      <w:pPr>
        <w:rPr>
          <w:rFonts w:ascii="Times New Roman" w:hAnsi="Times New Roman" w:cs="Times New Roman"/>
          <w:b/>
          <w:sz w:val="24"/>
          <w:szCs w:val="24"/>
        </w:rPr>
      </w:pPr>
      <w:r w:rsidRPr="000F7313">
        <w:rPr>
          <w:rFonts w:ascii="Times New Roman" w:hAnsi="Times New Roman" w:cs="Times New Roman"/>
          <w:b/>
          <w:sz w:val="24"/>
          <w:szCs w:val="24"/>
        </w:rPr>
        <w:t>Technical Appendix</w:t>
      </w:r>
      <w:r w:rsidR="00A91BDA">
        <w:rPr>
          <w:rFonts w:ascii="Times New Roman" w:hAnsi="Times New Roman" w:cs="Times New Roman"/>
          <w:b/>
          <w:sz w:val="24"/>
          <w:szCs w:val="24"/>
        </w:rPr>
        <w:t xml:space="preserve"> – Propensity Score Matching</w:t>
      </w:r>
    </w:p>
    <w:p w14:paraId="282FC916" w14:textId="77777777" w:rsidR="004107FC" w:rsidRPr="000F7313" w:rsidRDefault="004107FC" w:rsidP="004107FC">
      <w:pPr>
        <w:rPr>
          <w:rFonts w:ascii="Times New Roman" w:hAnsi="Times New Roman" w:cs="Times New Roman"/>
          <w:b/>
          <w:sz w:val="24"/>
          <w:szCs w:val="24"/>
        </w:rPr>
      </w:pPr>
    </w:p>
    <w:p w14:paraId="4C420930" w14:textId="15DE170C" w:rsidR="004107FC" w:rsidRPr="000F7313" w:rsidRDefault="00A414C4" w:rsidP="004107FC">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4107FC" w:rsidRPr="000F7313">
        <w:rPr>
          <w:rFonts w:ascii="Times New Roman" w:hAnsi="Times New Roman" w:cs="Times New Roman"/>
          <w:sz w:val="24"/>
          <w:szCs w:val="24"/>
        </w:rPr>
        <w:t xml:space="preserve"> variety of factors </w:t>
      </w:r>
      <w:r>
        <w:rPr>
          <w:rFonts w:ascii="Times New Roman" w:hAnsi="Times New Roman" w:cs="Times New Roman"/>
          <w:sz w:val="24"/>
          <w:szCs w:val="24"/>
        </w:rPr>
        <w:t xml:space="preserve">were used </w:t>
      </w:r>
      <w:r w:rsidR="004107FC" w:rsidRPr="000F7313">
        <w:rPr>
          <w:rFonts w:ascii="Times New Roman" w:hAnsi="Times New Roman" w:cs="Times New Roman"/>
          <w:sz w:val="24"/>
          <w:szCs w:val="24"/>
        </w:rPr>
        <w:t xml:space="preserve">to build a propensity score model with the purpose of addressing the anticipated selection bias in patients received 15 versus 30 minute or longer appointments.  Propensity scores were estimated using a logistic regression model predicting whether the patient was likely to receive a shorter (15-minute) or longer (30 minute </w:t>
      </w:r>
      <w:r w:rsidR="004107FC">
        <w:rPr>
          <w:rFonts w:ascii="Times New Roman" w:hAnsi="Times New Roman" w:cs="Times New Roman"/>
          <w:sz w:val="24"/>
          <w:szCs w:val="24"/>
        </w:rPr>
        <w:t>and</w:t>
      </w:r>
      <w:r w:rsidR="004107FC" w:rsidRPr="000F7313">
        <w:rPr>
          <w:rFonts w:ascii="Times New Roman" w:hAnsi="Times New Roman" w:cs="Times New Roman"/>
          <w:sz w:val="24"/>
          <w:szCs w:val="24"/>
        </w:rPr>
        <w:t xml:space="preserve"> </w:t>
      </w:r>
      <w:r w:rsidR="004107FC">
        <w:rPr>
          <w:rFonts w:ascii="Times New Roman" w:hAnsi="Times New Roman" w:cs="Times New Roman"/>
          <w:sz w:val="24"/>
          <w:szCs w:val="24"/>
        </w:rPr>
        <w:t>longer</w:t>
      </w:r>
      <w:r w:rsidR="004107FC" w:rsidRPr="000F7313">
        <w:rPr>
          <w:rFonts w:ascii="Times New Roman" w:hAnsi="Times New Roman" w:cs="Times New Roman"/>
          <w:sz w:val="24"/>
          <w:szCs w:val="24"/>
        </w:rPr>
        <w:t xml:space="preserve">) appointment length.  Factors used in the propensity score model to predict appointment length selection included age, practice area in which the appointment was scheduled, provider type, the language spoken by the patient, the clinic site, the severity weighted Charlson comorbidity index, and disease indication (i.e., primary diagnosis for the appointment).  </w:t>
      </w:r>
      <w:r>
        <w:rPr>
          <w:rFonts w:ascii="Times New Roman" w:hAnsi="Times New Roman" w:cs="Times New Roman"/>
          <w:sz w:val="24"/>
          <w:szCs w:val="24"/>
        </w:rPr>
        <w:t>I</w:t>
      </w:r>
      <w:r w:rsidR="004107FC" w:rsidRPr="000F7313">
        <w:rPr>
          <w:rFonts w:ascii="Times New Roman" w:hAnsi="Times New Roman" w:cs="Times New Roman"/>
          <w:sz w:val="24"/>
          <w:szCs w:val="24"/>
        </w:rPr>
        <w:t>nteraction terms between the provider and clinic site, patient age and disease indication, patient age and practice area, patient age and provider type, as well as between patient age and clinic site</w:t>
      </w:r>
      <w:r>
        <w:rPr>
          <w:rFonts w:ascii="Times New Roman" w:hAnsi="Times New Roman" w:cs="Times New Roman"/>
          <w:sz w:val="24"/>
          <w:szCs w:val="24"/>
        </w:rPr>
        <w:t xml:space="preserve"> were also used in the propensity score model</w:t>
      </w:r>
      <w:r w:rsidR="004107FC" w:rsidRPr="000F7313">
        <w:rPr>
          <w:rFonts w:ascii="Times New Roman" w:hAnsi="Times New Roman" w:cs="Times New Roman"/>
          <w:sz w:val="24"/>
          <w:szCs w:val="24"/>
        </w:rPr>
        <w:t>.  These interaction terms helped account for varying compositions of patients and providers within certain practice areas or clinics and, thus, varying likelihood of receiving a shorter or longer appointment.</w:t>
      </w:r>
    </w:p>
    <w:p w14:paraId="1C67591F" w14:textId="4F6E6287" w:rsidR="004107FC" w:rsidRPr="005E40A5" w:rsidRDefault="00F831C8" w:rsidP="004107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Propensity score models, as defined above, were estimated for each of the four study subgroups (acute pain – opioid naïve, acute pain – prior opioid use, chronic pain – opioid naïve, chronic pain – prior opioid use).  </w:t>
      </w:r>
      <w:r w:rsidR="00A414C4">
        <w:rPr>
          <w:rFonts w:ascii="Times New Roman" w:hAnsi="Times New Roman" w:cs="Times New Roman"/>
          <w:sz w:val="24"/>
          <w:szCs w:val="24"/>
        </w:rPr>
        <w:t>The distributions of the propensity score</w:t>
      </w:r>
      <w:r>
        <w:rPr>
          <w:rFonts w:ascii="Times New Roman" w:hAnsi="Times New Roman" w:cs="Times New Roman"/>
          <w:sz w:val="24"/>
          <w:szCs w:val="24"/>
        </w:rPr>
        <w:t>s</w:t>
      </w:r>
      <w:r w:rsidR="00A414C4">
        <w:rPr>
          <w:rFonts w:ascii="Times New Roman" w:hAnsi="Times New Roman" w:cs="Times New Roman"/>
          <w:sz w:val="24"/>
          <w:szCs w:val="24"/>
        </w:rPr>
        <w:t xml:space="preserve"> across exposure groups (i.e., 15-minute versus 30-minute or longer) were examined</w:t>
      </w:r>
      <w:r>
        <w:rPr>
          <w:rFonts w:ascii="Times New Roman" w:hAnsi="Times New Roman" w:cs="Times New Roman"/>
          <w:sz w:val="24"/>
          <w:szCs w:val="24"/>
        </w:rPr>
        <w:t xml:space="preserve"> for each of the four models</w:t>
      </w:r>
      <w:r w:rsidR="00A414C4">
        <w:rPr>
          <w:rFonts w:ascii="Times New Roman" w:hAnsi="Times New Roman" w:cs="Times New Roman"/>
          <w:sz w:val="24"/>
          <w:szCs w:val="24"/>
        </w:rPr>
        <w:t xml:space="preserve"> to </w:t>
      </w:r>
      <w:r w:rsidR="004107FC" w:rsidRPr="000F7313">
        <w:rPr>
          <w:rFonts w:ascii="Times New Roman" w:hAnsi="Times New Roman" w:cs="Times New Roman"/>
          <w:sz w:val="24"/>
          <w:szCs w:val="24"/>
        </w:rPr>
        <w:t xml:space="preserve">check for adequate overlap to ensure that </w:t>
      </w:r>
      <w:r w:rsidR="00A414C4">
        <w:rPr>
          <w:rFonts w:ascii="Times New Roman" w:hAnsi="Times New Roman" w:cs="Times New Roman"/>
          <w:sz w:val="24"/>
          <w:szCs w:val="24"/>
        </w:rPr>
        <w:t xml:space="preserve">a </w:t>
      </w:r>
      <w:r w:rsidR="004107FC" w:rsidRPr="000F7313">
        <w:rPr>
          <w:rFonts w:ascii="Times New Roman" w:hAnsi="Times New Roman" w:cs="Times New Roman"/>
          <w:sz w:val="24"/>
          <w:szCs w:val="24"/>
        </w:rPr>
        <w:t xml:space="preserve">quality </w:t>
      </w:r>
      <w:r w:rsidR="00A414C4">
        <w:rPr>
          <w:rFonts w:ascii="Times New Roman" w:hAnsi="Times New Roman" w:cs="Times New Roman"/>
          <w:sz w:val="24"/>
          <w:szCs w:val="24"/>
        </w:rPr>
        <w:t>propensity score model</w:t>
      </w:r>
      <w:r w:rsidR="004107FC" w:rsidRPr="000F7313">
        <w:rPr>
          <w:rFonts w:ascii="Times New Roman" w:hAnsi="Times New Roman" w:cs="Times New Roman"/>
          <w:sz w:val="24"/>
          <w:szCs w:val="24"/>
        </w:rPr>
        <w:t xml:space="preserve"> </w:t>
      </w:r>
      <w:r w:rsidR="00A414C4">
        <w:rPr>
          <w:rFonts w:ascii="Times New Roman" w:hAnsi="Times New Roman" w:cs="Times New Roman"/>
          <w:sz w:val="24"/>
          <w:szCs w:val="24"/>
        </w:rPr>
        <w:t xml:space="preserve">was </w:t>
      </w:r>
      <w:r w:rsidR="004107FC" w:rsidRPr="000F7313">
        <w:rPr>
          <w:rFonts w:ascii="Times New Roman" w:hAnsi="Times New Roman" w:cs="Times New Roman"/>
          <w:sz w:val="24"/>
          <w:szCs w:val="24"/>
        </w:rPr>
        <w:t xml:space="preserve">created.  </w:t>
      </w:r>
      <w:r w:rsidR="004107FC" w:rsidRPr="005E40A5">
        <w:rPr>
          <w:rFonts w:ascii="Times New Roman" w:hAnsi="Times New Roman" w:cs="Times New Roman"/>
          <w:sz w:val="24"/>
          <w:szCs w:val="24"/>
        </w:rPr>
        <w:t>The overlap of the logit of the propensity scores</w:t>
      </w:r>
      <w:r>
        <w:rPr>
          <w:rFonts w:ascii="Times New Roman" w:hAnsi="Times New Roman" w:cs="Times New Roman"/>
          <w:sz w:val="24"/>
          <w:szCs w:val="24"/>
        </w:rPr>
        <w:t xml:space="preserve"> for each study subgroup</w:t>
      </w:r>
      <w:r w:rsidR="004107FC" w:rsidRPr="005E40A5">
        <w:rPr>
          <w:rFonts w:ascii="Times New Roman" w:hAnsi="Times New Roman" w:cs="Times New Roman"/>
          <w:sz w:val="24"/>
          <w:szCs w:val="24"/>
        </w:rPr>
        <w:t xml:space="preserve"> is shown </w:t>
      </w:r>
      <w:r w:rsidR="0091057E" w:rsidRPr="005E40A5">
        <w:rPr>
          <w:rFonts w:ascii="Times New Roman" w:hAnsi="Times New Roman" w:cs="Times New Roman"/>
          <w:sz w:val="24"/>
          <w:szCs w:val="24"/>
        </w:rPr>
        <w:t>in Figure A1</w:t>
      </w:r>
    </w:p>
    <w:p w14:paraId="1BDE5E73" w14:textId="3CDA2EBB" w:rsidR="0091057E" w:rsidRPr="005E40A5" w:rsidRDefault="0091057E" w:rsidP="00A414C4">
      <w:pPr>
        <w:spacing w:line="480" w:lineRule="auto"/>
        <w:rPr>
          <w:rFonts w:ascii="Times New Roman" w:hAnsi="Times New Roman" w:cs="Times New Roman"/>
          <w:sz w:val="24"/>
          <w:szCs w:val="24"/>
        </w:rPr>
      </w:pPr>
    </w:p>
    <w:p w14:paraId="193F8451" w14:textId="669481E7" w:rsidR="0091057E" w:rsidRDefault="0091057E" w:rsidP="0091057E">
      <w:pPr>
        <w:spacing w:line="480" w:lineRule="auto"/>
        <w:rPr>
          <w:rFonts w:ascii="Times New Roman" w:hAnsi="Times New Roman" w:cs="Times New Roman"/>
          <w:b/>
          <w:bCs/>
          <w:sz w:val="24"/>
          <w:szCs w:val="24"/>
        </w:rPr>
      </w:pPr>
      <w:r w:rsidRPr="005E40A5">
        <w:rPr>
          <w:rFonts w:ascii="Times New Roman" w:hAnsi="Times New Roman" w:cs="Times New Roman"/>
          <w:b/>
          <w:bCs/>
          <w:sz w:val="24"/>
          <w:szCs w:val="24"/>
        </w:rPr>
        <w:t>Figure A1: Distribution of the logit of the propensity score across exposure groups (15 min. versus ≥ 30 min.)</w:t>
      </w:r>
    </w:p>
    <w:p w14:paraId="63FEFF2F" w14:textId="1F7F8881" w:rsidR="00F831C8" w:rsidRDefault="00F831C8" w:rsidP="0091057E">
      <w:pPr>
        <w:spacing w:line="480" w:lineRule="auto"/>
        <w:rPr>
          <w:rFonts w:ascii="Times New Roman" w:hAnsi="Times New Roman" w:cs="Times New Roman"/>
          <w:b/>
          <w:bCs/>
          <w:sz w:val="24"/>
          <w:szCs w:val="24"/>
        </w:rPr>
      </w:pPr>
      <w:r w:rsidRPr="00F831C8">
        <w:rPr>
          <w:noProof/>
        </w:rPr>
        <w:lastRenderedPageBreak/>
        <w:drawing>
          <wp:anchor distT="0" distB="0" distL="114300" distR="114300" simplePos="0" relativeHeight="251661312" behindDoc="0" locked="0" layoutInCell="1" allowOverlap="1" wp14:anchorId="3B69CF3E" wp14:editId="640AE55B">
            <wp:simplePos x="0" y="0"/>
            <wp:positionH relativeFrom="column">
              <wp:posOffset>2905760</wp:posOffset>
            </wp:positionH>
            <wp:positionV relativeFrom="paragraph">
              <wp:posOffset>2195830</wp:posOffset>
            </wp:positionV>
            <wp:extent cx="2907030" cy="2183765"/>
            <wp:effectExtent l="0" t="0" r="7620" b="6985"/>
            <wp:wrapThrough wrapText="bothSides">
              <wp:wrapPolygon edited="0">
                <wp:start x="0" y="0"/>
                <wp:lineTo x="0" y="21481"/>
                <wp:lineTo x="21515" y="21481"/>
                <wp:lineTo x="21515" y="0"/>
                <wp:lineTo x="0" y="0"/>
              </wp:wrapPolygon>
            </wp:wrapThrough>
            <wp:docPr id="1965281475" name="Picture 1" descr="A graph of p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81475" name="Picture 1" descr="A graph of pai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07030" cy="2183765"/>
                    </a:xfrm>
                    <a:prstGeom prst="rect">
                      <a:avLst/>
                    </a:prstGeom>
                  </pic:spPr>
                </pic:pic>
              </a:graphicData>
            </a:graphic>
          </wp:anchor>
        </w:drawing>
      </w:r>
      <w:r w:rsidRPr="00F831C8">
        <w:rPr>
          <w:noProof/>
        </w:rPr>
        <w:drawing>
          <wp:anchor distT="0" distB="0" distL="114300" distR="114300" simplePos="0" relativeHeight="251660288" behindDoc="0" locked="0" layoutInCell="1" allowOverlap="1" wp14:anchorId="4F078A65" wp14:editId="45A19CD8">
            <wp:simplePos x="0" y="0"/>
            <wp:positionH relativeFrom="margin">
              <wp:posOffset>0</wp:posOffset>
            </wp:positionH>
            <wp:positionV relativeFrom="paragraph">
              <wp:posOffset>2193290</wp:posOffset>
            </wp:positionV>
            <wp:extent cx="2889250" cy="2178050"/>
            <wp:effectExtent l="0" t="0" r="6350" b="0"/>
            <wp:wrapThrough wrapText="bothSides">
              <wp:wrapPolygon edited="0">
                <wp:start x="0" y="0"/>
                <wp:lineTo x="0" y="21348"/>
                <wp:lineTo x="21505" y="21348"/>
                <wp:lineTo x="21505" y="0"/>
                <wp:lineTo x="0" y="0"/>
              </wp:wrapPolygon>
            </wp:wrapThrough>
            <wp:docPr id="1194190889" name="Picture 1" descr="A graph of p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90889" name="Picture 1" descr="A graph of pai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9250" cy="2178050"/>
                    </a:xfrm>
                    <a:prstGeom prst="rect">
                      <a:avLst/>
                    </a:prstGeom>
                  </pic:spPr>
                </pic:pic>
              </a:graphicData>
            </a:graphic>
            <wp14:sizeRelH relativeFrom="margin">
              <wp14:pctWidth>0</wp14:pctWidth>
            </wp14:sizeRelH>
            <wp14:sizeRelV relativeFrom="margin">
              <wp14:pctHeight>0</wp14:pctHeight>
            </wp14:sizeRelV>
          </wp:anchor>
        </w:drawing>
      </w:r>
      <w:r w:rsidRPr="00F831C8">
        <w:rPr>
          <w:noProof/>
        </w:rPr>
        <w:drawing>
          <wp:anchor distT="0" distB="0" distL="114300" distR="114300" simplePos="0" relativeHeight="251659264" behindDoc="0" locked="0" layoutInCell="1" allowOverlap="1" wp14:anchorId="2A834C41" wp14:editId="48BE3FC7">
            <wp:simplePos x="0" y="0"/>
            <wp:positionH relativeFrom="column">
              <wp:posOffset>2896235</wp:posOffset>
            </wp:positionH>
            <wp:positionV relativeFrom="paragraph">
              <wp:posOffset>0</wp:posOffset>
            </wp:positionV>
            <wp:extent cx="2915285" cy="2192020"/>
            <wp:effectExtent l="0" t="0" r="0" b="0"/>
            <wp:wrapThrough wrapText="bothSides">
              <wp:wrapPolygon edited="0">
                <wp:start x="0" y="0"/>
                <wp:lineTo x="0" y="21400"/>
                <wp:lineTo x="21454" y="21400"/>
                <wp:lineTo x="21454" y="0"/>
                <wp:lineTo x="0" y="0"/>
              </wp:wrapPolygon>
            </wp:wrapThrough>
            <wp:docPr id="1111122114" name="Picture 1" descr="A graph of p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22114" name="Picture 1" descr="A graph of pai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5285" cy="2192020"/>
                    </a:xfrm>
                    <a:prstGeom prst="rect">
                      <a:avLst/>
                    </a:prstGeom>
                  </pic:spPr>
                </pic:pic>
              </a:graphicData>
            </a:graphic>
          </wp:anchor>
        </w:drawing>
      </w:r>
      <w:r>
        <w:rPr>
          <w:noProof/>
        </w:rPr>
        <w:drawing>
          <wp:anchor distT="0" distB="0" distL="114300" distR="114300" simplePos="0" relativeHeight="251658240" behindDoc="0" locked="0" layoutInCell="1" allowOverlap="1" wp14:anchorId="46B9529C" wp14:editId="638D8F45">
            <wp:simplePos x="0" y="0"/>
            <wp:positionH relativeFrom="column">
              <wp:posOffset>0</wp:posOffset>
            </wp:positionH>
            <wp:positionV relativeFrom="paragraph">
              <wp:posOffset>9525</wp:posOffset>
            </wp:positionV>
            <wp:extent cx="2889250" cy="2180590"/>
            <wp:effectExtent l="0" t="0" r="6350" b="0"/>
            <wp:wrapThrough wrapText="bothSides">
              <wp:wrapPolygon edited="0">
                <wp:start x="0" y="0"/>
                <wp:lineTo x="0" y="21323"/>
                <wp:lineTo x="21505" y="21323"/>
                <wp:lineTo x="21505" y="0"/>
                <wp:lineTo x="0" y="0"/>
              </wp:wrapPolygon>
            </wp:wrapThrough>
            <wp:docPr id="1617581410" name="Picture 1" descr="A graph of p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81410" name="Picture 1" descr="A graph of pai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9250" cy="2180590"/>
                    </a:xfrm>
                    <a:prstGeom prst="rect">
                      <a:avLst/>
                    </a:prstGeom>
                  </pic:spPr>
                </pic:pic>
              </a:graphicData>
            </a:graphic>
          </wp:anchor>
        </w:drawing>
      </w:r>
    </w:p>
    <w:p w14:paraId="54E2BF2F" w14:textId="25A8996B" w:rsidR="00F831C8" w:rsidRDefault="00F831C8" w:rsidP="00F831C8">
      <w:pPr>
        <w:rPr>
          <w:rFonts w:ascii="Times New Roman" w:hAnsi="Times New Roman" w:cs="Times New Roman"/>
          <w:sz w:val="24"/>
          <w:szCs w:val="24"/>
        </w:rPr>
      </w:pPr>
      <w:r w:rsidRPr="00F831C8">
        <w:rPr>
          <w:noProof/>
        </w:rPr>
        <w:t xml:space="preserve"> </w:t>
      </w:r>
    </w:p>
    <w:p w14:paraId="26840CA1" w14:textId="613D68BC" w:rsidR="007817B6" w:rsidRDefault="003B3CC9" w:rsidP="003B3CC9">
      <w:pPr>
        <w:spacing w:line="480" w:lineRule="auto"/>
        <w:rPr>
          <w:rFonts w:ascii="Times New Roman" w:hAnsi="Times New Roman" w:cs="Times New Roman"/>
          <w:sz w:val="24"/>
          <w:szCs w:val="24"/>
        </w:rPr>
      </w:pPr>
      <w:r>
        <w:rPr>
          <w:rFonts w:ascii="Times New Roman" w:hAnsi="Times New Roman" w:cs="Times New Roman"/>
          <w:sz w:val="24"/>
          <w:szCs w:val="24"/>
        </w:rPr>
        <w:t xml:space="preserve">A covariate adjustment approach using the propensity score was utilized to examine the effects of the scheduled appointment length on the outcome of interest.  In other words, the resulting propensity score from the propensity score model was included as a covariate in the outcome model to adjust for the likelihood of a subject receiving a 15-minute versus 30-minute or longer appointment.  </w:t>
      </w:r>
    </w:p>
    <w:p w14:paraId="6AF5676C" w14:textId="77777777" w:rsidR="00F831C8" w:rsidRPr="003B3CC9" w:rsidRDefault="00F831C8" w:rsidP="003B3CC9">
      <w:pPr>
        <w:spacing w:line="480" w:lineRule="auto"/>
        <w:rPr>
          <w:rFonts w:ascii="Times New Roman" w:hAnsi="Times New Roman" w:cs="Times New Roman"/>
          <w:sz w:val="24"/>
          <w:szCs w:val="24"/>
        </w:rPr>
      </w:pPr>
    </w:p>
    <w:p w14:paraId="2B466342" w14:textId="1A6DB6E2" w:rsidR="003B3CC9" w:rsidRDefault="00A865B8" w:rsidP="003B3CC9">
      <w:r>
        <w:t>1</w:t>
      </w:r>
      <w:r w:rsidR="003B3CC9">
        <w:t>.</w:t>
      </w:r>
      <w:r w:rsidR="003B3CC9">
        <w:tab/>
        <w:t>Austin PC. An Introduction to Propensity Score Methods for Reducing the Effects of Confounding in Observational Studies. Multivariate Behav Res. 2011;46(3):399-424.</w:t>
      </w:r>
      <w:r w:rsidR="003B3CC9" w:rsidRPr="004107FC">
        <w:t xml:space="preserve"> </w:t>
      </w:r>
    </w:p>
    <w:p w14:paraId="3E0AF8BC" w14:textId="6E604F13" w:rsidR="003B3CC9" w:rsidRDefault="00A865B8" w:rsidP="003B3CC9">
      <w:r>
        <w:t>2</w:t>
      </w:r>
      <w:r w:rsidR="003B3CC9">
        <w:t>.</w:t>
      </w:r>
      <w:r w:rsidR="003B3CC9">
        <w:tab/>
      </w:r>
      <w:r w:rsidR="003B3CC9" w:rsidRPr="003B3CC9">
        <w:t>D'Agostino RB Jr. Propensity score methods for bias reduction in the comparison of a treatment to a non-randomized control group. Stat Med. 1998 Oct 15;17(19):2265-81.</w:t>
      </w:r>
    </w:p>
    <w:p w14:paraId="55E4476B" w14:textId="1A37DFA9" w:rsidR="00970DFD" w:rsidRPr="00A865B8" w:rsidRDefault="00A865B8" w:rsidP="004107FC">
      <w:pPr>
        <w:rPr>
          <w:rFonts w:ascii="Source Sans Pro" w:hAnsi="Source Sans Pro"/>
          <w:color w:val="2A2A2A"/>
          <w:sz w:val="23"/>
          <w:szCs w:val="23"/>
          <w:shd w:val="clear" w:color="auto" w:fill="FFFFFF"/>
        </w:rPr>
      </w:pPr>
      <w:r>
        <w:t>3.</w:t>
      </w:r>
      <w:r>
        <w:tab/>
        <w:t xml:space="preserve">Rosenbaum PR, Rubin DB. </w:t>
      </w:r>
      <w:r>
        <w:rPr>
          <w:rFonts w:ascii="Source Sans Pro" w:hAnsi="Source Sans Pro"/>
          <w:color w:val="2A2A2A"/>
          <w:sz w:val="23"/>
          <w:szCs w:val="23"/>
          <w:shd w:val="clear" w:color="auto" w:fill="FFFFFF"/>
        </w:rPr>
        <w:t>The central role of the propensity score in observational studies for causal effects. Biometrika. 1983 April; 70(1): 41-55.</w:t>
      </w:r>
    </w:p>
    <w:sectPr w:rsidR="00970DFD" w:rsidRPr="00A86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xrvpw2r2ex03ewarvvff0geraetfsd2rs2&quot;&gt;appointment lengths in primary care-Converted&lt;record-ids&gt;&lt;item&gt;201&lt;/item&gt;&lt;item&gt;202&lt;/item&gt;&lt;/record-ids&gt;&lt;/item&gt;&lt;/Libraries&gt;"/>
  </w:docVars>
  <w:rsids>
    <w:rsidRoot w:val="00970DFD"/>
    <w:rsid w:val="00056FB4"/>
    <w:rsid w:val="00097FAC"/>
    <w:rsid w:val="00102765"/>
    <w:rsid w:val="003B3CC9"/>
    <w:rsid w:val="004107FC"/>
    <w:rsid w:val="005E40A5"/>
    <w:rsid w:val="007817B6"/>
    <w:rsid w:val="0091057E"/>
    <w:rsid w:val="00970DFD"/>
    <w:rsid w:val="009A2951"/>
    <w:rsid w:val="00A414C4"/>
    <w:rsid w:val="00A865B8"/>
    <w:rsid w:val="00A91BDA"/>
    <w:rsid w:val="00B568CE"/>
    <w:rsid w:val="00C16B4B"/>
    <w:rsid w:val="00F831C8"/>
    <w:rsid w:val="00FC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58CD"/>
  <w15:chartTrackingRefBased/>
  <w15:docId w15:val="{313794DF-B5E1-462F-89E7-5CF0ACF8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7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97FAC"/>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97FAC"/>
    <w:rPr>
      <w:rFonts w:ascii="Calibri" w:hAnsi="Calibri" w:cs="Calibri"/>
      <w:noProof/>
    </w:rPr>
  </w:style>
  <w:style w:type="paragraph" w:customStyle="1" w:styleId="EndNoteBibliography">
    <w:name w:val="EndNote Bibliography"/>
    <w:basedOn w:val="Normal"/>
    <w:link w:val="EndNoteBibliographyChar"/>
    <w:rsid w:val="00097FAC"/>
    <w:rPr>
      <w:rFonts w:ascii="Calibri" w:hAnsi="Calibri" w:cs="Calibri"/>
      <w:noProof/>
    </w:rPr>
  </w:style>
  <w:style w:type="character" w:customStyle="1" w:styleId="EndNoteBibliographyChar">
    <w:name w:val="EndNote Bibliography Char"/>
    <w:basedOn w:val="DefaultParagraphFont"/>
    <w:link w:val="EndNoteBibliography"/>
    <w:rsid w:val="00097FAC"/>
    <w:rPr>
      <w:rFonts w:ascii="Calibri" w:hAnsi="Calibri" w:cs="Calibri"/>
      <w:noProof/>
    </w:rPr>
  </w:style>
  <w:style w:type="character" w:styleId="Emphasis">
    <w:name w:val="Emphasis"/>
    <w:basedOn w:val="DefaultParagraphFont"/>
    <w:uiPriority w:val="20"/>
    <w:qFormat/>
    <w:rsid w:val="00A865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Kristi M., M.S.</dc:creator>
  <cp:keywords/>
  <dc:description/>
  <cp:lastModifiedBy>Matulis, John C. III, D.O., M.P.H.</cp:lastModifiedBy>
  <cp:revision>2</cp:revision>
  <dcterms:created xsi:type="dcterms:W3CDTF">2023-12-27T03:47:00Z</dcterms:created>
  <dcterms:modified xsi:type="dcterms:W3CDTF">2023-12-27T03:47:00Z</dcterms:modified>
</cp:coreProperties>
</file>