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A6D5E" w14:textId="16B0CBB3" w:rsidR="00CA791F" w:rsidRPr="00431119" w:rsidRDefault="00502562" w:rsidP="00502562">
      <w:pPr>
        <w:jc w:val="center"/>
        <w:rPr>
          <w:rFonts w:ascii="Times New Roman" w:hAnsi="Times New Roman" w:cs="Times New Roman"/>
          <w:i/>
          <w:iCs/>
        </w:rPr>
      </w:pPr>
      <w:r w:rsidRPr="00431119">
        <w:rPr>
          <w:rFonts w:ascii="Times New Roman" w:hAnsi="Times New Roman" w:cs="Times New Roman"/>
          <w:i/>
          <w:iCs/>
        </w:rPr>
        <w:t>Supplemental Information for</w:t>
      </w:r>
    </w:p>
    <w:p w14:paraId="5581646A" w14:textId="77777777" w:rsidR="00431119" w:rsidRPr="00431119" w:rsidRDefault="00431119" w:rsidP="00502562">
      <w:pPr>
        <w:jc w:val="center"/>
        <w:rPr>
          <w:rFonts w:ascii="Times New Roman" w:hAnsi="Times New Roman" w:cs="Times New Roman"/>
        </w:rPr>
      </w:pPr>
    </w:p>
    <w:p w14:paraId="632ED7D8" w14:textId="77777777" w:rsidR="00502562" w:rsidRDefault="00502562" w:rsidP="00502562">
      <w:pPr>
        <w:jc w:val="center"/>
      </w:pPr>
    </w:p>
    <w:p w14:paraId="094E40F2" w14:textId="77777777" w:rsidR="00502562" w:rsidRPr="00D3518F" w:rsidRDefault="00502562" w:rsidP="00502562">
      <w:pPr>
        <w:spacing w:line="480" w:lineRule="auto"/>
        <w:rPr>
          <w:rFonts w:ascii="Times New Roman" w:hAnsi="Times New Roman" w:cs="Times New Roman"/>
          <w:color w:val="000000" w:themeColor="text1"/>
        </w:rPr>
      </w:pPr>
      <w:r w:rsidRPr="00D3518F">
        <w:rPr>
          <w:rFonts w:ascii="Times New Roman" w:hAnsi="Times New Roman" w:cs="Times New Roman"/>
          <w:b/>
          <w:bCs/>
          <w:color w:val="000000" w:themeColor="text1"/>
        </w:rPr>
        <w:t xml:space="preserve">Title: </w:t>
      </w:r>
      <w:r w:rsidRPr="00D3518F">
        <w:rPr>
          <w:rStyle w:val="PageNumber"/>
          <w:rFonts w:ascii="Times New Roman" w:hAnsi="Times New Roman" w:cs="Times New Roman"/>
          <w:b/>
          <w:bCs/>
          <w:color w:val="000000" w:themeColor="text1"/>
        </w:rPr>
        <w:t>The effects of inducible defenses on population stability</w:t>
      </w:r>
      <w:r>
        <w:rPr>
          <w:rStyle w:val="PageNumber"/>
          <w:rFonts w:ascii="Times New Roman" w:hAnsi="Times New Roman" w:cs="Times New Roman"/>
          <w:b/>
          <w:bCs/>
          <w:color w:val="000000" w:themeColor="text1"/>
        </w:rPr>
        <w:t xml:space="preserve"> and persistence</w:t>
      </w:r>
      <w:r w:rsidRPr="00D3518F">
        <w:rPr>
          <w:rStyle w:val="PageNumber"/>
          <w:rFonts w:ascii="Times New Roman" w:hAnsi="Times New Roman" w:cs="Times New Roman"/>
          <w:b/>
          <w:bCs/>
          <w:color w:val="000000" w:themeColor="text1"/>
        </w:rPr>
        <w:t xml:space="preserve"> in </w:t>
      </w:r>
      <w:r w:rsidRPr="00D3518F">
        <w:rPr>
          <w:rStyle w:val="None"/>
          <w:rFonts w:ascii="Times New Roman" w:hAnsi="Times New Roman" w:cs="Times New Roman"/>
          <w:b/>
          <w:bCs/>
          <w:color w:val="000000" w:themeColor="text1"/>
        </w:rPr>
        <w:t>Paramecium aurelia</w:t>
      </w:r>
    </w:p>
    <w:p w14:paraId="1A1E3D9D" w14:textId="77777777" w:rsidR="00502562" w:rsidRPr="00D3518F" w:rsidRDefault="00502562" w:rsidP="00502562">
      <w:pPr>
        <w:spacing w:line="480" w:lineRule="auto"/>
        <w:rPr>
          <w:rFonts w:ascii="Times New Roman" w:hAnsi="Times New Roman" w:cs="Times New Roman"/>
          <w:b/>
          <w:bCs/>
          <w:color w:val="000000" w:themeColor="text1"/>
        </w:rPr>
      </w:pPr>
    </w:p>
    <w:p w14:paraId="152E5E45" w14:textId="77777777" w:rsidR="00502562" w:rsidRPr="00D3518F" w:rsidRDefault="00502562" w:rsidP="00502562">
      <w:pPr>
        <w:spacing w:line="480" w:lineRule="auto"/>
        <w:rPr>
          <w:rFonts w:ascii="Times New Roman" w:hAnsi="Times New Roman" w:cs="Times New Roman"/>
          <w:b/>
          <w:bCs/>
          <w:color w:val="000000" w:themeColor="text1"/>
        </w:rPr>
      </w:pPr>
      <w:r w:rsidRPr="00D3518F">
        <w:rPr>
          <w:rFonts w:ascii="Times New Roman" w:hAnsi="Times New Roman" w:cs="Times New Roman"/>
          <w:b/>
          <w:bCs/>
          <w:color w:val="000000" w:themeColor="text1"/>
        </w:rPr>
        <w:t xml:space="preserve">Authors: </w:t>
      </w:r>
      <w:r w:rsidRPr="00D3518F">
        <w:rPr>
          <w:rFonts w:ascii="Times New Roman" w:hAnsi="Times New Roman" w:cs="Times New Roman"/>
          <w:color w:val="000000" w:themeColor="text1"/>
        </w:rPr>
        <w:t>Catherine M. McClure</w:t>
      </w:r>
      <w:r w:rsidRPr="00D3518F">
        <w:rPr>
          <w:rFonts w:ascii="Times New Roman" w:hAnsi="Times New Roman" w:cs="Times New Roman"/>
          <w:color w:val="000000" w:themeColor="text1"/>
          <w:vertAlign w:val="superscript"/>
        </w:rPr>
        <w:t>1</w:t>
      </w:r>
      <w:r w:rsidRPr="00D3518F">
        <w:rPr>
          <w:rFonts w:ascii="Times New Roman" w:hAnsi="Times New Roman" w:cs="Times New Roman"/>
          <w:color w:val="000000" w:themeColor="text1"/>
        </w:rPr>
        <w:t>, Kayla Hancey</w:t>
      </w:r>
      <w:r w:rsidRPr="00D3518F">
        <w:rPr>
          <w:rFonts w:ascii="Times New Roman" w:hAnsi="Times New Roman" w:cs="Times New Roman"/>
          <w:color w:val="000000" w:themeColor="text1"/>
          <w:vertAlign w:val="superscript"/>
        </w:rPr>
        <w:t>1</w:t>
      </w:r>
      <w:r w:rsidRPr="00D3518F">
        <w:rPr>
          <w:rFonts w:ascii="Times New Roman" w:hAnsi="Times New Roman" w:cs="Times New Roman"/>
          <w:color w:val="000000" w:themeColor="text1"/>
        </w:rPr>
        <w:t xml:space="preserve">, </w:t>
      </w:r>
      <w:proofErr w:type="spellStart"/>
      <w:r w:rsidRPr="00D3518F">
        <w:rPr>
          <w:rFonts w:ascii="Times New Roman" w:hAnsi="Times New Roman" w:cs="Times New Roman"/>
          <w:color w:val="000000" w:themeColor="text1"/>
        </w:rPr>
        <w:t>Edd</w:t>
      </w:r>
      <w:proofErr w:type="spellEnd"/>
      <w:r w:rsidRPr="00D3518F">
        <w:rPr>
          <w:rFonts w:ascii="Times New Roman" w:hAnsi="Times New Roman" w:cs="Times New Roman"/>
          <w:color w:val="000000" w:themeColor="text1"/>
        </w:rPr>
        <w:t xml:space="preserve"> Hammill</w:t>
      </w:r>
      <w:r w:rsidRPr="00D3518F">
        <w:rPr>
          <w:rStyle w:val="FootnoteReference"/>
          <w:rFonts w:ascii="Times New Roman" w:hAnsi="Times New Roman" w:cs="Times New Roman"/>
          <w:color w:val="000000" w:themeColor="text1"/>
        </w:rPr>
        <w:footnoteReference w:id="1"/>
      </w:r>
    </w:p>
    <w:p w14:paraId="2EE33351" w14:textId="77777777" w:rsidR="00502562" w:rsidRPr="00D3518F" w:rsidRDefault="00502562" w:rsidP="00502562">
      <w:pPr>
        <w:spacing w:line="480" w:lineRule="auto"/>
        <w:rPr>
          <w:rFonts w:ascii="Times New Roman" w:hAnsi="Times New Roman" w:cs="Times New Roman"/>
          <w:b/>
          <w:bCs/>
          <w:color w:val="000000" w:themeColor="text1"/>
        </w:rPr>
      </w:pPr>
    </w:p>
    <w:p w14:paraId="5D347162" w14:textId="77777777" w:rsidR="00502562" w:rsidRPr="00D3518F" w:rsidRDefault="00502562" w:rsidP="00502562">
      <w:pPr>
        <w:spacing w:line="480" w:lineRule="auto"/>
        <w:rPr>
          <w:rFonts w:ascii="Times New Roman" w:hAnsi="Times New Roman" w:cs="Times New Roman"/>
          <w:b/>
          <w:bCs/>
          <w:color w:val="000000" w:themeColor="text1"/>
        </w:rPr>
      </w:pPr>
      <w:r w:rsidRPr="00D3518F">
        <w:rPr>
          <w:rFonts w:ascii="Times New Roman" w:hAnsi="Times New Roman" w:cs="Times New Roman"/>
          <w:b/>
          <w:bCs/>
          <w:color w:val="000000" w:themeColor="text1"/>
          <w:vertAlign w:val="superscript"/>
        </w:rPr>
        <w:t>1</w:t>
      </w:r>
      <w:r w:rsidRPr="00D3518F">
        <w:rPr>
          <w:rFonts w:ascii="Times New Roman" w:hAnsi="Times New Roman" w:cs="Times New Roman"/>
          <w:b/>
          <w:bCs/>
          <w:color w:val="000000" w:themeColor="text1"/>
        </w:rPr>
        <w:t xml:space="preserve"> </w:t>
      </w:r>
      <w:r w:rsidRPr="00D3518F">
        <w:rPr>
          <w:rFonts w:ascii="Times New Roman" w:hAnsi="Times New Roman" w:cs="Times New Roman"/>
          <w:color w:val="000000" w:themeColor="text1"/>
        </w:rPr>
        <w:t xml:space="preserve">Department of Watershed Sciences and the Ecology Center, Utah State University, Logan, Utah 84341 USA </w:t>
      </w:r>
      <w:hyperlink r:id="rId6" w:history="1">
        <w:r w:rsidRPr="00D3518F">
          <w:rPr>
            <w:rStyle w:val="Hyperlink"/>
            <w:rFonts w:ascii="Times New Roman" w:hAnsi="Times New Roman" w:cs="Times New Roman"/>
            <w:color w:val="000000" w:themeColor="text1"/>
          </w:rPr>
          <w:t>cat.mcclure@usu.edu</w:t>
        </w:r>
      </w:hyperlink>
      <w:r w:rsidRPr="00D3518F">
        <w:rPr>
          <w:rFonts w:ascii="Times New Roman" w:hAnsi="Times New Roman" w:cs="Times New Roman"/>
          <w:color w:val="000000" w:themeColor="text1"/>
        </w:rPr>
        <w:t xml:space="preserve">; A00816865@aggies.usu.edu; </w:t>
      </w:r>
      <w:hyperlink r:id="rId7" w:history="1">
        <w:r w:rsidRPr="00D3518F">
          <w:rPr>
            <w:rStyle w:val="Hyperlink"/>
            <w:rFonts w:ascii="Times New Roman" w:hAnsi="Times New Roman" w:cs="Times New Roman"/>
            <w:color w:val="000000" w:themeColor="text1"/>
          </w:rPr>
          <w:t>edd.hammill@usu.edu</w:t>
        </w:r>
      </w:hyperlink>
      <w:r w:rsidRPr="00D3518F">
        <w:rPr>
          <w:rFonts w:ascii="Times New Roman" w:hAnsi="Times New Roman" w:cs="Times New Roman"/>
          <w:color w:val="000000" w:themeColor="text1"/>
        </w:rPr>
        <w:t xml:space="preserve"> </w:t>
      </w:r>
    </w:p>
    <w:p w14:paraId="3FEE96F7" w14:textId="77777777" w:rsidR="00502562" w:rsidRPr="00D3518F" w:rsidRDefault="00502562" w:rsidP="00502562">
      <w:pPr>
        <w:spacing w:line="480" w:lineRule="auto"/>
        <w:rPr>
          <w:rFonts w:ascii="Times New Roman" w:hAnsi="Times New Roman" w:cs="Times New Roman"/>
          <w:b/>
          <w:bCs/>
          <w:color w:val="000000" w:themeColor="text1"/>
        </w:rPr>
      </w:pPr>
      <w:r w:rsidRPr="00D3518F">
        <w:rPr>
          <w:rFonts w:ascii="Times New Roman" w:hAnsi="Times New Roman" w:cs="Times New Roman"/>
          <w:b/>
          <w:bCs/>
          <w:color w:val="000000" w:themeColor="text1"/>
        </w:rPr>
        <w:br w:type="page"/>
      </w:r>
    </w:p>
    <w:p w14:paraId="393EA8FD" w14:textId="77777777" w:rsidR="00502562" w:rsidRDefault="00502562" w:rsidP="00502562">
      <w:pPr>
        <w:keepNext/>
      </w:pPr>
      <w:r>
        <w:rPr>
          <w:noProof/>
        </w:rPr>
        <w:lastRenderedPageBreak/>
        <w:drawing>
          <wp:inline distT="0" distB="0" distL="0" distR="0" wp14:anchorId="6614A076" wp14:editId="30C07950">
            <wp:extent cx="5943600" cy="4457700"/>
            <wp:effectExtent l="0" t="0" r="0" b="0"/>
            <wp:docPr id="139321775" name="Picture 1" descr="A graph showing a number of day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21775" name="Picture 1" descr="A graph showing a number of day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BD85AA8" w14:textId="10ED1447" w:rsidR="00502562" w:rsidRDefault="00502562" w:rsidP="00502562">
      <w:pPr>
        <w:rPr>
          <w:rFonts w:ascii="Times New Roman" w:hAnsi="Times New Roman" w:cs="Times New Roman"/>
          <w:color w:val="000000" w:themeColor="text1"/>
        </w:rPr>
      </w:pPr>
      <w:r w:rsidRPr="00502562">
        <w:rPr>
          <w:rFonts w:ascii="Times New Roman" w:hAnsi="Times New Roman" w:cs="Times New Roman"/>
          <w:color w:val="000000" w:themeColor="text1"/>
        </w:rPr>
        <w:t>Figure S</w:t>
      </w:r>
      <w:r w:rsidRPr="00502562">
        <w:rPr>
          <w:rFonts w:ascii="Times New Roman" w:hAnsi="Times New Roman" w:cs="Times New Roman"/>
          <w:color w:val="000000" w:themeColor="text1"/>
        </w:rPr>
        <w:fldChar w:fldCharType="begin"/>
      </w:r>
      <w:r w:rsidRPr="00502562">
        <w:rPr>
          <w:rFonts w:ascii="Times New Roman" w:hAnsi="Times New Roman" w:cs="Times New Roman"/>
          <w:color w:val="000000" w:themeColor="text1"/>
        </w:rPr>
        <w:instrText xml:space="preserve"> SEQ Figure \* ARABIC </w:instrText>
      </w:r>
      <w:r w:rsidRPr="00502562">
        <w:rPr>
          <w:rFonts w:ascii="Times New Roman" w:hAnsi="Times New Roman" w:cs="Times New Roman"/>
          <w:color w:val="000000" w:themeColor="text1"/>
        </w:rPr>
        <w:fldChar w:fldCharType="separate"/>
      </w:r>
      <w:r w:rsidR="00421D80">
        <w:rPr>
          <w:rFonts w:ascii="Times New Roman" w:hAnsi="Times New Roman" w:cs="Times New Roman"/>
          <w:noProof/>
          <w:color w:val="000000" w:themeColor="text1"/>
        </w:rPr>
        <w:t>1</w:t>
      </w:r>
      <w:r w:rsidRPr="00502562">
        <w:rPr>
          <w:rFonts w:ascii="Times New Roman" w:hAnsi="Times New Roman" w:cs="Times New Roman"/>
          <w:color w:val="000000" w:themeColor="text1"/>
        </w:rPr>
        <w:fldChar w:fldCharType="end"/>
      </w:r>
      <w:r w:rsidRPr="00502562">
        <w:rPr>
          <w:rFonts w:ascii="Times New Roman" w:hAnsi="Times New Roman" w:cs="Times New Roman"/>
          <w:color w:val="000000" w:themeColor="text1"/>
        </w:rPr>
        <w:t>.</w:t>
      </w:r>
      <w:r>
        <w:rPr>
          <w:rFonts w:ascii="Times New Roman" w:hAnsi="Times New Roman" w:cs="Times New Roman"/>
          <w:i/>
          <w:iCs/>
          <w:color w:val="000000" w:themeColor="text1"/>
        </w:rPr>
        <w:t xml:space="preserve"> </w:t>
      </w:r>
      <w:r w:rsidRPr="00D3518F">
        <w:rPr>
          <w:rFonts w:ascii="Times New Roman" w:hAnsi="Times New Roman" w:cs="Times New Roman"/>
          <w:color w:val="000000" w:themeColor="text1"/>
        </w:rPr>
        <w:t xml:space="preserve">Survival probability curves for three genetically distinct </w:t>
      </w:r>
      <w:proofErr w:type="spellStart"/>
      <w:proofErr w:type="gramStart"/>
      <w:r w:rsidRPr="00D3518F">
        <w:rPr>
          <w:rFonts w:ascii="Times New Roman" w:hAnsi="Times New Roman" w:cs="Times New Roman"/>
          <w:i/>
          <w:iCs/>
          <w:color w:val="000000" w:themeColor="text1"/>
        </w:rPr>
        <w:t>P.aurelia</w:t>
      </w:r>
      <w:proofErr w:type="spellEnd"/>
      <w:proofErr w:type="gramEnd"/>
      <w:r w:rsidRPr="00D3518F">
        <w:rPr>
          <w:rFonts w:ascii="Times New Roman" w:hAnsi="Times New Roman" w:cs="Times New Roman"/>
          <w:color w:val="000000" w:themeColor="text1"/>
        </w:rPr>
        <w:t xml:space="preserve"> populations over a 40-day experimental period. The AUR population displays an inducible defense mechanism (i.e., grows wider in response to predation threat). The EV2 population does not display an inducible defense (i.e., does not grow wider in response to predation threat). The FD4 population remains in a permanently defended state (i.e., remains in a wider state regardless of predation threat). Shaded areas represent the 95% confidence interval. </w:t>
      </w:r>
    </w:p>
    <w:p w14:paraId="7BFA7E83" w14:textId="77777777" w:rsidR="00502562" w:rsidRDefault="00502562" w:rsidP="00502562">
      <w:pPr>
        <w:rPr>
          <w:rFonts w:ascii="Times New Roman" w:hAnsi="Times New Roman" w:cs="Times New Roman"/>
          <w:color w:val="000000" w:themeColor="text1"/>
        </w:rPr>
      </w:pPr>
    </w:p>
    <w:p w14:paraId="1379CCB5" w14:textId="42AEF8BF" w:rsidR="00502562" w:rsidRDefault="00502562">
      <w:pPr>
        <w:rPr>
          <w:rFonts w:ascii="Times New Roman" w:hAnsi="Times New Roman" w:cs="Times New Roman"/>
          <w:color w:val="000000" w:themeColor="text1"/>
        </w:rPr>
      </w:pPr>
      <w:r>
        <w:rPr>
          <w:rFonts w:ascii="Times New Roman" w:hAnsi="Times New Roman" w:cs="Times New Roman"/>
          <w:color w:val="000000" w:themeColor="text1"/>
        </w:rPr>
        <w:br w:type="page"/>
      </w:r>
    </w:p>
    <w:p w14:paraId="732DBE40" w14:textId="77777777" w:rsidR="00421D80" w:rsidRDefault="00421D80" w:rsidP="00421D80">
      <w:pPr>
        <w:keepNext/>
      </w:pPr>
      <w:r>
        <w:rPr>
          <w:rFonts w:ascii="Times New Roman" w:hAnsi="Times New Roman" w:cs="Times New Roman"/>
          <w:noProof/>
          <w:color w:val="000000" w:themeColor="text1"/>
        </w:rPr>
        <w:lastRenderedPageBreak/>
        <w:drawing>
          <wp:inline distT="0" distB="0" distL="0" distR="0" wp14:anchorId="52F71AB2" wp14:editId="7C22634F">
            <wp:extent cx="5486400" cy="8229600"/>
            <wp:effectExtent l="0" t="0" r="0" b="0"/>
            <wp:docPr id="1626874679" name="Picture 2" descr="A graph showing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874679" name="Picture 2" descr="A graph showing different colored square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8229600"/>
                    </a:xfrm>
                    <a:prstGeom prst="rect">
                      <a:avLst/>
                    </a:prstGeom>
                  </pic:spPr>
                </pic:pic>
              </a:graphicData>
            </a:graphic>
          </wp:inline>
        </w:drawing>
      </w:r>
    </w:p>
    <w:p w14:paraId="64570743" w14:textId="6B1E1542" w:rsidR="00421D80" w:rsidRPr="00D3518F" w:rsidRDefault="00421D80" w:rsidP="00421D80">
      <w:pPr>
        <w:rPr>
          <w:rFonts w:ascii="Times New Roman" w:hAnsi="Times New Roman" w:cs="Times New Roman"/>
          <w:color w:val="000000" w:themeColor="text1"/>
        </w:rPr>
      </w:pPr>
      <w:r w:rsidRPr="00421D80">
        <w:rPr>
          <w:rFonts w:ascii="Times New Roman" w:hAnsi="Times New Roman" w:cs="Times New Roman"/>
          <w:color w:val="000000" w:themeColor="text1"/>
        </w:rPr>
        <w:lastRenderedPageBreak/>
        <w:t>Figure S</w:t>
      </w:r>
      <w:r w:rsidRPr="00421D80">
        <w:rPr>
          <w:rFonts w:ascii="Times New Roman" w:hAnsi="Times New Roman" w:cs="Times New Roman"/>
          <w:color w:val="000000" w:themeColor="text1"/>
        </w:rPr>
        <w:fldChar w:fldCharType="begin"/>
      </w:r>
      <w:r w:rsidRPr="00421D80">
        <w:rPr>
          <w:rFonts w:ascii="Times New Roman" w:hAnsi="Times New Roman" w:cs="Times New Roman"/>
          <w:color w:val="000000" w:themeColor="text1"/>
        </w:rPr>
        <w:instrText xml:space="preserve"> SEQ Figure \* ARABIC </w:instrText>
      </w:r>
      <w:r w:rsidRPr="00421D80">
        <w:rPr>
          <w:rFonts w:ascii="Times New Roman" w:hAnsi="Times New Roman" w:cs="Times New Roman"/>
          <w:color w:val="000000" w:themeColor="text1"/>
        </w:rPr>
        <w:fldChar w:fldCharType="separate"/>
      </w:r>
      <w:r w:rsidRPr="00421D80">
        <w:rPr>
          <w:rFonts w:ascii="Times New Roman" w:hAnsi="Times New Roman" w:cs="Times New Roman"/>
          <w:noProof/>
          <w:color w:val="000000" w:themeColor="text1"/>
        </w:rPr>
        <w:t>2</w:t>
      </w:r>
      <w:r w:rsidRPr="00421D80">
        <w:rPr>
          <w:rFonts w:ascii="Times New Roman" w:hAnsi="Times New Roman" w:cs="Times New Roman"/>
          <w:color w:val="000000" w:themeColor="text1"/>
        </w:rPr>
        <w:fldChar w:fldCharType="end"/>
      </w:r>
      <w:r w:rsidRPr="00421D80">
        <w:rPr>
          <w:rFonts w:ascii="Times New Roman" w:hAnsi="Times New Roman" w:cs="Times New Roman"/>
          <w:i/>
          <w:iCs/>
          <w:color w:val="000000" w:themeColor="text1"/>
        </w:rPr>
        <w:t>.</w:t>
      </w:r>
      <w:r>
        <w:rPr>
          <w:rFonts w:ascii="Times New Roman" w:hAnsi="Times New Roman" w:cs="Times New Roman"/>
          <w:i/>
          <w:iCs/>
          <w:color w:val="000000" w:themeColor="text1"/>
        </w:rPr>
        <w:t xml:space="preserve"> </w:t>
      </w:r>
      <w:r>
        <w:rPr>
          <w:rFonts w:ascii="Times New Roman" w:hAnsi="Times New Roman" w:cs="Times New Roman"/>
          <w:color w:val="000000" w:themeColor="text1"/>
        </w:rPr>
        <w:t>C</w:t>
      </w:r>
      <w:r w:rsidRPr="00D3518F">
        <w:rPr>
          <w:rFonts w:ascii="Times New Roman" w:hAnsi="Times New Roman" w:cs="Times New Roman"/>
          <w:color w:val="000000" w:themeColor="text1"/>
        </w:rPr>
        <w:t xml:space="preserve">hanges in a measure of population stability (i.e., coefficient of variation (%); ± SE) across an increasing nutrient concentration gradient for a population of </w:t>
      </w:r>
      <w:proofErr w:type="spellStart"/>
      <w:r w:rsidRPr="00D3518F">
        <w:rPr>
          <w:rFonts w:ascii="Times New Roman" w:hAnsi="Times New Roman" w:cs="Times New Roman"/>
          <w:i/>
          <w:iCs/>
          <w:color w:val="000000" w:themeColor="text1"/>
        </w:rPr>
        <w:t>P.aurelia</w:t>
      </w:r>
      <w:proofErr w:type="spellEnd"/>
      <w:r w:rsidRPr="00D3518F">
        <w:rPr>
          <w:rFonts w:ascii="Times New Roman" w:hAnsi="Times New Roman" w:cs="Times New Roman"/>
          <w:color w:val="000000" w:themeColor="text1"/>
        </w:rPr>
        <w:t xml:space="preserve"> that utilizes an inducible defense mechanism (i.e., grows wider in response to predation threat, AUR; Panel A), remains in a permanently defended state (i.e., remains in a wider state regardless of predation threat, FD4; Panel B), and does not utilize an inducible defense (i.e., does not grow wider in response to predation threat, EV2; Panel C). Population stability was measured over two separate time windows within a 40-day experimental period. Time step one included sampling days 9-18, and time step two included sampling days 21-30. The dashed line is included for comparison between clonal population estimates.</w:t>
      </w:r>
    </w:p>
    <w:p w14:paraId="4D898BAE" w14:textId="79BE934B" w:rsidR="00502562" w:rsidRPr="00421D80" w:rsidRDefault="00502562" w:rsidP="00421D80">
      <w:pPr>
        <w:pStyle w:val="Caption"/>
        <w:rPr>
          <w:rFonts w:ascii="Times New Roman" w:hAnsi="Times New Roman" w:cs="Times New Roman"/>
          <w:i w:val="0"/>
          <w:iCs w:val="0"/>
          <w:color w:val="000000" w:themeColor="text1"/>
          <w:sz w:val="24"/>
          <w:szCs w:val="24"/>
        </w:rPr>
      </w:pPr>
    </w:p>
    <w:p w14:paraId="11AAA918" w14:textId="461ACB4D" w:rsidR="00502562" w:rsidRPr="00502562" w:rsidRDefault="00502562" w:rsidP="00502562">
      <w:pPr>
        <w:pStyle w:val="Caption"/>
        <w:rPr>
          <w:rFonts w:ascii="Times New Roman" w:hAnsi="Times New Roman" w:cs="Times New Roman"/>
          <w:i w:val="0"/>
          <w:iCs w:val="0"/>
          <w:color w:val="000000" w:themeColor="text1"/>
          <w:sz w:val="24"/>
          <w:szCs w:val="24"/>
        </w:rPr>
      </w:pPr>
    </w:p>
    <w:sectPr w:rsidR="00502562" w:rsidRPr="0050256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18E25A" w14:textId="77777777" w:rsidR="006C3564" w:rsidRDefault="006C3564" w:rsidP="00502562">
      <w:r>
        <w:separator/>
      </w:r>
    </w:p>
  </w:endnote>
  <w:endnote w:type="continuationSeparator" w:id="0">
    <w:p w14:paraId="1FDD6BD8" w14:textId="77777777" w:rsidR="006C3564" w:rsidRDefault="006C3564" w:rsidP="00502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CF8B3" w14:textId="77777777" w:rsidR="006C3564" w:rsidRDefault="006C3564" w:rsidP="00502562">
      <w:r>
        <w:separator/>
      </w:r>
    </w:p>
  </w:footnote>
  <w:footnote w:type="continuationSeparator" w:id="0">
    <w:p w14:paraId="40528866" w14:textId="77777777" w:rsidR="006C3564" w:rsidRDefault="006C3564" w:rsidP="00502562">
      <w:r>
        <w:continuationSeparator/>
      </w:r>
    </w:p>
  </w:footnote>
  <w:footnote w:id="1">
    <w:p w14:paraId="3F225DD1" w14:textId="77777777" w:rsidR="00502562" w:rsidRDefault="00502562" w:rsidP="00502562">
      <w:pPr>
        <w:rPr>
          <w:rFonts w:ascii="Times New Roman" w:hAnsi="Times New Roman" w:cs="Times New Roman"/>
          <w:color w:val="000000" w:themeColor="text1"/>
        </w:rPr>
      </w:pPr>
      <w:r>
        <w:rPr>
          <w:rStyle w:val="FootnoteReference"/>
        </w:rPr>
        <w:footnoteRef/>
      </w:r>
      <w:r>
        <w:t xml:space="preserve"> </w:t>
      </w:r>
      <w:r>
        <w:rPr>
          <w:rFonts w:ascii="Times New Roman" w:hAnsi="Times New Roman" w:cs="Times New Roman"/>
          <w:color w:val="000000" w:themeColor="text1"/>
        </w:rPr>
        <w:t xml:space="preserve">CM and EH conceived and formulated the idea. CM, EH, and KH developed the methodology. CM and KH performed the experiment and collected the data. CM and EH analyzed the data. CM and EH wrote the original draft of the manuscript. CM, EH, and KH edited and reviewed the manuscript. EH provided the funding and resources for the project. </w:t>
      </w:r>
    </w:p>
    <w:p w14:paraId="2475FDD5" w14:textId="77777777" w:rsidR="00502562" w:rsidRDefault="00502562" w:rsidP="00502562">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562"/>
    <w:rsid w:val="00421D80"/>
    <w:rsid w:val="00431119"/>
    <w:rsid w:val="00482FB0"/>
    <w:rsid w:val="00502562"/>
    <w:rsid w:val="006C3564"/>
    <w:rsid w:val="008F0F94"/>
    <w:rsid w:val="00CA407B"/>
    <w:rsid w:val="00CA791F"/>
    <w:rsid w:val="00D12320"/>
    <w:rsid w:val="00E57E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9FA364"/>
  <w15:chartTrackingRefBased/>
  <w15:docId w15:val="{1B8D90F3-C80D-D240-B679-50008AA24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25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25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25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25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25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25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5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5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5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5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25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25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25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25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25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5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5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562"/>
    <w:rPr>
      <w:rFonts w:eastAsiaTheme="majorEastAsia" w:cstheme="majorBidi"/>
      <w:color w:val="272727" w:themeColor="text1" w:themeTint="D8"/>
    </w:rPr>
  </w:style>
  <w:style w:type="paragraph" w:styleId="Title">
    <w:name w:val="Title"/>
    <w:basedOn w:val="Normal"/>
    <w:next w:val="Normal"/>
    <w:link w:val="TitleChar"/>
    <w:uiPriority w:val="10"/>
    <w:qFormat/>
    <w:rsid w:val="005025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5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56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5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56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02562"/>
    <w:rPr>
      <w:i/>
      <w:iCs/>
      <w:color w:val="404040" w:themeColor="text1" w:themeTint="BF"/>
    </w:rPr>
  </w:style>
  <w:style w:type="paragraph" w:styleId="ListParagraph">
    <w:name w:val="List Paragraph"/>
    <w:basedOn w:val="Normal"/>
    <w:uiPriority w:val="34"/>
    <w:qFormat/>
    <w:rsid w:val="00502562"/>
    <w:pPr>
      <w:ind w:left="720"/>
      <w:contextualSpacing/>
    </w:pPr>
  </w:style>
  <w:style w:type="character" w:styleId="IntenseEmphasis">
    <w:name w:val="Intense Emphasis"/>
    <w:basedOn w:val="DefaultParagraphFont"/>
    <w:uiPriority w:val="21"/>
    <w:qFormat/>
    <w:rsid w:val="00502562"/>
    <w:rPr>
      <w:i/>
      <w:iCs/>
      <w:color w:val="0F4761" w:themeColor="accent1" w:themeShade="BF"/>
    </w:rPr>
  </w:style>
  <w:style w:type="paragraph" w:styleId="IntenseQuote">
    <w:name w:val="Intense Quote"/>
    <w:basedOn w:val="Normal"/>
    <w:next w:val="Normal"/>
    <w:link w:val="IntenseQuoteChar"/>
    <w:uiPriority w:val="30"/>
    <w:qFormat/>
    <w:rsid w:val="005025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2562"/>
    <w:rPr>
      <w:i/>
      <w:iCs/>
      <w:color w:val="0F4761" w:themeColor="accent1" w:themeShade="BF"/>
    </w:rPr>
  </w:style>
  <w:style w:type="character" w:styleId="IntenseReference">
    <w:name w:val="Intense Reference"/>
    <w:basedOn w:val="DefaultParagraphFont"/>
    <w:uiPriority w:val="32"/>
    <w:qFormat/>
    <w:rsid w:val="00502562"/>
    <w:rPr>
      <w:b/>
      <w:bCs/>
      <w:smallCaps/>
      <w:color w:val="0F4761" w:themeColor="accent1" w:themeShade="BF"/>
      <w:spacing w:val="5"/>
    </w:rPr>
  </w:style>
  <w:style w:type="character" w:styleId="PageNumber">
    <w:name w:val="page number"/>
    <w:rsid w:val="00502562"/>
  </w:style>
  <w:style w:type="character" w:styleId="Hyperlink">
    <w:name w:val="Hyperlink"/>
    <w:basedOn w:val="DefaultParagraphFont"/>
    <w:uiPriority w:val="99"/>
    <w:unhideWhenUsed/>
    <w:rsid w:val="00502562"/>
    <w:rPr>
      <w:color w:val="467886" w:themeColor="hyperlink"/>
      <w:u w:val="single"/>
    </w:rPr>
  </w:style>
  <w:style w:type="character" w:customStyle="1" w:styleId="None">
    <w:name w:val="None"/>
    <w:rsid w:val="00502562"/>
  </w:style>
  <w:style w:type="paragraph" w:styleId="FootnoteText">
    <w:name w:val="footnote text"/>
    <w:basedOn w:val="Normal"/>
    <w:link w:val="FootnoteTextChar"/>
    <w:uiPriority w:val="99"/>
    <w:semiHidden/>
    <w:unhideWhenUsed/>
    <w:rsid w:val="00502562"/>
    <w:rPr>
      <w:kern w:val="0"/>
      <w:sz w:val="20"/>
      <w:szCs w:val="20"/>
      <w14:ligatures w14:val="none"/>
    </w:rPr>
  </w:style>
  <w:style w:type="character" w:customStyle="1" w:styleId="FootnoteTextChar">
    <w:name w:val="Footnote Text Char"/>
    <w:basedOn w:val="DefaultParagraphFont"/>
    <w:link w:val="FootnoteText"/>
    <w:uiPriority w:val="99"/>
    <w:semiHidden/>
    <w:rsid w:val="00502562"/>
    <w:rPr>
      <w:kern w:val="0"/>
      <w:sz w:val="20"/>
      <w:szCs w:val="20"/>
      <w14:ligatures w14:val="none"/>
    </w:rPr>
  </w:style>
  <w:style w:type="character" w:styleId="FootnoteReference">
    <w:name w:val="footnote reference"/>
    <w:basedOn w:val="DefaultParagraphFont"/>
    <w:uiPriority w:val="99"/>
    <w:semiHidden/>
    <w:unhideWhenUsed/>
    <w:rsid w:val="00502562"/>
    <w:rPr>
      <w:vertAlign w:val="superscript"/>
    </w:rPr>
  </w:style>
  <w:style w:type="paragraph" w:styleId="Caption">
    <w:name w:val="caption"/>
    <w:basedOn w:val="Normal"/>
    <w:next w:val="Normal"/>
    <w:uiPriority w:val="35"/>
    <w:unhideWhenUsed/>
    <w:qFormat/>
    <w:rsid w:val="00502562"/>
    <w:pPr>
      <w:spacing w:after="200"/>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mailto:edd.hammill@usu.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at.mcclure@usu.edu"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276</Words>
  <Characters>1574</Characters>
  <Application>Microsoft Office Word</Application>
  <DocSecurity>0</DocSecurity>
  <Lines>13</Lines>
  <Paragraphs>3</Paragraphs>
  <ScaleCrop>false</ScaleCrop>
  <Company>Utah State University</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 McClure</dc:creator>
  <cp:keywords/>
  <dc:description/>
  <cp:lastModifiedBy>Cat McClure</cp:lastModifiedBy>
  <cp:revision>3</cp:revision>
  <dcterms:created xsi:type="dcterms:W3CDTF">2024-02-14T17:16:00Z</dcterms:created>
  <dcterms:modified xsi:type="dcterms:W3CDTF">2024-02-14T17:43:00Z</dcterms:modified>
</cp:coreProperties>
</file>