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5900E" w14:textId="56F3E70B" w:rsidR="005A0D2E" w:rsidRPr="006D5520" w:rsidRDefault="005A0D2E" w:rsidP="00FF6FA0">
      <w:pPr>
        <w:widowControl/>
        <w:spacing w:line="360" w:lineRule="auto"/>
        <w:jc w:val="center"/>
        <w:rPr>
          <w:rFonts w:ascii="Source Sans Pro" w:eastAsia="宋体" w:hAnsi="Source Sans Pro" w:cs="Calibri"/>
          <w:b/>
          <w:bCs/>
          <w:sz w:val="28"/>
          <w:szCs w:val="28"/>
        </w:rPr>
      </w:pPr>
      <w:r w:rsidRPr="006D5520">
        <w:rPr>
          <w:rFonts w:ascii="Source Sans Pro" w:eastAsia="宋体" w:hAnsi="Source Sans Pro" w:cs="Calibri"/>
          <w:b/>
          <w:bCs/>
          <w:sz w:val="28"/>
          <w:szCs w:val="28"/>
        </w:rPr>
        <w:t>Supplementary Materials</w:t>
      </w:r>
    </w:p>
    <w:p w14:paraId="46F75E2C" w14:textId="77777777" w:rsidR="00FF6FA0" w:rsidRDefault="00FF6FA0" w:rsidP="00AB5619">
      <w:pPr>
        <w:widowControl/>
        <w:spacing w:line="360" w:lineRule="auto"/>
        <w:jc w:val="left"/>
        <w:rPr>
          <w:rFonts w:ascii="Source Sans Pro" w:eastAsia="宋体" w:hAnsi="Source Sans Pro" w:cs="Calibri"/>
          <w:b/>
          <w:bCs/>
          <w:sz w:val="22"/>
        </w:rPr>
      </w:pPr>
    </w:p>
    <w:p w14:paraId="50536019" w14:textId="0E311B64" w:rsidR="005C1729" w:rsidRPr="00DA16F0" w:rsidRDefault="005C1729" w:rsidP="005C1729">
      <w:pPr>
        <w:widowControl/>
        <w:spacing w:line="360" w:lineRule="auto"/>
        <w:jc w:val="left"/>
        <w:rPr>
          <w:rFonts w:ascii="Source Sans Pro" w:eastAsia="宋体" w:hAnsi="Source Sans Pro" w:cs="Calibri"/>
          <w:b/>
          <w:bCs/>
          <w:kern w:val="0"/>
          <w:sz w:val="22"/>
        </w:rPr>
      </w:pPr>
      <w:r w:rsidRPr="00DA16F0">
        <w:rPr>
          <w:rFonts w:ascii="Source Sans Pro" w:eastAsia="宋体" w:hAnsi="Source Sans Pro" w:cs="Calibri"/>
          <w:b/>
          <w:bCs/>
          <w:kern w:val="0"/>
          <w:sz w:val="22"/>
        </w:rPr>
        <w:t>MRI acquisition parameters</w:t>
      </w:r>
      <w:r w:rsidR="00CC3FB4" w:rsidRPr="00DA16F0">
        <w:rPr>
          <w:rFonts w:ascii="Source Sans Pro" w:eastAsia="宋体" w:hAnsi="Source Sans Pro" w:cs="Calibri"/>
          <w:b/>
          <w:bCs/>
          <w:kern w:val="0"/>
          <w:sz w:val="22"/>
        </w:rPr>
        <w:t xml:space="preserve"> and image</w:t>
      </w:r>
      <w:r w:rsidR="00421C98" w:rsidRPr="00DA16F0">
        <w:rPr>
          <w:rFonts w:ascii="Source Sans Pro" w:eastAsia="宋体" w:hAnsi="Source Sans Pro" w:cs="Calibri"/>
          <w:b/>
          <w:bCs/>
          <w:kern w:val="0"/>
          <w:sz w:val="22"/>
        </w:rPr>
        <w:t xml:space="preserve"> </w:t>
      </w:r>
      <w:r w:rsidR="00CC3FB4" w:rsidRPr="00DA16F0">
        <w:rPr>
          <w:rFonts w:ascii="Source Sans Pro" w:eastAsia="宋体" w:hAnsi="Source Sans Pro" w:cs="Calibri"/>
          <w:b/>
          <w:bCs/>
          <w:kern w:val="0"/>
          <w:sz w:val="22"/>
        </w:rPr>
        <w:t>preprocessing</w:t>
      </w:r>
    </w:p>
    <w:p w14:paraId="01DD4964" w14:textId="406F1732" w:rsidR="00223B6D" w:rsidRPr="00392614" w:rsidRDefault="00106970" w:rsidP="00AB5619">
      <w:pPr>
        <w:widowControl/>
        <w:spacing w:line="360" w:lineRule="auto"/>
        <w:jc w:val="left"/>
        <w:rPr>
          <w:rFonts w:ascii="Source Sans Pro" w:eastAsia="宋体" w:hAnsi="Source Sans Pro" w:cs="Calibri"/>
          <w:kern w:val="0"/>
          <w:sz w:val="22"/>
        </w:rPr>
      </w:pPr>
      <w:r w:rsidRPr="00392614">
        <w:rPr>
          <w:rFonts w:ascii="Source Sans Pro" w:eastAsia="宋体" w:hAnsi="Source Sans Pro" w:cs="Calibri"/>
          <w:kern w:val="0"/>
          <w:sz w:val="22"/>
        </w:rPr>
        <w:t>All MR</w:t>
      </w:r>
      <w:r w:rsidR="00F748D8" w:rsidRPr="00392614">
        <w:rPr>
          <w:rFonts w:ascii="Source Sans Pro" w:eastAsia="宋体" w:hAnsi="Source Sans Pro" w:cs="Calibri"/>
          <w:kern w:val="0"/>
          <w:sz w:val="22"/>
        </w:rPr>
        <w:t>I</w:t>
      </w:r>
      <w:r w:rsidRPr="00392614">
        <w:rPr>
          <w:rFonts w:ascii="Source Sans Pro" w:eastAsia="宋体" w:hAnsi="Source Sans Pro" w:cs="Calibri"/>
          <w:kern w:val="0"/>
          <w:sz w:val="22"/>
        </w:rPr>
        <w:t xml:space="preserve"> images of </w:t>
      </w:r>
      <w:r w:rsidR="00C43820" w:rsidRPr="00392614">
        <w:rPr>
          <w:rFonts w:ascii="Source Sans Pro" w:eastAsia="宋体" w:hAnsi="Source Sans Pro" w:cs="Calibri"/>
          <w:kern w:val="0"/>
          <w:sz w:val="22"/>
        </w:rPr>
        <w:t xml:space="preserve">the </w:t>
      </w:r>
      <w:r w:rsidR="00162596" w:rsidRPr="00392614">
        <w:rPr>
          <w:rFonts w:ascii="Source Sans Pro" w:eastAsia="宋体" w:hAnsi="Source Sans Pro" w:cs="Calibri"/>
          <w:kern w:val="0"/>
          <w:sz w:val="22"/>
        </w:rPr>
        <w:t xml:space="preserve">FAHZU </w:t>
      </w:r>
      <w:r w:rsidR="00F748D8" w:rsidRPr="00392614">
        <w:rPr>
          <w:rFonts w:ascii="Source Sans Pro" w:eastAsia="宋体" w:hAnsi="Source Sans Pro" w:cs="Calibri" w:hint="eastAsia"/>
          <w:kern w:val="0"/>
          <w:sz w:val="22"/>
        </w:rPr>
        <w:t>da</w:t>
      </w:r>
      <w:r w:rsidR="00F748D8" w:rsidRPr="00392614">
        <w:rPr>
          <w:rFonts w:ascii="Source Sans Pro" w:eastAsia="宋体" w:hAnsi="Source Sans Pro" w:cs="Calibri"/>
          <w:kern w:val="0"/>
          <w:sz w:val="22"/>
        </w:rPr>
        <w:t xml:space="preserve">taset </w:t>
      </w:r>
      <w:r w:rsidRPr="00392614">
        <w:rPr>
          <w:rFonts w:ascii="Source Sans Pro" w:eastAsia="宋体" w:hAnsi="Source Sans Pro" w:cs="Calibri"/>
          <w:kern w:val="0"/>
          <w:sz w:val="22"/>
        </w:rPr>
        <w:t xml:space="preserve">were </w:t>
      </w:r>
      <w:r w:rsidR="00F92A24" w:rsidRPr="00392614">
        <w:rPr>
          <w:rFonts w:ascii="Source Sans Pro" w:eastAsia="宋体" w:hAnsi="Source Sans Pro" w:cs="Calibri"/>
          <w:kern w:val="0"/>
          <w:sz w:val="22"/>
        </w:rPr>
        <w:t>acquired using either a 1.5T or 3.0T clinical MR scanner</w:t>
      </w:r>
      <w:r w:rsidR="0024181F" w:rsidRPr="00392614">
        <w:rPr>
          <w:rFonts w:ascii="Source Sans Pro" w:eastAsia="宋体" w:hAnsi="Source Sans Pro" w:cs="Calibri"/>
          <w:kern w:val="0"/>
          <w:sz w:val="22"/>
        </w:rPr>
        <w:t>s</w:t>
      </w:r>
      <w:r w:rsidRPr="00392614">
        <w:rPr>
          <w:rFonts w:ascii="Source Sans Pro" w:eastAsia="宋体" w:hAnsi="Source Sans Pro" w:cs="Calibri"/>
          <w:kern w:val="0"/>
          <w:sz w:val="22"/>
        </w:rPr>
        <w:t>. The 1.5T scanner</w:t>
      </w:r>
      <w:r w:rsidR="00917D6E" w:rsidRPr="00392614">
        <w:rPr>
          <w:rFonts w:ascii="Source Sans Pro" w:eastAsia="宋体" w:hAnsi="Source Sans Pro" w:cs="Calibri"/>
          <w:kern w:val="0"/>
          <w:sz w:val="22"/>
        </w:rPr>
        <w:t>s</w:t>
      </w:r>
      <w:r w:rsidRPr="00392614">
        <w:rPr>
          <w:rFonts w:ascii="Source Sans Pro" w:eastAsia="宋体" w:hAnsi="Source Sans Pro" w:cs="Calibri"/>
          <w:kern w:val="0"/>
          <w:sz w:val="22"/>
        </w:rPr>
        <w:t xml:space="preserve"> </w:t>
      </w:r>
      <w:r w:rsidR="00A033B0" w:rsidRPr="00392614">
        <w:rPr>
          <w:rFonts w:ascii="Source Sans Pro" w:eastAsia="宋体" w:hAnsi="Source Sans Pro" w:cs="Calibri"/>
          <w:kern w:val="0"/>
          <w:sz w:val="22"/>
        </w:rPr>
        <w:t>consisted of</w:t>
      </w:r>
      <w:r w:rsidR="00917D6E" w:rsidRPr="00392614">
        <w:rPr>
          <w:rFonts w:ascii="Source Sans Pro" w:eastAsia="宋体" w:hAnsi="Source Sans Pro" w:cs="Calibri"/>
          <w:kern w:val="0"/>
          <w:sz w:val="22"/>
        </w:rPr>
        <w:t xml:space="preserve"> </w:t>
      </w:r>
      <w:r w:rsidR="003E5EDD" w:rsidRPr="00392614">
        <w:rPr>
          <w:rFonts w:ascii="Source Sans Pro" w:eastAsia="宋体" w:hAnsi="Source Sans Pro" w:cs="Calibri"/>
          <w:kern w:val="0"/>
          <w:sz w:val="22"/>
        </w:rPr>
        <w:t>the</w:t>
      </w:r>
      <w:r w:rsidRPr="00392614">
        <w:rPr>
          <w:rFonts w:ascii="Source Sans Pro" w:eastAsia="宋体" w:hAnsi="Source Sans Pro" w:cs="Calibri"/>
          <w:kern w:val="0"/>
          <w:sz w:val="22"/>
        </w:rPr>
        <w:t xml:space="preserve"> </w:t>
      </w:r>
      <w:r w:rsidR="00572E0F" w:rsidRPr="00572E0F">
        <w:rPr>
          <w:rFonts w:ascii="Source Sans Pro" w:eastAsia="宋体" w:hAnsi="Source Sans Pro" w:cs="Calibri"/>
          <w:kern w:val="0"/>
          <w:sz w:val="22"/>
        </w:rPr>
        <w:t xml:space="preserve">MAGNETOM ® Avanto </w:t>
      </w:r>
      <w:r w:rsidR="002F1679" w:rsidRPr="00392614">
        <w:rPr>
          <w:rFonts w:ascii="Source Sans Pro" w:eastAsia="宋体" w:hAnsi="Source Sans Pro" w:cs="Calibri"/>
          <w:kern w:val="0"/>
          <w:sz w:val="22"/>
        </w:rPr>
        <w:t>(</w:t>
      </w:r>
      <w:r w:rsidR="00572E0F" w:rsidRPr="00392614">
        <w:rPr>
          <w:rFonts w:ascii="Source Sans Pro" w:eastAsia="宋体" w:hAnsi="Source Sans Pro" w:cs="Calibri"/>
          <w:kern w:val="0"/>
          <w:sz w:val="22"/>
        </w:rPr>
        <w:t>Siemens Healthcare</w:t>
      </w:r>
      <w:r w:rsidR="00572E0F">
        <w:rPr>
          <w:rFonts w:ascii="Source Sans Pro" w:eastAsia="宋体" w:hAnsi="Source Sans Pro" w:cs="Calibri"/>
          <w:kern w:val="0"/>
          <w:sz w:val="22"/>
        </w:rPr>
        <w:t>,</w:t>
      </w:r>
      <w:r w:rsidR="00572E0F" w:rsidRPr="00392614">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Erlangen, Germany</w:t>
      </w:r>
      <w:r w:rsidR="002F1679" w:rsidRPr="00392614">
        <w:rPr>
          <w:rFonts w:ascii="Source Sans Pro" w:eastAsia="宋体" w:hAnsi="Source Sans Pro" w:cs="Calibri"/>
          <w:kern w:val="0"/>
          <w:sz w:val="22"/>
        </w:rPr>
        <w:t>)</w:t>
      </w:r>
      <w:r w:rsidR="00A37C88" w:rsidRPr="00392614">
        <w:rPr>
          <w:rFonts w:ascii="Source Sans Pro" w:eastAsia="宋体" w:hAnsi="Source Sans Pro" w:cs="Calibri"/>
          <w:kern w:val="0"/>
          <w:sz w:val="22"/>
        </w:rPr>
        <w:t xml:space="preserve">, equipped with a 12-channel head coil, and the Achieva </w:t>
      </w:r>
      <w:r w:rsidR="00FE5DF3" w:rsidRPr="00392614">
        <w:rPr>
          <w:rFonts w:ascii="Source Sans Pro" w:eastAsia="宋体" w:hAnsi="Source Sans Pro" w:cs="Calibri"/>
          <w:kern w:val="0"/>
          <w:sz w:val="22"/>
        </w:rPr>
        <w:t>(</w:t>
      </w:r>
      <w:r w:rsidR="008552CD" w:rsidRPr="008552CD">
        <w:rPr>
          <w:rFonts w:ascii="Source Sans Pro" w:eastAsia="宋体" w:hAnsi="Source Sans Pro" w:cs="Calibri"/>
          <w:kern w:val="0"/>
          <w:sz w:val="22"/>
        </w:rPr>
        <w:t>Philips Healthcare</w:t>
      </w:r>
      <w:r w:rsidR="008552CD">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Best, Netherlands</w:t>
      </w:r>
      <w:r w:rsidR="00FE5DF3" w:rsidRPr="00392614">
        <w:rPr>
          <w:rFonts w:ascii="Source Sans Pro" w:eastAsia="宋体" w:hAnsi="Source Sans Pro" w:cs="Calibri"/>
          <w:kern w:val="0"/>
          <w:sz w:val="22"/>
        </w:rPr>
        <w:t>)</w:t>
      </w:r>
      <w:r w:rsidR="00A37C88" w:rsidRPr="00392614">
        <w:rPr>
          <w:rFonts w:ascii="Source Sans Pro" w:eastAsia="宋体" w:hAnsi="Source Sans Pro" w:cs="Calibri"/>
          <w:kern w:val="0"/>
          <w:sz w:val="22"/>
        </w:rPr>
        <w:t>, equipped with a 16-channel head coil.</w:t>
      </w:r>
      <w:r w:rsidRPr="00392614">
        <w:rPr>
          <w:rFonts w:ascii="Source Sans Pro" w:eastAsia="宋体" w:hAnsi="Source Sans Pro" w:cs="Calibri"/>
          <w:kern w:val="0"/>
          <w:sz w:val="22"/>
        </w:rPr>
        <w:t xml:space="preserve"> The 3.0T scanners included </w:t>
      </w:r>
      <w:r w:rsidR="00A37C88" w:rsidRPr="00392614">
        <w:rPr>
          <w:rFonts w:ascii="Source Sans Pro" w:eastAsia="宋体" w:hAnsi="Source Sans Pro" w:cs="Calibri"/>
          <w:kern w:val="0"/>
          <w:sz w:val="22"/>
        </w:rPr>
        <w:t xml:space="preserve">the Discovery MR750 </w:t>
      </w:r>
      <w:r w:rsidR="00FE5DF3" w:rsidRPr="00392614">
        <w:rPr>
          <w:rFonts w:ascii="Source Sans Pro" w:eastAsia="宋体" w:hAnsi="Source Sans Pro" w:cs="Calibri"/>
          <w:kern w:val="0"/>
          <w:sz w:val="22"/>
        </w:rPr>
        <w:t>(</w:t>
      </w:r>
      <w:r w:rsidR="00E43DCB" w:rsidRPr="00E43DCB">
        <w:rPr>
          <w:rFonts w:ascii="Source Sans Pro" w:eastAsia="宋体" w:hAnsi="Source Sans Pro" w:cs="Calibri"/>
          <w:kern w:val="0"/>
          <w:sz w:val="22"/>
        </w:rPr>
        <w:t>GE Healthcare</w:t>
      </w:r>
      <w:r w:rsidR="00E43DCB">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Milwaukee, WI, USA</w:t>
      </w:r>
      <w:r w:rsidR="00FE5DF3" w:rsidRPr="00392614">
        <w:rPr>
          <w:rFonts w:ascii="Source Sans Pro" w:eastAsia="宋体" w:hAnsi="Source Sans Pro" w:cs="Calibri"/>
          <w:kern w:val="0"/>
          <w:sz w:val="22"/>
        </w:rPr>
        <w:t>)</w:t>
      </w:r>
      <w:r w:rsidR="00A37C88" w:rsidRPr="00392614">
        <w:rPr>
          <w:rFonts w:ascii="Source Sans Pro" w:eastAsia="宋体" w:hAnsi="Source Sans Pro" w:cs="Calibri"/>
          <w:kern w:val="0"/>
          <w:sz w:val="22"/>
        </w:rPr>
        <w:t xml:space="preserve">, equipped with an 8-channel head coil, and the Magnetom Skyra/verio </w:t>
      </w:r>
      <w:r w:rsidR="00E165D9" w:rsidRPr="00392614">
        <w:rPr>
          <w:rFonts w:ascii="Source Sans Pro" w:eastAsia="宋体" w:hAnsi="Source Sans Pro" w:cs="Calibri"/>
          <w:kern w:val="0"/>
          <w:sz w:val="22"/>
        </w:rPr>
        <w:t>(</w:t>
      </w:r>
      <w:r w:rsidR="00E43DCB" w:rsidRPr="00E43DCB">
        <w:rPr>
          <w:rFonts w:ascii="Source Sans Pro" w:eastAsia="宋体" w:hAnsi="Source Sans Pro" w:cs="Calibri"/>
          <w:kern w:val="0"/>
          <w:sz w:val="22"/>
        </w:rPr>
        <w:t>Siemens Healthcare</w:t>
      </w:r>
      <w:r w:rsidR="00E43DCB">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Erlangen, Germany</w:t>
      </w:r>
      <w:r w:rsidR="00E165D9" w:rsidRPr="00392614">
        <w:rPr>
          <w:rFonts w:ascii="Source Sans Pro" w:eastAsia="宋体" w:hAnsi="Source Sans Pro" w:cs="Calibri"/>
          <w:kern w:val="0"/>
          <w:sz w:val="22"/>
        </w:rPr>
        <w:t>)</w:t>
      </w:r>
      <w:r w:rsidR="00A37C88" w:rsidRPr="00392614">
        <w:rPr>
          <w:rFonts w:ascii="Source Sans Pro" w:eastAsia="宋体" w:hAnsi="Source Sans Pro" w:cs="Calibri"/>
          <w:kern w:val="0"/>
          <w:sz w:val="22"/>
        </w:rPr>
        <w:t xml:space="preserve">, which </w:t>
      </w:r>
      <w:r w:rsidR="003E5EDD" w:rsidRPr="00392614">
        <w:rPr>
          <w:rFonts w:ascii="Source Sans Pro" w:eastAsia="宋体" w:hAnsi="Source Sans Pro" w:cs="Calibri"/>
          <w:kern w:val="0"/>
          <w:sz w:val="22"/>
        </w:rPr>
        <w:t>has</w:t>
      </w:r>
      <w:r w:rsidR="00A37C88" w:rsidRPr="00392614">
        <w:rPr>
          <w:rFonts w:ascii="Source Sans Pro" w:eastAsia="宋体" w:hAnsi="Source Sans Pro" w:cs="Calibri"/>
          <w:kern w:val="0"/>
          <w:sz w:val="22"/>
        </w:rPr>
        <w:t xml:space="preserve"> an integrated 20</w:t>
      </w:r>
      <w:r w:rsidR="00B8541D" w:rsidRPr="00392614">
        <w:rPr>
          <w:rFonts w:ascii="Source Sans Pro" w:eastAsia="宋体" w:hAnsi="Source Sans Pro" w:cs="Calibri"/>
          <w:kern w:val="0"/>
          <w:sz w:val="22"/>
        </w:rPr>
        <w:t>-</w:t>
      </w:r>
      <w:r w:rsidR="00A37C88" w:rsidRPr="00392614">
        <w:rPr>
          <w:rFonts w:ascii="Source Sans Pro" w:eastAsia="宋体" w:hAnsi="Source Sans Pro" w:cs="Calibri"/>
          <w:kern w:val="0"/>
          <w:sz w:val="22"/>
        </w:rPr>
        <w:t>channel head and neck coil as well as a 12</w:t>
      </w:r>
      <w:r w:rsidR="0024181F" w:rsidRPr="00392614">
        <w:rPr>
          <w:rFonts w:ascii="Source Sans Pro" w:eastAsia="宋体" w:hAnsi="Source Sans Pro" w:cs="Calibri"/>
          <w:kern w:val="0"/>
          <w:sz w:val="22"/>
        </w:rPr>
        <w:t>-</w:t>
      </w:r>
      <w:r w:rsidR="00A37C88" w:rsidRPr="00392614">
        <w:rPr>
          <w:rFonts w:ascii="Source Sans Pro" w:eastAsia="宋体" w:hAnsi="Source Sans Pro" w:cs="Calibri"/>
          <w:kern w:val="0"/>
          <w:sz w:val="22"/>
        </w:rPr>
        <w:t>channel head coil.</w:t>
      </w:r>
      <w:r w:rsidR="003E5EDD" w:rsidRPr="00392614">
        <w:rPr>
          <w:rFonts w:ascii="Source Sans Pro" w:eastAsia="宋体" w:hAnsi="Source Sans Pro" w:cs="Calibri"/>
          <w:kern w:val="0"/>
          <w:sz w:val="22"/>
        </w:rPr>
        <w:t xml:space="preserve"> </w:t>
      </w:r>
      <w:r w:rsidR="008A4B6A" w:rsidRPr="00392614">
        <w:rPr>
          <w:rFonts w:ascii="Source Sans Pro" w:eastAsia="宋体" w:hAnsi="Source Sans Pro" w:cs="Calibri"/>
          <w:kern w:val="0"/>
          <w:sz w:val="22"/>
        </w:rPr>
        <w:t xml:space="preserve">More detailed information about the </w:t>
      </w:r>
      <w:r w:rsidR="002E4A53" w:rsidRPr="00392614">
        <w:rPr>
          <w:rFonts w:ascii="Source Sans Pro" w:eastAsia="宋体" w:hAnsi="Source Sans Pro" w:cs="Calibri"/>
          <w:kern w:val="0"/>
          <w:sz w:val="22"/>
        </w:rPr>
        <w:t>MRI</w:t>
      </w:r>
      <w:r w:rsidR="008A4B6A" w:rsidRPr="00392614">
        <w:rPr>
          <w:rFonts w:ascii="Source Sans Pro" w:eastAsia="宋体" w:hAnsi="Source Sans Pro" w:cs="Calibri"/>
          <w:kern w:val="0"/>
          <w:sz w:val="22"/>
        </w:rPr>
        <w:t xml:space="preserve"> sequences</w:t>
      </w:r>
      <w:r w:rsidR="002E4A53" w:rsidRPr="00392614">
        <w:rPr>
          <w:rFonts w:ascii="Source Sans Pro" w:eastAsia="宋体" w:hAnsi="Source Sans Pro" w:cs="Calibri"/>
          <w:kern w:val="0"/>
          <w:sz w:val="22"/>
        </w:rPr>
        <w:t xml:space="preserve"> are presented </w:t>
      </w:r>
      <w:r w:rsidR="008A4B6A" w:rsidRPr="00392614">
        <w:rPr>
          <w:rFonts w:ascii="Source Sans Pro" w:eastAsia="宋体" w:hAnsi="Source Sans Pro" w:cs="Calibri"/>
          <w:kern w:val="0"/>
          <w:sz w:val="22"/>
        </w:rPr>
        <w:t xml:space="preserve">in </w:t>
      </w:r>
      <w:r w:rsidR="00DC4A43">
        <w:rPr>
          <w:rFonts w:ascii="Source Sans Pro" w:eastAsia="宋体" w:hAnsi="Source Sans Pro" w:cs="Calibri"/>
          <w:b/>
          <w:bCs/>
          <w:kern w:val="0"/>
          <w:sz w:val="22"/>
        </w:rPr>
        <w:t>T</w:t>
      </w:r>
      <w:r w:rsidR="00BA2581" w:rsidRPr="00392614">
        <w:rPr>
          <w:rFonts w:ascii="Source Sans Pro" w:eastAsia="宋体" w:hAnsi="Source Sans Pro" w:cs="Calibri"/>
          <w:b/>
          <w:bCs/>
          <w:kern w:val="0"/>
          <w:sz w:val="22"/>
        </w:rPr>
        <w:t>able</w:t>
      </w:r>
      <w:r w:rsidRPr="00392614">
        <w:rPr>
          <w:rFonts w:ascii="Source Sans Pro" w:eastAsia="宋体" w:hAnsi="Source Sans Pro" w:cs="Calibri"/>
          <w:b/>
          <w:bCs/>
          <w:kern w:val="0"/>
          <w:sz w:val="22"/>
        </w:rPr>
        <w:t xml:space="preserve"> </w:t>
      </w:r>
      <w:r w:rsidR="00BA2581" w:rsidRPr="00392614">
        <w:rPr>
          <w:rFonts w:ascii="Source Sans Pro" w:eastAsia="宋体" w:hAnsi="Source Sans Pro" w:cs="Calibri"/>
          <w:b/>
          <w:bCs/>
          <w:kern w:val="0"/>
          <w:sz w:val="22"/>
        </w:rPr>
        <w:t>S</w:t>
      </w:r>
      <w:r w:rsidR="007D0F71">
        <w:rPr>
          <w:rFonts w:ascii="Source Sans Pro" w:eastAsia="宋体" w:hAnsi="Source Sans Pro" w:cs="Calibri"/>
          <w:b/>
          <w:bCs/>
          <w:kern w:val="0"/>
          <w:sz w:val="22"/>
        </w:rPr>
        <w:t>1</w:t>
      </w:r>
      <w:r w:rsidRPr="00392614">
        <w:rPr>
          <w:rFonts w:ascii="Source Sans Pro" w:eastAsia="宋体" w:hAnsi="Source Sans Pro" w:cs="Calibri"/>
          <w:kern w:val="0"/>
          <w:sz w:val="22"/>
        </w:rPr>
        <w:t>.</w:t>
      </w:r>
    </w:p>
    <w:p w14:paraId="546A74BA" w14:textId="00D9C2E4" w:rsidR="00A37C88" w:rsidRPr="00392614" w:rsidRDefault="008244B5" w:rsidP="00223B6D">
      <w:pPr>
        <w:widowControl/>
        <w:spacing w:line="360" w:lineRule="auto"/>
        <w:ind w:firstLineChars="200" w:firstLine="440"/>
        <w:jc w:val="left"/>
        <w:rPr>
          <w:rFonts w:ascii="Source Sans Pro" w:eastAsia="宋体" w:hAnsi="Source Sans Pro" w:cs="Calibri"/>
          <w:kern w:val="0"/>
          <w:sz w:val="22"/>
        </w:rPr>
      </w:pPr>
      <w:r w:rsidRPr="00392614">
        <w:rPr>
          <w:rFonts w:ascii="Source Sans Pro" w:eastAsia="宋体" w:hAnsi="Source Sans Pro" w:cs="Calibri"/>
          <w:kern w:val="0"/>
          <w:sz w:val="22"/>
        </w:rPr>
        <w:t>MR</w:t>
      </w:r>
      <w:r w:rsidR="00F748D8" w:rsidRPr="00392614">
        <w:rPr>
          <w:rFonts w:ascii="Source Sans Pro" w:eastAsia="宋体" w:hAnsi="Source Sans Pro" w:cs="Calibri"/>
          <w:kern w:val="0"/>
          <w:sz w:val="22"/>
        </w:rPr>
        <w:t>I</w:t>
      </w:r>
      <w:r w:rsidRPr="00392614">
        <w:rPr>
          <w:rFonts w:ascii="Source Sans Pro" w:eastAsia="宋体" w:hAnsi="Source Sans Pro" w:cs="Calibri"/>
          <w:kern w:val="0"/>
          <w:sz w:val="22"/>
        </w:rPr>
        <w:t xml:space="preserve"> images </w:t>
      </w:r>
      <w:r w:rsidR="00711D12" w:rsidRPr="00392614">
        <w:rPr>
          <w:rFonts w:ascii="Source Sans Pro" w:eastAsia="宋体" w:hAnsi="Source Sans Pro" w:cs="Calibri"/>
          <w:kern w:val="0"/>
          <w:sz w:val="22"/>
        </w:rPr>
        <w:t>of</w:t>
      </w:r>
      <w:r w:rsidRPr="00392614">
        <w:rPr>
          <w:rFonts w:ascii="Source Sans Pro" w:eastAsia="宋体" w:hAnsi="Source Sans Pro" w:cs="Calibri"/>
          <w:kern w:val="0"/>
          <w:sz w:val="22"/>
        </w:rPr>
        <w:t xml:space="preserve"> the </w:t>
      </w:r>
      <w:r w:rsidR="00162596" w:rsidRPr="00392614">
        <w:rPr>
          <w:rFonts w:ascii="Source Sans Pro" w:eastAsia="宋体" w:hAnsi="Source Sans Pro" w:cs="Calibri"/>
          <w:kern w:val="0"/>
          <w:sz w:val="22"/>
        </w:rPr>
        <w:t>HNPH</w:t>
      </w:r>
      <w:r w:rsidR="00711D12" w:rsidRPr="00392614">
        <w:rPr>
          <w:rFonts w:ascii="Source Sans Pro" w:eastAsia="宋体" w:hAnsi="Source Sans Pro" w:cs="Calibri"/>
          <w:kern w:val="0"/>
          <w:sz w:val="22"/>
        </w:rPr>
        <w:t xml:space="preserve"> </w:t>
      </w:r>
      <w:r w:rsidR="0024181F" w:rsidRPr="00392614">
        <w:rPr>
          <w:rFonts w:ascii="Source Sans Pro" w:eastAsia="宋体" w:hAnsi="Source Sans Pro" w:cs="Calibri"/>
          <w:kern w:val="0"/>
          <w:sz w:val="22"/>
        </w:rPr>
        <w:t xml:space="preserve">dataset </w:t>
      </w:r>
      <w:r w:rsidRPr="00392614">
        <w:rPr>
          <w:rFonts w:ascii="Source Sans Pro" w:eastAsia="宋体" w:hAnsi="Source Sans Pro" w:cs="Calibri"/>
          <w:kern w:val="0"/>
          <w:sz w:val="22"/>
        </w:rPr>
        <w:t xml:space="preserve">were acquired </w:t>
      </w:r>
      <w:r w:rsidR="0024181F" w:rsidRPr="00392614">
        <w:rPr>
          <w:rFonts w:ascii="Source Sans Pro" w:eastAsia="宋体" w:hAnsi="Source Sans Pro" w:cs="Calibri"/>
          <w:kern w:val="0"/>
          <w:sz w:val="22"/>
        </w:rPr>
        <w:t>using</w:t>
      </w:r>
      <w:r w:rsidRPr="00392614">
        <w:rPr>
          <w:rFonts w:ascii="Source Sans Pro" w:eastAsia="宋体" w:hAnsi="Source Sans Pro" w:cs="Calibri"/>
          <w:kern w:val="0"/>
          <w:sz w:val="22"/>
        </w:rPr>
        <w:t xml:space="preserve"> either 1.5T or 3.0T clinical MR scanners. </w:t>
      </w:r>
      <w:r w:rsidR="00A37C88" w:rsidRPr="00392614">
        <w:rPr>
          <w:rFonts w:ascii="Source Sans Pro" w:eastAsia="宋体" w:hAnsi="Source Sans Pro" w:cs="Calibri"/>
          <w:kern w:val="0"/>
          <w:sz w:val="22"/>
        </w:rPr>
        <w:t>The specific scanner</w:t>
      </w:r>
      <w:r w:rsidRPr="00392614">
        <w:rPr>
          <w:rFonts w:ascii="Source Sans Pro" w:eastAsia="宋体" w:hAnsi="Source Sans Pro" w:cs="Calibri"/>
          <w:kern w:val="0"/>
          <w:sz w:val="22"/>
        </w:rPr>
        <w:t>s include</w:t>
      </w:r>
      <w:r w:rsidR="000E6B5F" w:rsidRPr="00392614">
        <w:rPr>
          <w:rFonts w:ascii="Source Sans Pro" w:eastAsia="宋体" w:hAnsi="Source Sans Pro" w:cs="Calibri"/>
          <w:kern w:val="0"/>
          <w:sz w:val="22"/>
        </w:rPr>
        <w:t>d</w:t>
      </w:r>
      <w:r w:rsidRPr="00392614">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the Discovery MR750, OPTIMA MR360</w:t>
      </w:r>
      <w:r w:rsidR="00266399" w:rsidRPr="00392614">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 xml:space="preserve">and Signa HDxt from </w:t>
      </w:r>
      <w:r w:rsidR="00A50C63">
        <w:rPr>
          <w:rFonts w:ascii="Source Sans Pro" w:eastAsia="宋体" w:hAnsi="Source Sans Pro" w:cs="Calibri"/>
          <w:kern w:val="0"/>
          <w:sz w:val="22"/>
        </w:rPr>
        <w:t xml:space="preserve">the </w:t>
      </w:r>
      <w:r w:rsidR="00A37C88" w:rsidRPr="00392614">
        <w:rPr>
          <w:rFonts w:ascii="Source Sans Pro" w:eastAsia="宋体" w:hAnsi="Source Sans Pro" w:cs="Calibri"/>
          <w:kern w:val="0"/>
          <w:sz w:val="22"/>
        </w:rPr>
        <w:t>GE</w:t>
      </w:r>
      <w:r w:rsidR="00F2552E" w:rsidRPr="00F2552E">
        <w:t xml:space="preserve"> </w:t>
      </w:r>
      <w:r w:rsidR="00F2552E" w:rsidRPr="00F2552E">
        <w:rPr>
          <w:rFonts w:ascii="Source Sans Pro" w:eastAsia="宋体" w:hAnsi="Source Sans Pro" w:cs="Calibri"/>
          <w:kern w:val="0"/>
          <w:sz w:val="22"/>
        </w:rPr>
        <w:t>Healthcare</w:t>
      </w:r>
      <w:r w:rsidRPr="00392614">
        <w:rPr>
          <w:rFonts w:ascii="Source Sans Pro" w:eastAsia="宋体" w:hAnsi="Source Sans Pro" w:cs="Calibri"/>
          <w:kern w:val="0"/>
          <w:sz w:val="22"/>
        </w:rPr>
        <w:t xml:space="preserve">, </w:t>
      </w:r>
      <w:r w:rsidR="00A37C88" w:rsidRPr="00392614">
        <w:rPr>
          <w:rFonts w:ascii="Source Sans Pro" w:eastAsia="宋体" w:hAnsi="Source Sans Pro" w:cs="Calibri"/>
          <w:kern w:val="0"/>
          <w:sz w:val="22"/>
        </w:rPr>
        <w:t xml:space="preserve">as well as the Prisma, Skyra, TrioTim, and Verio from </w:t>
      </w:r>
      <w:r w:rsidR="00A50C63">
        <w:rPr>
          <w:rFonts w:ascii="Source Sans Pro" w:eastAsia="宋体" w:hAnsi="Source Sans Pro" w:cs="Calibri"/>
          <w:kern w:val="0"/>
          <w:sz w:val="22"/>
        </w:rPr>
        <w:t xml:space="preserve">the </w:t>
      </w:r>
      <w:r w:rsidRPr="00392614">
        <w:rPr>
          <w:rFonts w:ascii="Source Sans Pro" w:eastAsia="宋体" w:hAnsi="Source Sans Pro" w:cs="Calibri"/>
          <w:kern w:val="0"/>
          <w:sz w:val="22"/>
        </w:rPr>
        <w:t>Siemens</w:t>
      </w:r>
      <w:r w:rsidR="00F2552E" w:rsidRPr="00F2552E">
        <w:t xml:space="preserve"> </w:t>
      </w:r>
      <w:r w:rsidR="00F2552E" w:rsidRPr="00F2552E">
        <w:rPr>
          <w:rFonts w:ascii="Source Sans Pro" w:eastAsia="宋体" w:hAnsi="Source Sans Pro" w:cs="Calibri"/>
          <w:kern w:val="0"/>
          <w:sz w:val="22"/>
        </w:rPr>
        <w:t>Healthcare</w:t>
      </w:r>
      <w:r w:rsidRPr="00392614">
        <w:rPr>
          <w:rFonts w:ascii="Source Sans Pro" w:eastAsia="宋体" w:hAnsi="Source Sans Pro" w:cs="Calibri"/>
          <w:kern w:val="0"/>
          <w:sz w:val="22"/>
        </w:rPr>
        <w:t xml:space="preserve">. </w:t>
      </w:r>
      <w:r w:rsidR="000C6D5B" w:rsidRPr="00392614">
        <w:rPr>
          <w:rFonts w:ascii="Source Sans Pro" w:eastAsia="宋体" w:hAnsi="Source Sans Pro" w:cs="Calibri"/>
          <w:kern w:val="0"/>
          <w:sz w:val="22"/>
        </w:rPr>
        <w:t>D</w:t>
      </w:r>
      <w:r w:rsidR="00A37C88" w:rsidRPr="00392614">
        <w:rPr>
          <w:rFonts w:ascii="Source Sans Pro" w:eastAsia="宋体" w:hAnsi="Source Sans Pro" w:cs="Calibri"/>
          <w:kern w:val="0"/>
          <w:sz w:val="22"/>
        </w:rPr>
        <w:t>etailed scanning parameters</w:t>
      </w:r>
      <w:r w:rsidRPr="00392614">
        <w:rPr>
          <w:rFonts w:ascii="Source Sans Pro" w:eastAsia="宋体" w:hAnsi="Source Sans Pro" w:cs="Calibri"/>
          <w:kern w:val="0"/>
          <w:sz w:val="22"/>
        </w:rPr>
        <w:t xml:space="preserve"> </w:t>
      </w:r>
      <w:r w:rsidR="000C6D5B" w:rsidRPr="00392614">
        <w:rPr>
          <w:rFonts w:ascii="Source Sans Pro" w:eastAsia="宋体" w:hAnsi="Source Sans Pro" w:cs="Calibri"/>
          <w:kern w:val="0"/>
          <w:sz w:val="22"/>
        </w:rPr>
        <w:t xml:space="preserve">have been described in </w:t>
      </w:r>
      <w:r w:rsidR="00DC4A43">
        <w:rPr>
          <w:rFonts w:ascii="Source Sans Pro" w:eastAsia="宋体" w:hAnsi="Source Sans Pro" w:cs="Calibri"/>
          <w:b/>
          <w:bCs/>
          <w:kern w:val="0"/>
          <w:sz w:val="22"/>
        </w:rPr>
        <w:t>T</w:t>
      </w:r>
      <w:r w:rsidR="00BA2581" w:rsidRPr="00392614">
        <w:rPr>
          <w:rFonts w:ascii="Source Sans Pro" w:eastAsia="宋体" w:hAnsi="Source Sans Pro" w:cs="Calibri"/>
          <w:b/>
          <w:bCs/>
          <w:kern w:val="0"/>
          <w:sz w:val="22"/>
        </w:rPr>
        <w:t>able S</w:t>
      </w:r>
      <w:r w:rsidR="007D0F71">
        <w:rPr>
          <w:rFonts w:ascii="Source Sans Pro" w:eastAsia="宋体" w:hAnsi="Source Sans Pro" w:cs="Calibri"/>
          <w:b/>
          <w:bCs/>
          <w:kern w:val="0"/>
          <w:sz w:val="22"/>
        </w:rPr>
        <w:t>2</w:t>
      </w:r>
      <w:r w:rsidRPr="00392614">
        <w:rPr>
          <w:rFonts w:ascii="Source Sans Pro" w:eastAsia="宋体" w:hAnsi="Source Sans Pro" w:cs="Calibri"/>
          <w:kern w:val="0"/>
          <w:sz w:val="22"/>
        </w:rPr>
        <w:t>.</w:t>
      </w:r>
      <w:r w:rsidR="00F2552E">
        <w:rPr>
          <w:rFonts w:ascii="Source Sans Pro" w:eastAsia="宋体" w:hAnsi="Source Sans Pro" w:cs="Calibri"/>
          <w:kern w:val="0"/>
          <w:sz w:val="22"/>
        </w:rPr>
        <w:t xml:space="preserve">  </w:t>
      </w:r>
    </w:p>
    <w:p w14:paraId="439B6478" w14:textId="100C7127" w:rsidR="003F26FD" w:rsidRPr="00392614" w:rsidRDefault="00762D42" w:rsidP="00223B6D">
      <w:pPr>
        <w:widowControl/>
        <w:spacing w:line="360" w:lineRule="auto"/>
        <w:ind w:firstLineChars="200" w:firstLine="440"/>
        <w:jc w:val="left"/>
        <w:rPr>
          <w:rFonts w:ascii="Source Sans Pro" w:eastAsia="宋体" w:hAnsi="Source Sans Pro" w:cs="Calibri"/>
          <w:kern w:val="0"/>
          <w:sz w:val="22"/>
        </w:rPr>
      </w:pPr>
      <w:r w:rsidRPr="00392614">
        <w:rPr>
          <w:rFonts w:ascii="Source Sans Pro" w:eastAsia="宋体" w:hAnsi="Source Sans Pro" w:cs="Calibri"/>
          <w:kern w:val="0"/>
          <w:sz w:val="22"/>
        </w:rPr>
        <w:t>Firstly, all pre-operative MRI images from private datasets were re-oriented to the right-anterior-inferior coordinate system using the SwapDimensions function in the Functional Magnetic Resonance Imaging of the Brain (FMRIB) software library (FSL; http://fsl.fmrib.ox.ac.uk/fsl/fslwiki/FSL).</w:t>
      </w:r>
      <w:r w:rsidR="003F26FD" w:rsidRPr="00392614">
        <w:rPr>
          <w:sz w:val="22"/>
        </w:rPr>
        <w:t xml:space="preserve"> </w:t>
      </w:r>
      <w:r w:rsidR="003F26FD" w:rsidRPr="00392614">
        <w:rPr>
          <w:rFonts w:ascii="Source Sans Pro" w:eastAsia="宋体" w:hAnsi="Source Sans Pro" w:cs="Calibri"/>
          <w:kern w:val="0"/>
          <w:sz w:val="22"/>
        </w:rPr>
        <w:t>Then, the re-oriented MR</w:t>
      </w:r>
      <w:r w:rsidR="009C69DC">
        <w:rPr>
          <w:rFonts w:ascii="Source Sans Pro" w:eastAsia="宋体" w:hAnsi="Source Sans Pro" w:cs="Calibri"/>
          <w:kern w:val="0"/>
          <w:sz w:val="22"/>
        </w:rPr>
        <w:t>I</w:t>
      </w:r>
      <w:r w:rsidR="003F26FD" w:rsidRPr="00392614">
        <w:rPr>
          <w:rFonts w:ascii="Source Sans Pro" w:eastAsia="宋体" w:hAnsi="Source Sans Pro" w:cs="Calibri"/>
          <w:kern w:val="0"/>
          <w:sz w:val="22"/>
        </w:rPr>
        <w:t xml:space="preserve"> images were registered to the re-oriented </w:t>
      </w:r>
      <w:r w:rsidR="009C69DC">
        <w:rPr>
          <w:rFonts w:ascii="Source Sans Pro" w:eastAsia="宋体" w:hAnsi="Source Sans Pro" w:cs="Calibri"/>
          <w:kern w:val="0"/>
          <w:sz w:val="22"/>
        </w:rPr>
        <w:t xml:space="preserve">contrast-enhanced </w:t>
      </w:r>
      <w:r w:rsidR="003F26FD" w:rsidRPr="00392614">
        <w:rPr>
          <w:rFonts w:ascii="Source Sans Pro" w:eastAsia="宋体" w:hAnsi="Source Sans Pro" w:cs="Calibri"/>
          <w:kern w:val="0"/>
          <w:sz w:val="22"/>
        </w:rPr>
        <w:t>T1</w:t>
      </w:r>
      <w:r w:rsidR="009C69DC">
        <w:rPr>
          <w:rFonts w:ascii="Source Sans Pro" w:eastAsia="宋体" w:hAnsi="Source Sans Pro" w:cs="Calibri"/>
          <w:kern w:val="0"/>
          <w:sz w:val="22"/>
        </w:rPr>
        <w:t xml:space="preserve">-weighted </w:t>
      </w:r>
      <w:r w:rsidR="003F26FD" w:rsidRPr="00392614">
        <w:rPr>
          <w:rFonts w:ascii="Source Sans Pro" w:eastAsia="宋体" w:hAnsi="Source Sans Pro" w:cs="Calibri"/>
          <w:kern w:val="0"/>
          <w:sz w:val="22"/>
        </w:rPr>
        <w:t>images using the linear image registration tool</w:t>
      </w:r>
      <w:r w:rsidR="00125636">
        <w:rPr>
          <w:rFonts w:ascii="Source Sans Pro" w:eastAsia="宋体" w:hAnsi="Source Sans Pro" w:cs="Calibri"/>
          <w:kern w:val="0"/>
          <w:sz w:val="22"/>
        </w:rPr>
        <w:t xml:space="preserve"> </w:t>
      </w:r>
      <w:r w:rsidR="003F26FD"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{"citationID":"77VQKZG9","properties":{"formattedCitation":"[1,2]","plainCitation":"[1,2]","noteIndex":0},"citationItems":[{"id":861,"uris":["http://zotero.org/users/10132978/items/I86F6M74"],"itemData":{"id":861,"type":"article-journal","abstract":"Linear registration and motion correction are important components of structural and functional brain image analysis. Most modern methods optimize some intensity-based cost function to determine the best registration. To date, little attention has been focused on the optimization method itself, even though the success of most registration methods hinges on the quality of this optimization. This paper examines the optimization process in detail and demonstrates that the commonly used multiresolution local optimization methods can, and do, get trapped in local minima. To address this problem, two approaches are taken: (1) to apodize the cost function and (2) to employ a novel hybrid global–local optimization method. This new optimization method is specifically designed for registering whole brain images. It substantially reduces the likelihood of producing misregistrations due to being trapped by local minima. The increased robustness of the method, compared to other commonly used methods, is demonstrated by a consistency test. In addition, the accuracy of the registration is demonstrated by a series of experiments with motion correction. These motion correction experiments also investigate how the results are affected by differen</w:instrText>
      </w:r>
      <w:r w:rsidR="00722BE8">
        <w:rPr>
          <w:rFonts w:ascii="Source Sans Pro" w:eastAsia="宋体" w:hAnsi="Source Sans Pro" w:cs="Calibri" w:hint="eastAsia"/>
          <w:kern w:val="0"/>
          <w:sz w:val="22"/>
        </w:rPr>
        <w:instrText>t cost functions and interpolation methods.","call-number":"1","container-title":"NeuroImage","DOI":"10.1006/nimg.2002.1132","ISSN":"1053-8119","issue":"2","journalAbbreviation":"NeuroImage","language":"en-US","note":"JCR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5.7\n5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7.0\n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针对脑部图像的鲁棒准确的线性配准和运动校正的改进优化</w:instrText>
      </w:r>
      <w:r w:rsidR="00722BE8">
        <w:rPr>
          <w:rFonts w:ascii="Source Sans Pro" w:eastAsia="宋体" w:hAnsi="Source Sans Pro" w:cs="Calibri" w:hint="eastAsia"/>
          <w:kern w:val="0"/>
          <w:sz w:val="22"/>
        </w:rPr>
        <w:instrText>","page":"825-841","source":"7.4","title":"Improved Optimization for the Robust and Accurate Linear Registration and Motion Correction of Brain Images","title-short":"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针对脑部图像的鲁棒准确的线性配准和运动校正的改进优化</w:instrText>
      </w:r>
      <w:r w:rsidR="00722BE8">
        <w:rPr>
          <w:rFonts w:ascii="Source Sans Pro" w:eastAsia="宋体" w:hAnsi="Source Sans Pro" w:cs="Calibri" w:hint="eastAsia"/>
          <w:kern w:val="0"/>
          <w:sz w:val="22"/>
        </w:rPr>
        <w:instrText>","volume":"17","author":[{"family":"Jenkinson","given":"Mark"},{"family":"Bannister","given":"Peter"},{"family":"Brady","given":"Michael"},{"family":"Smith","given":"Stephen"}],"issued":{"date-parts":[["2002",10,1]]}},"label":"page"},</w:instrText>
      </w:r>
      <w:r w:rsidR="00722BE8">
        <w:rPr>
          <w:rFonts w:ascii="Source Sans Pro" w:eastAsia="宋体" w:hAnsi="Source Sans Pro" w:cs="Calibri"/>
          <w:kern w:val="0"/>
          <w:sz w:val="22"/>
        </w:rPr>
        <w:instrText>{"id":860,"uris":["http://zotero.org/users/10132978/items/NUDUGVPT"],"itemData":{"id":860,"type":"article-journal","abstract":"Registration is an important component of medical image analysis and for analysing large amounts of data it is desirable to have fully automatic registration methods. Many different automatic registration methods have been proposed to date, and almost all share a common mathematical framework — one of optimising a cost function. To date little attention has been focused on the optimisation method itself, even though the success of most registration methods hinges on the quality of this optimisation. This paper examines the assumptions underlying the problem of registration for brain images using inter-modal voxel similarity measures. It is demonstrated that the use of local optimisation methods together with the standard multi-resolution approach is not sufficient to reliably find the global minimum. To address this problem, a global optimisation method is proposed that is specifically tailored to this form of registration. A full discussion of all the necessary implementation details is included as this is an important part of any practical method. Furthermore, results are presented for inter-modal, inter-subject registration exp</w:instrText>
      </w:r>
      <w:r w:rsidR="00722BE8">
        <w:rPr>
          <w:rFonts w:ascii="Source Sans Pro" w:eastAsia="宋体" w:hAnsi="Source Sans Pro" w:cs="Calibri" w:hint="eastAsia"/>
          <w:kern w:val="0"/>
          <w:sz w:val="22"/>
        </w:rPr>
        <w:instrText>eriments that show that the proposed method is more reliable at finding the global minimum than several of the currently available registration packages in common usage.","archive":"Q1","archive_location":"</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Top","call-number":"13.828","container-title":"Medical Image Analysis","DOI":"10.1016/S1361-8415(01)00036-6","ISSN":"1361-8415","issue":"2","journalAbbreviation":"Med. Image Anal.","language":"en-US","license":"14.934","note":"JCR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工程技术</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10.9\n5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xml:space="preserve">: 13.7\nEI: </w:instrText>
      </w:r>
      <w:r w:rsidR="00722BE8">
        <w:rPr>
          <w:rFonts w:ascii="Source Sans Pro" w:eastAsia="宋体" w:hAnsi="Source Sans Pro" w:cs="Calibri" w:hint="eastAsia"/>
          <w:kern w:val="0"/>
          <w:sz w:val="22"/>
        </w:rPr>
        <w:instrText>是</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脑图像鲁棒仿射配准的全局优化方法</w:instrText>
      </w:r>
      <w:r w:rsidR="00722BE8">
        <w:rPr>
          <w:rFonts w:ascii="Source Sans Pro" w:eastAsia="宋体" w:hAnsi="Source Sans Pro" w:cs="Calibri" w:hint="eastAsia"/>
          <w:kern w:val="0"/>
          <w:sz w:val="22"/>
        </w:rPr>
        <w:instrText>","page":"143-156","source":"</w:instrText>
      </w:r>
      <w:r w:rsidR="00722BE8">
        <w:rPr>
          <w:rFonts w:ascii="Source Sans Pro" w:eastAsia="宋体" w:hAnsi="Source Sans Pro" w:cs="Calibri" w:hint="eastAsia"/>
          <w:kern w:val="0"/>
          <w:sz w:val="22"/>
        </w:rPr>
        <w:instrText>计算机：人工智能</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计算机：跨学科应用</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工程：生物医学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核医学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","title":"A global optimisation method for robust affine registration of brain images","title-short":"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脑图像鲁棒仿射配准的全局优化方法</w:instrText>
      </w:r>
      <w:r w:rsidR="00722BE8">
        <w:rPr>
          <w:rFonts w:ascii="Source Sans Pro" w:eastAsia="宋体" w:hAnsi="Source Sans Pro" w:cs="Calibri" w:hint="eastAsia"/>
          <w:kern w:val="0"/>
          <w:sz w:val="22"/>
        </w:rPr>
        <w:instrText>","volume":"5","au</w:instrText>
      </w:r>
      <w:r w:rsidR="00722BE8">
        <w:rPr>
          <w:rFonts w:ascii="Source Sans Pro" w:eastAsia="宋体" w:hAnsi="Source Sans Pro" w:cs="Calibri"/>
          <w:kern w:val="0"/>
          <w:sz w:val="22"/>
        </w:rPr>
        <w:instrText xml:space="preserve">thor":[{"family":"Jenkinson","given":"Mark"},{"family":"Smith","given":"Stephen"}],"issued":{"date-parts":[["2001",6,1]]}},"label":"page"}],"schema":"https://github.com/citation-style-language/schema/raw/master/csl-citation.json"} </w:instrText>
      </w:r>
      <w:r w:rsidR="003F26FD" w:rsidRPr="00392614">
        <w:rPr>
          <w:rFonts w:ascii="Source Sans Pro" w:eastAsia="宋体" w:hAnsi="Source Sans Pro" w:cs="Calibri"/>
          <w:kern w:val="0"/>
          <w:sz w:val="22"/>
        </w:rPr>
        <w:fldChar w:fldCharType="separate"/>
      </w:r>
      <w:r w:rsidR="00722BE8" w:rsidRPr="00722BE8">
        <w:rPr>
          <w:rFonts w:ascii="Source Sans Pro" w:hAnsi="Source Sans Pro"/>
          <w:sz w:val="22"/>
        </w:rPr>
        <w:t>[1,2]</w:t>
      </w:r>
      <w:r w:rsidR="003F26FD" w:rsidRPr="00392614">
        <w:rPr>
          <w:rFonts w:ascii="Source Sans Pro" w:eastAsia="宋体" w:hAnsi="Source Sans Pro" w:cs="Calibri"/>
          <w:kern w:val="0"/>
          <w:sz w:val="22"/>
        </w:rPr>
        <w:fldChar w:fldCharType="end"/>
      </w:r>
      <w:r w:rsidR="003F26FD" w:rsidRPr="00392614">
        <w:rPr>
          <w:rFonts w:ascii="Source Sans Pro" w:eastAsia="宋体" w:hAnsi="Source Sans Pro" w:cs="Calibri"/>
          <w:kern w:val="0"/>
          <w:sz w:val="22"/>
        </w:rPr>
        <w:t xml:space="preserve">  with a mutual information algorithm, a Tri-Linear interpolation method, and a six-degree-of-freedom transformation.  </w:t>
      </w:r>
      <w:r w:rsidR="00DA1BE9" w:rsidRPr="00DA1BE9">
        <w:rPr>
          <w:rFonts w:ascii="Source Sans Pro" w:eastAsia="宋体" w:hAnsi="Source Sans Pro" w:cs="Calibri"/>
          <w:kern w:val="0"/>
          <w:sz w:val="22"/>
        </w:rPr>
        <w:t>Finally, the registered MR</w:t>
      </w:r>
      <w:r w:rsidR="00DA1BE9">
        <w:rPr>
          <w:rFonts w:ascii="Source Sans Pro" w:eastAsia="宋体" w:hAnsi="Source Sans Pro" w:cs="Calibri"/>
          <w:kern w:val="0"/>
          <w:sz w:val="22"/>
        </w:rPr>
        <w:t>I</w:t>
      </w:r>
      <w:r w:rsidR="00DA1BE9" w:rsidRPr="00DA1BE9">
        <w:rPr>
          <w:rFonts w:ascii="Source Sans Pro" w:eastAsia="宋体" w:hAnsi="Source Sans Pro" w:cs="Calibri"/>
          <w:kern w:val="0"/>
          <w:sz w:val="22"/>
        </w:rPr>
        <w:t xml:space="preserve"> images were resampled to a uniform voxel size of 1 × 1 × 1 mm for all patients for </w:t>
      </w:r>
      <w:r w:rsidR="00DA1BE9">
        <w:rPr>
          <w:rFonts w:ascii="Source Sans Pro" w:eastAsia="宋体" w:hAnsi="Source Sans Pro" w:cs="Calibri"/>
          <w:kern w:val="0"/>
          <w:sz w:val="22"/>
        </w:rPr>
        <w:t xml:space="preserve">model </w:t>
      </w:r>
      <w:r w:rsidR="00DA1BE9" w:rsidRPr="00DA1BE9">
        <w:rPr>
          <w:rFonts w:ascii="Source Sans Pro" w:eastAsia="宋体" w:hAnsi="Source Sans Pro" w:cs="Calibri"/>
          <w:kern w:val="0"/>
          <w:sz w:val="22"/>
        </w:rPr>
        <w:t>construction using linear interpolation in SimpleITK (https://www.simpleitk.org).</w:t>
      </w:r>
    </w:p>
    <w:p w14:paraId="29ADDA37" w14:textId="03639D8B" w:rsidR="00EB520C" w:rsidRDefault="00162596" w:rsidP="00223B6D">
      <w:pPr>
        <w:widowControl/>
        <w:spacing w:line="360" w:lineRule="auto"/>
        <w:ind w:firstLineChars="200" w:firstLine="440"/>
        <w:jc w:val="left"/>
        <w:rPr>
          <w:rFonts w:ascii="Source Sans Pro" w:eastAsia="宋体" w:hAnsi="Source Sans Pro" w:cs="Calibri"/>
          <w:kern w:val="0"/>
          <w:sz w:val="22"/>
        </w:rPr>
      </w:pPr>
      <w:r w:rsidRPr="00697DE2">
        <w:rPr>
          <w:rFonts w:ascii="Source Sans Pro" w:eastAsia="宋体" w:hAnsi="Source Sans Pro" w:cs="Calibri"/>
          <w:kern w:val="0"/>
          <w:sz w:val="22"/>
        </w:rPr>
        <w:t xml:space="preserve">For the TCGA </w:t>
      </w:r>
      <w:r w:rsidR="00DB0B37" w:rsidRPr="00697DE2">
        <w:rPr>
          <w:rFonts w:ascii="Source Sans Pro" w:eastAsia="宋体" w:hAnsi="Source Sans Pro" w:cs="Calibri"/>
          <w:kern w:val="0"/>
          <w:sz w:val="22"/>
        </w:rPr>
        <w:t>dataset</w:t>
      </w:r>
      <w:r w:rsidRPr="00697DE2">
        <w:rPr>
          <w:rFonts w:ascii="Source Sans Pro" w:eastAsia="宋体" w:hAnsi="Source Sans Pro" w:cs="Calibri"/>
          <w:kern w:val="0"/>
          <w:sz w:val="22"/>
        </w:rPr>
        <w:t xml:space="preserve">, </w:t>
      </w:r>
      <w:r w:rsidR="00697DE2" w:rsidRPr="00697DE2">
        <w:rPr>
          <w:rFonts w:ascii="Source Sans Pro" w:eastAsia="宋体" w:hAnsi="Source Sans Pro" w:cs="Calibri"/>
          <w:kern w:val="0"/>
          <w:sz w:val="22"/>
        </w:rPr>
        <w:t>the MRI data of the TCGA-GBM (</w:t>
      </w:r>
      <w:hyperlink r:id="rId8" w:history="1">
        <w:r w:rsidR="00697DE2" w:rsidRPr="00697DE2">
          <w:rPr>
            <w:rStyle w:val="a5"/>
            <w:rFonts w:ascii="Source Sans Pro" w:eastAsia="宋体" w:hAnsi="Source Sans Pro" w:cs="Calibri"/>
            <w:color w:val="auto"/>
            <w:kern w:val="0"/>
            <w:sz w:val="22"/>
            <w:u w:val="none"/>
          </w:rPr>
          <w:t>https://doi.org/10.7937/K9/</w:t>
        </w:r>
      </w:hyperlink>
      <w:r w:rsidR="00697DE2" w:rsidRPr="00697DE2">
        <w:rPr>
          <w:rFonts w:ascii="Source Sans Pro" w:eastAsia="宋体" w:hAnsi="Source Sans Pro" w:cs="Calibri"/>
          <w:kern w:val="0"/>
          <w:sz w:val="22"/>
        </w:rPr>
        <w:t xml:space="preserve"> TCIA.2016. RNYFUYE9) and TCGA-LGG (https://doi.org/10.7937/K9/TCIA.2016.L4LTD3TK) collections consisted of 262 and 199 MRI scans, respectively, provided by </w:t>
      </w:r>
      <w:r w:rsidR="0063035B">
        <w:rPr>
          <w:rFonts w:ascii="Source Sans Pro" w:eastAsia="宋体" w:hAnsi="Source Sans Pro" w:cs="Calibri"/>
          <w:kern w:val="0"/>
          <w:sz w:val="22"/>
        </w:rPr>
        <w:t>eight</w:t>
      </w:r>
      <w:r w:rsidR="00697DE2" w:rsidRPr="00697DE2">
        <w:rPr>
          <w:rFonts w:ascii="Source Sans Pro" w:eastAsia="宋体" w:hAnsi="Source Sans Pro" w:cs="Calibri"/>
          <w:kern w:val="0"/>
          <w:sz w:val="22"/>
        </w:rPr>
        <w:t xml:space="preserve"> and </w:t>
      </w:r>
      <w:r w:rsidR="0063035B">
        <w:rPr>
          <w:rFonts w:ascii="Source Sans Pro" w:eastAsia="宋体" w:hAnsi="Source Sans Pro" w:cs="Calibri"/>
          <w:kern w:val="0"/>
          <w:sz w:val="22"/>
        </w:rPr>
        <w:t xml:space="preserve">five </w:t>
      </w:r>
      <w:r w:rsidR="00697DE2" w:rsidRPr="00697DE2">
        <w:rPr>
          <w:rFonts w:ascii="Source Sans Pro" w:eastAsia="宋体" w:hAnsi="Source Sans Pro" w:cs="Calibri"/>
          <w:kern w:val="0"/>
          <w:sz w:val="22"/>
        </w:rPr>
        <w:t xml:space="preserve">institutions </w:t>
      </w:r>
      <w:r w:rsidR="00D8525E" w:rsidRPr="00392614">
        <w:rPr>
          <w:rFonts w:ascii="Source Sans Pro" w:eastAsia="宋体" w:hAnsi="Source Sans Pro" w:cs="Calibri"/>
          <w:kern w:val="0"/>
          <w:sz w:val="22"/>
        </w:rPr>
        <w:t>(</w:t>
      </w:r>
      <w:r w:rsidR="003D2462">
        <w:rPr>
          <w:rFonts w:ascii="Source Sans Pro" w:eastAsia="宋体" w:hAnsi="Source Sans Pro" w:cs="Calibri"/>
          <w:b/>
          <w:bCs/>
          <w:kern w:val="0"/>
          <w:sz w:val="22"/>
        </w:rPr>
        <w:t>T</w:t>
      </w:r>
      <w:r w:rsidR="00BA2581" w:rsidRPr="00392614">
        <w:rPr>
          <w:rFonts w:ascii="Source Sans Pro" w:eastAsia="宋体" w:hAnsi="Source Sans Pro" w:cs="Calibri"/>
          <w:b/>
          <w:bCs/>
          <w:kern w:val="0"/>
          <w:sz w:val="22"/>
        </w:rPr>
        <w:t>able S</w:t>
      </w:r>
      <w:r w:rsidR="007D0F71">
        <w:rPr>
          <w:rFonts w:ascii="Source Sans Pro" w:eastAsia="宋体" w:hAnsi="Source Sans Pro" w:cs="Calibri"/>
          <w:b/>
          <w:bCs/>
          <w:kern w:val="0"/>
          <w:sz w:val="22"/>
        </w:rPr>
        <w:t>3</w:t>
      </w:r>
      <w:r w:rsidR="00D8525E" w:rsidRPr="00392614">
        <w:rPr>
          <w:rFonts w:ascii="Source Sans Pro" w:eastAsia="宋体" w:hAnsi="Source Sans Pro" w:cs="Calibri"/>
          <w:kern w:val="0"/>
          <w:sz w:val="22"/>
        </w:rPr>
        <w:t>). All pre-operative MRI volumes were re-oriented to the left-posterior-superior</w:t>
      </w:r>
      <w:r w:rsidR="00EB520C">
        <w:rPr>
          <w:rFonts w:ascii="Source Sans Pro" w:eastAsia="宋体" w:hAnsi="Source Sans Pro" w:cs="Calibri"/>
          <w:kern w:val="0"/>
          <w:sz w:val="22"/>
        </w:rPr>
        <w:t xml:space="preserve"> </w:t>
      </w:r>
      <w:r w:rsidR="005D5080">
        <w:rPr>
          <w:rFonts w:ascii="Source Sans Pro" w:eastAsia="宋体" w:hAnsi="Source Sans Pro" w:cs="Calibri"/>
          <w:kern w:val="0"/>
          <w:sz w:val="22"/>
        </w:rPr>
        <w:t xml:space="preserve">(LPS) </w:t>
      </w:r>
      <w:r w:rsidR="00D8525E" w:rsidRPr="00392614">
        <w:rPr>
          <w:rFonts w:ascii="Source Sans Pro" w:eastAsia="宋体" w:hAnsi="Source Sans Pro" w:cs="Calibri"/>
          <w:kern w:val="0"/>
          <w:sz w:val="22"/>
        </w:rPr>
        <w:t>coordinate system</w:t>
      </w:r>
      <w:r w:rsidR="00EB520C">
        <w:rPr>
          <w:rFonts w:ascii="Source Sans Pro" w:eastAsia="宋体" w:hAnsi="Source Sans Pro" w:cs="Calibri"/>
          <w:kern w:val="0"/>
          <w:sz w:val="22"/>
        </w:rPr>
        <w:t xml:space="preserve">, </w:t>
      </w:r>
      <w:r w:rsidR="00D8525E" w:rsidRPr="00392614">
        <w:rPr>
          <w:rFonts w:ascii="Source Sans Pro" w:eastAsia="宋体" w:hAnsi="Source Sans Pro" w:cs="Calibri"/>
          <w:kern w:val="0"/>
          <w:sz w:val="22"/>
        </w:rPr>
        <w:t>which is a requirement for GLISTRboost</w:t>
      </w:r>
      <w:r w:rsidR="00EB520C">
        <w:rPr>
          <w:rFonts w:ascii="Source Sans Pro" w:eastAsia="宋体" w:hAnsi="Source Sans Pro" w:cs="Calibri"/>
          <w:kern w:val="0"/>
          <w:sz w:val="22"/>
        </w:rPr>
        <w:t xml:space="preserve">. </w:t>
      </w:r>
      <w:r w:rsidR="00C342A3" w:rsidRPr="00C342A3">
        <w:rPr>
          <w:rFonts w:ascii="Source Sans Pro" w:eastAsia="宋体" w:hAnsi="Source Sans Pro" w:cs="Calibri"/>
          <w:kern w:val="0"/>
          <w:sz w:val="22"/>
        </w:rPr>
        <w:lastRenderedPageBreak/>
        <w:t>Subsequently</w:t>
      </w:r>
      <w:r w:rsidR="00C342A3">
        <w:rPr>
          <w:rFonts w:ascii="Source Sans Pro" w:eastAsia="宋体" w:hAnsi="Source Sans Pro" w:cs="Calibri"/>
          <w:kern w:val="0"/>
          <w:sz w:val="22"/>
        </w:rPr>
        <w:t>, t</w:t>
      </w:r>
      <w:r w:rsidR="00EB520C" w:rsidRPr="00EB520C">
        <w:rPr>
          <w:rFonts w:ascii="Source Sans Pro" w:eastAsia="宋体" w:hAnsi="Source Sans Pro" w:cs="Calibri"/>
          <w:kern w:val="0"/>
          <w:sz w:val="22"/>
        </w:rPr>
        <w:t>hey were co-registered to the same T1 anatomic template using affine registration through the Oxford Center for Functional MRI of the Brain (FMRIB) Linear Image Registration Tool (FLIRT)</w:t>
      </w:r>
      <w:r w:rsidR="006D427A">
        <w:rPr>
          <w:rFonts w:ascii="Source Sans Pro" w:eastAsia="宋体" w:hAnsi="Source Sans Pro" w:cs="Calibri"/>
          <w:kern w:val="0"/>
          <w:sz w:val="22"/>
        </w:rPr>
        <w:t xml:space="preserve"> </w:t>
      </w:r>
      <w:r w:rsidR="00EB520C"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{"citationID":"RHmMDQXH","properties":{"formattedCitation":"[1,2]","plainCitation":"[1,2]","noteIndex":0},"citationItems":[{"id":860,"uris":["http://zotero.org/users/10132978/items/NUDUGVPT"],"itemData":{"id":860,"type":"article-journal","abstract":"Registration is an important component of medical image analysis and for analysing large amounts of data it is desirable to have fully automatic registration methods. Many different automatic registration methods have been proposed to date, and almost all share a common mathematical framework — one of optimising a cost function. To date little attention has been focused on the optimisation method itself, even though the success of most registration methods hinges on the quality of this optimisation. This paper examines the assumptions underlying the problem of registration for brain images using inter-modal voxel similarity measures. It is demonstrated that the use of local optimisation methods together with the standard multi-resolution approach is not sufficient to reliably find the global minimum. To address this problem, a global optimisation method is proposed that is specifically tailored to this form of registration. A full discussion of all the necessary implementation details is included as this is an important part of any practical method. Furthermore, results are presented for inter-modal, inter-subject registration experiments that show that the proposed method is more reliable at finding the global minimum than seve</w:instrText>
      </w:r>
      <w:r w:rsidR="00722BE8">
        <w:rPr>
          <w:rFonts w:ascii="Source Sans Pro" w:eastAsia="宋体" w:hAnsi="Source Sans Pro" w:cs="Calibri" w:hint="eastAsia"/>
          <w:kern w:val="0"/>
          <w:sz w:val="22"/>
        </w:rPr>
        <w:instrText>ral of the currently available registration packages in common usage.","archive":"Q1","archive_location":"</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Top","call-number":"13.828","container-title":"Medical Image Analysis","DOI":"10.1016/S1361-8415(01)00036-6","ISSN":"1361-8415","issue":"2","journalAbbreviation":"Med. Image Anal.","language":"en-US","license":"14.934","note":"JCR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工程技术</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10.9\n5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xml:space="preserve">: 13.7\nEI: </w:instrText>
      </w:r>
      <w:r w:rsidR="00722BE8">
        <w:rPr>
          <w:rFonts w:ascii="Source Sans Pro" w:eastAsia="宋体" w:hAnsi="Source Sans Pro" w:cs="Calibri" w:hint="eastAsia"/>
          <w:kern w:val="0"/>
          <w:sz w:val="22"/>
        </w:rPr>
        <w:instrText>是</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脑图像鲁棒仿射配准的全局优化方法</w:instrText>
      </w:r>
      <w:r w:rsidR="00722BE8">
        <w:rPr>
          <w:rFonts w:ascii="Source Sans Pro" w:eastAsia="宋体" w:hAnsi="Source Sans Pro" w:cs="Calibri" w:hint="eastAsia"/>
          <w:kern w:val="0"/>
          <w:sz w:val="22"/>
        </w:rPr>
        <w:instrText>","page":"143-156","source":"</w:instrText>
      </w:r>
      <w:r w:rsidR="00722BE8">
        <w:rPr>
          <w:rFonts w:ascii="Source Sans Pro" w:eastAsia="宋体" w:hAnsi="Source Sans Pro" w:cs="Calibri" w:hint="eastAsia"/>
          <w:kern w:val="0"/>
          <w:sz w:val="22"/>
        </w:rPr>
        <w:instrText>计算机：人工智能</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计算机：跨学科应用</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工程：生物医学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核医学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","title":"A global optimisation method for robust affine registration of brain images","title-short":"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脑图像鲁棒仿射配准的全局优化方法</w:instrText>
      </w:r>
      <w:r w:rsidR="00722BE8">
        <w:rPr>
          <w:rFonts w:ascii="Source Sans Pro" w:eastAsia="宋体" w:hAnsi="Source Sans Pro" w:cs="Calibri" w:hint="eastAsia"/>
          <w:kern w:val="0"/>
          <w:sz w:val="22"/>
        </w:rPr>
        <w:instrText>","volume":"5","author":[{"family":"Jenkinson","given":"Mark"},{"family":"Smith","given":"Stephen"}],"issued":{"date-p</w:instrText>
      </w:r>
      <w:r w:rsidR="00722BE8">
        <w:rPr>
          <w:rFonts w:ascii="Source Sans Pro" w:eastAsia="宋体" w:hAnsi="Source Sans Pro" w:cs="Calibri"/>
          <w:kern w:val="0"/>
          <w:sz w:val="22"/>
        </w:rPr>
        <w:instrText>arts":[["2001",6,1]]}},"label":"page"},{"id":861,"uris":["http://zotero.org/users/10132978/items/I86F6M74"],"itemData":{"id":861,"type":"article-journal","abstract":"Linear registration and motion correction are important components of structural and functional brain image analysis. Most modern methods optimize some intensity-based cost function to determine the best registration. To date, little attention has been focused on the optimization method itself, even though the success of most registration methods hinges on the quality of this optimization. This paper examines the optimization process in detail and demonstrates that the commonly used multiresolution local optimization methods can, and do, get trapped in local minima. To address this problem, two approaches are taken: (1) to apodize the cost function and (2) to employ a novel hybrid global–local optimization method. This new optimization method is specifically designed for registering whole brain images. It substantially reduces the likelihood of producing misregistrations due to being trapped by local minima. The increased robustness of the method, compared to other commonly used methods, is demonstrated by a consistency test. In addition, the accuracy of the registration is demonstrated by a series of experiments with motion correction. These motion correction experiments also investigate how the results are affected by different cost functions and interpolation methods.","call-number":"1","container-title":"NeuroImage","DOI":"10.1006/nimg.20</w:instrText>
      </w:r>
      <w:r w:rsidR="00722BE8">
        <w:rPr>
          <w:rFonts w:ascii="Source Sans Pro" w:eastAsia="宋体" w:hAnsi="Source Sans Pro" w:cs="Calibri" w:hint="eastAsia"/>
          <w:kern w:val="0"/>
          <w:sz w:val="22"/>
        </w:rPr>
        <w:instrText>02.1132","ISSN":"1053-8119","issue":"2","journalAbbreviation":"NeuroImage","language":"en-US","note":"JCR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5.7\n5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7.0\n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针对脑部图像的鲁棒准确的线性配准和运动校正的改进优化</w:instrText>
      </w:r>
      <w:r w:rsidR="00722BE8">
        <w:rPr>
          <w:rFonts w:ascii="Source Sans Pro" w:eastAsia="宋体" w:hAnsi="Source Sans Pro" w:cs="Calibri" w:hint="eastAsia"/>
          <w:kern w:val="0"/>
          <w:sz w:val="22"/>
        </w:rPr>
        <w:instrText>","page":"825-841","source":"7.4","title":"Improved Optimization for the Robust and Accurate Linear Registration and Motion Correction of Brain Images","title-short":"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针对脑部图像的鲁棒准确的线性配准和运动校正的改进优化</w:instrText>
      </w:r>
      <w:r w:rsidR="00722BE8">
        <w:rPr>
          <w:rFonts w:ascii="Source Sans Pro" w:eastAsia="宋体" w:hAnsi="Source Sans Pro" w:cs="Calibri" w:hint="eastAsia"/>
          <w:kern w:val="0"/>
          <w:sz w:val="22"/>
        </w:rPr>
        <w:instrText>","volume":"17","author":[{"family":"Jenkinson","given":"Mark"},{"family":"Bannister","given":"P</w:instrText>
      </w:r>
      <w:r w:rsidR="00722BE8">
        <w:rPr>
          <w:rFonts w:ascii="Source Sans Pro" w:eastAsia="宋体" w:hAnsi="Source Sans Pro" w:cs="Calibri"/>
          <w:kern w:val="0"/>
          <w:sz w:val="22"/>
        </w:rPr>
        <w:instrText xml:space="preserve">eter"},{"family":"Brady","given":"Michael"},{"family":"Smith","given":"Stephen"}],"issued":{"date-parts":[["2002",10,1]]}},"label":"page"}],"schema":"https://github.com/citation-style-language/schema/raw/master/csl-citation.json"} </w:instrText>
      </w:r>
      <w:r w:rsidR="00EB520C" w:rsidRPr="00392614">
        <w:rPr>
          <w:rFonts w:ascii="Source Sans Pro" w:eastAsia="宋体" w:hAnsi="Source Sans Pro" w:cs="Calibri"/>
          <w:kern w:val="0"/>
          <w:sz w:val="22"/>
        </w:rPr>
        <w:fldChar w:fldCharType="separate"/>
      </w:r>
      <w:r w:rsidR="00722BE8" w:rsidRPr="00722BE8">
        <w:rPr>
          <w:rFonts w:ascii="Source Sans Pro" w:hAnsi="Source Sans Pro"/>
          <w:sz w:val="22"/>
        </w:rPr>
        <w:t>[1,2]</w:t>
      </w:r>
      <w:r w:rsidR="00EB520C" w:rsidRPr="00392614">
        <w:rPr>
          <w:rFonts w:ascii="Source Sans Pro" w:eastAsia="宋体" w:hAnsi="Source Sans Pro" w:cs="Calibri"/>
          <w:kern w:val="0"/>
          <w:sz w:val="22"/>
        </w:rPr>
        <w:fldChar w:fldCharType="end"/>
      </w:r>
      <w:r w:rsidR="00EB520C" w:rsidRPr="00EB520C">
        <w:rPr>
          <w:rFonts w:ascii="Source Sans Pro" w:eastAsia="宋体" w:hAnsi="Source Sans Pro" w:cs="Calibri"/>
          <w:kern w:val="0"/>
          <w:sz w:val="22"/>
        </w:rPr>
        <w:t xml:space="preserve"> of the FMRIB Software Library (FSL)</w:t>
      </w:r>
      <w:r w:rsidR="006D427A">
        <w:rPr>
          <w:rFonts w:ascii="Source Sans Pro" w:eastAsia="宋体" w:hAnsi="Source Sans Pro" w:cs="Calibri"/>
          <w:kern w:val="0"/>
          <w:sz w:val="22"/>
        </w:rPr>
        <w:t xml:space="preserve"> </w:t>
      </w:r>
      <w:r w:rsidR="00EB520C"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{"citationID":"sLr7i9q4","properties":{"formattedCitation":"[3\\uc0\\u8211{}5]","plainCitation":"[3–5]","noteIndex":0},"citationItems":[{"id":5673,"uris":["http://zotero.org/users/10132978/items/ZZLRF69V"],"itemData":{"id":5673,"type":"article-journal","abstract":"Semantic Scholar extracted view of \"Advances in functional and structural MR image analysis and implementation as FSL\" by Stephen M. Smith et al.","container-title":"NeuroImage","DOI":"10.1016/j.neuroimage.2004.</w:instrText>
      </w:r>
      <w:r w:rsidR="00722BE8">
        <w:rPr>
          <w:rFonts w:ascii="Source Sans Pro" w:eastAsia="宋体" w:hAnsi="Source Sans Pro" w:cs="Calibri" w:hint="eastAsia"/>
          <w:kern w:val="0"/>
          <w:sz w:val="22"/>
        </w:rPr>
        <w:instrText>07.051","ISSN":"10538119","journalAbbreviation":"NeuroImage","language":"en","note":"JCR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5.7\n5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7.0","page":"S208-S219","source":"Semantic Scholar","title":"Advances in functional and structural MR image analysis and imp</w:instrText>
      </w:r>
      <w:r w:rsidR="00722BE8">
        <w:rPr>
          <w:rFonts w:ascii="Source Sans Pro" w:eastAsia="宋体" w:hAnsi="Source Sans Pro" w:cs="Calibri"/>
          <w:kern w:val="0"/>
          <w:sz w:val="22"/>
        </w:rPr>
        <w:instrText>lementation as FSL","volume":"23","author":[{"family":"Smith","given":"Stephen M."},{"family":"Jenkinson","given":"Mark"},{"family":"Woolrich","given":"Mark W."},{"family":"Beckmann","given":"Christian F."},{"family":"Behrens","given":"Timothy E.J."},{"family":"Johansen-Berg","given":"Heidi"},{"family":"Bannister","given":"Peter R."},{"family":"De Luca","given":"Marilena"},{"family":"Drobnjak","given":"Ivana"},{"family":"Flitney","given":"David E."},{"family":"Niazy","given":"Rami K."},{"family":"Saunders","given":"James"},{"family":"Vickers","given":"John"},{"family":"Zhang","given":"Yongyue"},{"family":"De Stefano","given":"Nicola"},{"family":"Brady","given":"J. Michael"},{"family":"Matthews","given":"Paul M."}],"issued":{"date-parts":[["2004",1]]}},"label":"page"},{"id":5676,"uris":["http://zotero.org/users/10132978/items/FFHFWCIS"],"itemData":{"id":5676,"type":"article-journal","abstract":"Semantic Scholar extracted view of \"Bayesian analysis of neuroimaging data in FSL\" by M. Woolrich et al.","cont</w:instrText>
      </w:r>
      <w:r w:rsidR="00722BE8">
        <w:rPr>
          <w:rFonts w:ascii="Source Sans Pro" w:eastAsia="宋体" w:hAnsi="Source Sans Pro" w:cs="Calibri" w:hint="eastAsia"/>
          <w:kern w:val="0"/>
          <w:sz w:val="22"/>
        </w:rPr>
        <w:instrText>ainer-title":"NeuroImage","DOI":"10.1016/j.neuroimage.2008.10.055","ISSN":"10538119","issue":"1","journalAbbreviation":"NeuroImage","language":"en","note":"JCR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5.7\n5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7.0","page":"S173-S186","source":"Semantic Scholar","</w:instrText>
      </w:r>
      <w:r w:rsidR="00722BE8">
        <w:rPr>
          <w:rFonts w:ascii="Source Sans Pro" w:eastAsia="宋体" w:hAnsi="Source Sans Pro" w:cs="Calibri"/>
          <w:kern w:val="0"/>
          <w:sz w:val="22"/>
        </w:rPr>
        <w:instrText>title":"Bayesian analysis of neuroimaging data in FSL","volume":"45","author":[{"family":"Woolrich","given":"Mark W."},{"family":"Jbabdi","given":"Saad"},{"family":"Patenaude","given":"Brian"},{"family":"Chappell","given":"Michael"},{"family":"Makni","given":"Salima"},{"family":"Behrens","given":"Timothy"},{"family":"Beckmann","given":"Christian"},{"family":"Jenkinson","given":"Mark"},{"family":"Smith","given":"Stephen M."}],"issued":{"date-parts":[["2009",3]]}},"label":"page"},{"id":"htTvsGG8/tEDZcp10","</w:instrText>
      </w:r>
      <w:r w:rsidR="00722BE8">
        <w:rPr>
          <w:rFonts w:ascii="Source Sans Pro" w:eastAsia="宋体" w:hAnsi="Source Sans Pro" w:cs="Calibri" w:hint="eastAsia"/>
          <w:kern w:val="0"/>
          <w:sz w:val="22"/>
        </w:rPr>
        <w:instrText>uris":["http://zotero.org/users/10132978/items/LKU5LXVH"],"itemData":{"id":5679,"type":"article-journal","abstract":"Abstract\n            An automated method for segmenting magnetic resonance head images into brain and non</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brain has been developed. It is</w:instrText>
      </w:r>
      <w:r w:rsidR="00722BE8">
        <w:rPr>
          <w:rFonts w:ascii="Source Sans Pro" w:eastAsia="宋体" w:hAnsi="Source Sans Pro" w:cs="Calibri"/>
          <w:kern w:val="0"/>
          <w:sz w:val="22"/>
        </w:rPr>
        <w:instrText xml:space="preserve"> very robust and accurate and has been tested on thousands of data sets from a wide variety of scanners and taken with a wide variety of MR sequences. The method, Brain Extraction Tool (BET), uses a deformable model that evolves to fit the brain's surface</w:instrText>
      </w:r>
      <w:r w:rsidR="00722BE8">
        <w:rPr>
          <w:rFonts w:ascii="Source Sans Pro" w:eastAsia="宋体" w:hAnsi="Source Sans Pro" w:cs="Calibri" w:hint="eastAsia"/>
          <w:kern w:val="0"/>
          <w:sz w:val="22"/>
        </w:rPr>
        <w:instrText xml:space="preserve"> by the application of a set of locally adaptive model forces. The method is very fast and requires no preregistration or other pre</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 xml:space="preserve">processing before being applied. We describe the new method and give examples of results and the results of extensive quantitative testing against </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gold</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standard</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 xml:space="preserve"> hand segmentations, and two other popular automated methods. Hum. Brain Mapping 17:143</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155, 2002. © 2002 Wiley</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Liss, Inc.","container-title":"Human Brain Mapping","DOI":"10.1002/hbm.10062","ISSN":"1065-9471, 1097-01</w:instrText>
      </w:r>
      <w:r w:rsidR="00722BE8">
        <w:rPr>
          <w:rFonts w:ascii="Source Sans Pro" w:eastAsia="宋体" w:hAnsi="Source Sans Pro" w:cs="Calibri"/>
          <w:kern w:val="0"/>
          <w:sz w:val="22"/>
        </w:rPr>
        <w:instrText xml:space="preserve">93","issue":"3","journalAbbreviation":"Human Brain Mapping","language":"en","page":"143-155","source":"Semantic Scholar","title":"Fast robust automated brain extraction","volume":"17","author":[{"family":"Smith","given":"Stephen M."}],"issued":{"date-parts":[["2002",11]]}},"label":"page"}],"schema":"https://github.com/citation-style-language/schema/raw/master/csl-citation.json"} </w:instrText>
      </w:r>
      <w:r w:rsidR="00EB520C" w:rsidRPr="00392614">
        <w:rPr>
          <w:rFonts w:ascii="Source Sans Pro" w:eastAsia="宋体" w:hAnsi="Source Sans Pro" w:cs="Calibri"/>
          <w:kern w:val="0"/>
          <w:sz w:val="22"/>
        </w:rPr>
        <w:fldChar w:fldCharType="separate"/>
      </w:r>
      <w:r w:rsidR="00722BE8" w:rsidRPr="00722BE8">
        <w:rPr>
          <w:rFonts w:ascii="Source Sans Pro" w:hAnsi="Source Sans Pro" w:cs="Times New Roman"/>
          <w:kern w:val="0"/>
          <w:sz w:val="22"/>
          <w:szCs w:val="24"/>
        </w:rPr>
        <w:t>[3–5]</w:t>
      </w:r>
      <w:r w:rsidR="00EB520C" w:rsidRPr="00392614">
        <w:rPr>
          <w:rFonts w:ascii="Source Sans Pro" w:eastAsia="宋体" w:hAnsi="Source Sans Pro" w:cs="Calibri"/>
          <w:kern w:val="0"/>
          <w:sz w:val="22"/>
        </w:rPr>
        <w:fldChar w:fldCharType="end"/>
      </w:r>
      <w:r w:rsidR="00EB520C" w:rsidRPr="00EB520C">
        <w:rPr>
          <w:rFonts w:ascii="Source Sans Pro" w:eastAsia="宋体" w:hAnsi="Source Sans Pro" w:cs="Calibri"/>
          <w:kern w:val="0"/>
          <w:sz w:val="22"/>
        </w:rPr>
        <w:t>, and resampled to a voxel resolution of 1 mm^3. The volumes of all modalities for each patient were skull-stripped using the Brain Extraction Tool (BET)</w:t>
      </w:r>
      <w:r w:rsidR="006D427A">
        <w:rPr>
          <w:rFonts w:ascii="Source Sans Pro" w:eastAsia="宋体" w:hAnsi="Source Sans Pro" w:cs="Calibri"/>
          <w:kern w:val="0"/>
          <w:sz w:val="22"/>
        </w:rPr>
        <w:t xml:space="preserve"> </w:t>
      </w:r>
      <w:r w:rsidR="00EB520C"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{"citationID":"VCdpiRE0","properties":{"formattedCitation":"[6]","plainCitation":"[6]","noteIndex":0},"citationItems":[{"id":866,"uris":["http://zotero.org/users/10132978/items/DCIECFBV"],"itemData":{"id":866,"type":"articl</w:instrText>
      </w:r>
      <w:r w:rsidR="00722BE8">
        <w:rPr>
          <w:rFonts w:ascii="Source Sans Pro" w:eastAsia="宋体" w:hAnsi="Source Sans Pro" w:cs="Calibri" w:hint="eastAsia"/>
          <w:kern w:val="0"/>
          <w:sz w:val="22"/>
        </w:rPr>
        <w:instrText>e-journal","abstract":"An automated method for segmenting magnetic resonance head images into brain and non</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brain has been developed. It is very robust and accurate and has been tested on thousands of data sets from a wide variety of scanners and taken wi</w:instrText>
      </w:r>
      <w:r w:rsidR="00722BE8">
        <w:rPr>
          <w:rFonts w:ascii="Source Sans Pro" w:eastAsia="宋体" w:hAnsi="Source Sans Pro" w:cs="Calibri"/>
          <w:kern w:val="0"/>
          <w:sz w:val="22"/>
        </w:rPr>
        <w:instrText>th a wide variety of MR sequences. The method, Brain Extraction Tool (BET), uses a deformable model that evolves to fit the brain's surface by the application of a set of locally adaptive model forces. The method is very fast and requires no preregistrati</w:instrText>
      </w:r>
      <w:r w:rsidR="00722BE8">
        <w:rPr>
          <w:rFonts w:ascii="Source Sans Pro" w:eastAsia="宋体" w:hAnsi="Source Sans Pro" w:cs="Calibri" w:hint="eastAsia"/>
          <w:kern w:val="0"/>
          <w:sz w:val="22"/>
        </w:rPr>
        <w:instrText>on or other pre</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 xml:space="preserve">processing before being applied. We describe the new method and give examples of results and the results of extensive quantitative testing against </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gold</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standard</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 xml:space="preserve"> hand segmentations, and two other popular automated methods. Hum. Brain Mapping 17:143</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155, 2002. © 2002 Wiley</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Liss, Inc.","archive":"Q1/Q2","archive_location":"</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","call-number":"5.399","container-title":"Human Brain Mapping","DOI":"10.1002/hbm.10062","ISSN":"1065-9471","issue":"3","journalAbbreviation":"Hum. Brain Mapp.","language":"en-US","license":"5.805","note":"PMID: 12391568\nPMCID: PMC6871816\nJCR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4.8\n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快速鲁棒的自动脑提取</w:instrText>
      </w:r>
      <w:r w:rsidR="00722BE8">
        <w:rPr>
          <w:rFonts w:ascii="Source Sans Pro" w:eastAsia="宋体" w:hAnsi="Source Sans Pro" w:cs="Calibri" w:hint="eastAsia"/>
          <w:kern w:val="0"/>
          <w:sz w:val="22"/>
        </w:rPr>
        <w:instrText>\n5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5.4","page":"143-155","source":"</w:instrText>
      </w:r>
      <w:r w:rsidR="00722BE8">
        <w:rPr>
          <w:rFonts w:ascii="Source Sans Pro" w:eastAsia="宋体" w:hAnsi="Source Sans Pro" w:cs="Calibri" w:hint="eastAsia"/>
          <w:kern w:val="0"/>
          <w:sz w:val="22"/>
        </w:rPr>
        <w:instrText>神经成像</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神经科学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核医学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","title":"Fast robust automated brain extraction","title-short":"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快速鲁棒的自动脑提取</w:instrText>
      </w:r>
      <w:r w:rsidR="00722BE8">
        <w:rPr>
          <w:rFonts w:ascii="Source Sans Pro" w:eastAsia="宋体" w:hAnsi="Source Sans Pro" w:cs="Calibri" w:hint="eastAsia"/>
          <w:kern w:val="0"/>
          <w:sz w:val="22"/>
        </w:rPr>
        <w:instrText xml:space="preserve">","volume":"17","author":[{"family":"Smith","given":"Stephen M."}],"issued":{"date-parts":[["2002",9,18]]}}}],"schema":"https://github.com/citation-style-language/schema/raw/master/csl-citation.json"} </w:instrText>
      </w:r>
      <w:r w:rsidR="00EB520C" w:rsidRPr="00392614">
        <w:rPr>
          <w:rFonts w:ascii="Source Sans Pro" w:eastAsia="宋体" w:hAnsi="Source Sans Pro" w:cs="Calibri"/>
          <w:kern w:val="0"/>
          <w:sz w:val="22"/>
        </w:rPr>
        <w:fldChar w:fldCharType="separate"/>
      </w:r>
      <w:r w:rsidR="00722BE8" w:rsidRPr="00722BE8">
        <w:rPr>
          <w:rFonts w:ascii="Source Sans Pro" w:hAnsi="Source Sans Pro"/>
          <w:sz w:val="22"/>
        </w:rPr>
        <w:t>[6]</w:t>
      </w:r>
      <w:r w:rsidR="00EB520C" w:rsidRPr="00392614">
        <w:rPr>
          <w:rFonts w:ascii="Source Sans Pro" w:eastAsia="宋体" w:hAnsi="Source Sans Pro" w:cs="Calibri"/>
          <w:kern w:val="0"/>
          <w:sz w:val="22"/>
        </w:rPr>
        <w:fldChar w:fldCharType="end"/>
      </w:r>
      <w:r w:rsidR="00EB520C" w:rsidRPr="00392614">
        <w:rPr>
          <w:rFonts w:ascii="Source Sans Pro" w:eastAsia="宋体" w:hAnsi="Source Sans Pro" w:cs="Calibri"/>
          <w:kern w:val="0"/>
          <w:sz w:val="22"/>
        </w:rPr>
        <w:t xml:space="preserve"> </w:t>
      </w:r>
      <w:r w:rsidR="00EB520C">
        <w:rPr>
          <w:rFonts w:ascii="Source Sans Pro" w:eastAsia="宋体" w:hAnsi="Source Sans Pro" w:cs="Calibri"/>
          <w:kern w:val="0"/>
          <w:sz w:val="22"/>
        </w:rPr>
        <w:t xml:space="preserve"> </w:t>
      </w:r>
      <w:r w:rsidR="00EB520C" w:rsidRPr="00EB520C">
        <w:rPr>
          <w:rFonts w:ascii="Source Sans Pro" w:eastAsia="宋体" w:hAnsi="Source Sans Pro" w:cs="Calibri"/>
          <w:kern w:val="0"/>
          <w:sz w:val="22"/>
        </w:rPr>
        <w:t>from FSL. In cases where BET produced insufficient results, a novel automated method based on a multi-atlas registration and label fusion framework was used for subsequent skull-stripping</w:t>
      </w:r>
      <w:r w:rsidR="00F73656">
        <w:rPr>
          <w:rFonts w:ascii="Source Sans Pro" w:eastAsia="宋体" w:hAnsi="Source Sans Pro" w:cs="Calibri"/>
          <w:kern w:val="0"/>
          <w:sz w:val="22"/>
        </w:rPr>
        <w:t xml:space="preserve"> </w:t>
      </w:r>
      <w:r w:rsidR="00EB520C"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{"citationID":"eJBdBvfT","properties":{"formattedCitation":"[7]","plainCitation":"[7]","noteIndex":0},"citationItems":[{"id":856,"uris":["http://zotero.org/users/10132978/items/RFTZAUYX"],"itemData":{"id":856,"type":"articl</w:instrText>
      </w:r>
      <w:r w:rsidR="00722BE8">
        <w:rPr>
          <w:rFonts w:ascii="Source Sans Pro" w:eastAsia="宋体" w:hAnsi="Source Sans Pro" w:cs="Calibri" w:hint="eastAsia"/>
          <w:kern w:val="0"/>
          <w:sz w:val="22"/>
        </w:rPr>
        <w:instrText>e-journal","archive":"Q1","archive_location":"</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","call-number":"5.482","container-title":"Academic Radiology","DOI":"10.1016/j.acra.2013.09.010","ISSN":"1076-6332, 1878-4046","issue":"12","journalAbbreviation":"Acad. Radiol.","language":"en-US","license":"4.076","note":"publisher: Elsevier\nPMID: 24200484\nJCR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4.8\n5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3.8\n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多图谱颅骨剥离</w:instrText>
      </w:r>
      <w:r w:rsidR="00722BE8">
        <w:rPr>
          <w:rFonts w:ascii="Source Sans Pro" w:eastAsia="宋体" w:hAnsi="Source Sans Pro" w:cs="Calibri" w:hint="eastAsia"/>
          <w:kern w:val="0"/>
          <w:sz w:val="22"/>
        </w:rPr>
        <w:instrText>","page":"1566-1576","source":"</w:instrText>
      </w:r>
      <w:r w:rsidR="00722BE8">
        <w:rPr>
          <w:rFonts w:ascii="Source Sans Pro" w:eastAsia="宋体" w:hAnsi="Source Sans Pro" w:cs="Calibri" w:hint="eastAsia"/>
          <w:kern w:val="0"/>
          <w:sz w:val="22"/>
        </w:rPr>
        <w:instrText>核医学</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","title":"Multi-Atlas Skull-Stripping","title-short":"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多图谱颅骨剥离</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kern w:val="0"/>
          <w:sz w:val="22"/>
        </w:rPr>
        <w:instrText xml:space="preserve">,"volume":"20","author":[{"family":"Doshi","given":"Jimit"},{"family":"Erus","given":"Guray"},{"family":"Ou","given":"Yangming"},{"family":"Gaonkar","given":"Bilwaj"},{"family":"Davatzikos","given":"Christos"}],"issued":{"date-parts":[["2013",12,1]]}}}],"schema":"https://github.com/citation-style-language/schema/raw/master/csl-citation.json"} </w:instrText>
      </w:r>
      <w:r w:rsidR="00EB520C" w:rsidRPr="00392614">
        <w:rPr>
          <w:rFonts w:ascii="Source Sans Pro" w:eastAsia="宋体" w:hAnsi="Source Sans Pro" w:cs="Calibri"/>
          <w:kern w:val="0"/>
          <w:sz w:val="22"/>
        </w:rPr>
        <w:fldChar w:fldCharType="separate"/>
      </w:r>
      <w:r w:rsidR="00722BE8" w:rsidRPr="00722BE8">
        <w:rPr>
          <w:rFonts w:ascii="Source Sans Pro" w:hAnsi="Source Sans Pro"/>
          <w:sz w:val="22"/>
        </w:rPr>
        <w:t>[7]</w:t>
      </w:r>
      <w:r w:rsidR="00EB520C" w:rsidRPr="00392614">
        <w:rPr>
          <w:rFonts w:ascii="Source Sans Pro" w:eastAsia="宋体" w:hAnsi="Source Sans Pro" w:cs="Calibri"/>
          <w:kern w:val="0"/>
          <w:sz w:val="22"/>
        </w:rPr>
        <w:fldChar w:fldCharType="end"/>
      </w:r>
      <w:r w:rsidR="00EB520C" w:rsidRPr="00392614">
        <w:rPr>
          <w:rFonts w:ascii="Source Sans Pro" w:eastAsia="宋体" w:hAnsi="Source Sans Pro" w:cs="Calibri"/>
          <w:kern w:val="0"/>
          <w:sz w:val="22"/>
        </w:rPr>
        <w:t>.</w:t>
      </w:r>
      <w:r w:rsidR="00896776">
        <w:rPr>
          <w:rFonts w:ascii="Source Sans Pro" w:eastAsia="宋体" w:hAnsi="Source Sans Pro" w:cs="Calibri"/>
          <w:kern w:val="0"/>
          <w:sz w:val="22"/>
        </w:rPr>
        <w:t xml:space="preserve"> </w:t>
      </w:r>
      <w:r w:rsidR="00E66A30">
        <w:rPr>
          <w:rFonts w:ascii="Source Sans Pro" w:eastAsia="宋体" w:hAnsi="Source Sans Pro" w:cs="Calibri"/>
          <w:kern w:val="0"/>
          <w:sz w:val="22"/>
        </w:rPr>
        <w:t xml:space="preserve"> </w:t>
      </w:r>
    </w:p>
    <w:p w14:paraId="7293592C" w14:textId="7CB6A928" w:rsidR="00223B6D" w:rsidRPr="00392614" w:rsidRDefault="001600D2" w:rsidP="00223B6D">
      <w:pPr>
        <w:widowControl/>
        <w:spacing w:line="360" w:lineRule="auto"/>
        <w:ind w:firstLineChars="200" w:firstLine="440"/>
        <w:jc w:val="left"/>
        <w:rPr>
          <w:rFonts w:ascii="Source Sans Pro" w:eastAsia="宋体" w:hAnsi="Source Sans Pro" w:cs="Calibri"/>
          <w:kern w:val="0"/>
          <w:sz w:val="22"/>
        </w:rPr>
      </w:pPr>
      <w:r w:rsidRPr="00392614">
        <w:rPr>
          <w:rFonts w:ascii="Source Sans Pro" w:eastAsia="宋体" w:hAnsi="Source Sans Pro" w:cs="Calibri"/>
          <w:kern w:val="0"/>
          <w:sz w:val="22"/>
        </w:rPr>
        <w:t xml:space="preserve">All MRI </w:t>
      </w:r>
      <w:r w:rsidR="00B412D1">
        <w:rPr>
          <w:rFonts w:ascii="Source Sans Pro" w:eastAsia="宋体" w:hAnsi="Source Sans Pro" w:cs="Calibri"/>
          <w:kern w:val="0"/>
          <w:sz w:val="22"/>
        </w:rPr>
        <w:t xml:space="preserve">images </w:t>
      </w:r>
      <w:r w:rsidR="00162596" w:rsidRPr="00392614">
        <w:rPr>
          <w:rFonts w:ascii="Source Sans Pro" w:eastAsia="宋体" w:hAnsi="Source Sans Pro" w:cs="Calibri"/>
          <w:kern w:val="0"/>
          <w:sz w:val="22"/>
        </w:rPr>
        <w:t xml:space="preserve">of </w:t>
      </w:r>
      <w:r w:rsidR="0001275E">
        <w:rPr>
          <w:rFonts w:ascii="Source Sans Pro" w:eastAsia="宋体" w:hAnsi="Source Sans Pro" w:cs="Calibri"/>
          <w:kern w:val="0"/>
          <w:sz w:val="22"/>
        </w:rPr>
        <w:t xml:space="preserve">the </w:t>
      </w:r>
      <w:r w:rsidR="00162596" w:rsidRPr="00392614">
        <w:rPr>
          <w:rFonts w:ascii="Source Sans Pro" w:eastAsia="宋体" w:hAnsi="Source Sans Pro" w:cs="Calibri"/>
          <w:kern w:val="0"/>
          <w:sz w:val="22"/>
        </w:rPr>
        <w:t xml:space="preserve">UCSF </w:t>
      </w:r>
      <w:r w:rsidR="0001275E">
        <w:rPr>
          <w:rFonts w:ascii="Source Sans Pro" w:eastAsia="宋体" w:hAnsi="Source Sans Pro" w:cs="Calibri"/>
          <w:kern w:val="0"/>
          <w:sz w:val="22"/>
        </w:rPr>
        <w:t>dataset</w:t>
      </w:r>
      <w:r w:rsidR="00162596" w:rsidRPr="00392614">
        <w:rPr>
          <w:rFonts w:ascii="Source Sans Pro" w:eastAsia="宋体" w:hAnsi="Source Sans Pro" w:cs="Calibri"/>
          <w:kern w:val="0"/>
          <w:sz w:val="22"/>
        </w:rPr>
        <w:t xml:space="preserve"> </w:t>
      </w:r>
      <w:r w:rsidRPr="00392614">
        <w:rPr>
          <w:rFonts w:ascii="Source Sans Pro" w:eastAsia="宋体" w:hAnsi="Source Sans Pro" w:cs="Calibri"/>
          <w:kern w:val="0"/>
          <w:sz w:val="22"/>
        </w:rPr>
        <w:t xml:space="preserve">was performed </w:t>
      </w:r>
      <w:r w:rsidR="0001275E">
        <w:rPr>
          <w:rFonts w:ascii="Source Sans Pro" w:eastAsia="宋体" w:hAnsi="Source Sans Pro" w:cs="Calibri"/>
          <w:kern w:val="0"/>
          <w:sz w:val="22"/>
        </w:rPr>
        <w:t>using</w:t>
      </w:r>
      <w:r w:rsidRPr="00392614">
        <w:rPr>
          <w:rFonts w:ascii="Source Sans Pro" w:eastAsia="宋体" w:hAnsi="Source Sans Pro" w:cs="Calibri"/>
          <w:kern w:val="0"/>
          <w:sz w:val="22"/>
        </w:rPr>
        <w:t xml:space="preserve"> a 3</w:t>
      </w:r>
      <w:r w:rsidR="0001275E">
        <w:rPr>
          <w:rFonts w:ascii="Source Sans Pro" w:eastAsia="宋体" w:hAnsi="Source Sans Pro" w:cs="Calibri"/>
          <w:kern w:val="0"/>
          <w:sz w:val="22"/>
        </w:rPr>
        <w:t xml:space="preserve">.0 </w:t>
      </w:r>
      <w:r w:rsidRPr="00392614">
        <w:rPr>
          <w:rFonts w:ascii="Source Sans Pro" w:eastAsia="宋体" w:hAnsi="Source Sans Pro" w:cs="Calibri"/>
          <w:kern w:val="0"/>
          <w:sz w:val="22"/>
        </w:rPr>
        <w:t xml:space="preserve">T scanner (Discovery </w:t>
      </w:r>
      <w:r w:rsidR="00E66A30">
        <w:rPr>
          <w:rFonts w:ascii="Source Sans Pro" w:eastAsia="宋体" w:hAnsi="Source Sans Pro" w:cs="Calibri"/>
          <w:kern w:val="0"/>
          <w:sz w:val="22"/>
        </w:rPr>
        <w:t>MR</w:t>
      </w:r>
      <w:r w:rsidRPr="00392614">
        <w:rPr>
          <w:rFonts w:ascii="Source Sans Pro" w:eastAsia="宋体" w:hAnsi="Source Sans Pro" w:cs="Calibri"/>
          <w:kern w:val="0"/>
          <w:sz w:val="22"/>
        </w:rPr>
        <w:t>750</w:t>
      </w:r>
      <w:r w:rsidR="0001275E">
        <w:rPr>
          <w:rFonts w:ascii="Source Sans Pro" w:eastAsia="宋体" w:hAnsi="Source Sans Pro" w:cs="Calibri"/>
          <w:kern w:val="0"/>
          <w:sz w:val="22"/>
        </w:rPr>
        <w:t xml:space="preserve">, </w:t>
      </w:r>
      <w:r w:rsidRPr="00392614">
        <w:rPr>
          <w:rFonts w:ascii="Source Sans Pro" w:eastAsia="宋体" w:hAnsi="Source Sans Pro" w:cs="Calibri"/>
          <w:kern w:val="0"/>
          <w:sz w:val="22"/>
        </w:rPr>
        <w:t>GE Healthcare</w:t>
      </w:r>
      <w:r w:rsidR="00E66A30">
        <w:rPr>
          <w:rFonts w:ascii="Source Sans Pro" w:eastAsia="宋体" w:hAnsi="Source Sans Pro" w:cs="Calibri"/>
          <w:kern w:val="0"/>
          <w:sz w:val="22"/>
        </w:rPr>
        <w:t xml:space="preserve">, </w:t>
      </w:r>
      <w:r w:rsidR="00E66A30" w:rsidRPr="00E66A30">
        <w:rPr>
          <w:rFonts w:ascii="Source Sans Pro" w:eastAsia="宋体" w:hAnsi="Source Sans Pro" w:cs="Calibri"/>
          <w:kern w:val="0"/>
          <w:sz w:val="22"/>
        </w:rPr>
        <w:t>Milwaukee, WI, USA</w:t>
      </w:r>
      <w:r w:rsidRPr="00392614">
        <w:rPr>
          <w:rFonts w:ascii="Source Sans Pro" w:eastAsia="宋体" w:hAnsi="Source Sans Pro" w:cs="Calibri"/>
          <w:kern w:val="0"/>
          <w:sz w:val="22"/>
        </w:rPr>
        <w:t xml:space="preserve">) </w:t>
      </w:r>
      <w:r w:rsidR="009C69DC" w:rsidRPr="009C69DC">
        <w:rPr>
          <w:rFonts w:ascii="Source Sans Pro" w:eastAsia="宋体" w:hAnsi="Source Sans Pro" w:cs="Calibri"/>
          <w:kern w:val="0"/>
          <w:sz w:val="22"/>
        </w:rPr>
        <w:t>equipped with a dedicated</w:t>
      </w:r>
      <w:r w:rsidR="009C69DC">
        <w:rPr>
          <w:rFonts w:ascii="Source Sans Pro" w:eastAsia="宋体" w:hAnsi="Source Sans Pro" w:cs="Calibri"/>
          <w:kern w:val="0"/>
          <w:sz w:val="22"/>
        </w:rPr>
        <w:t xml:space="preserve"> </w:t>
      </w:r>
      <w:r w:rsidRPr="00392614">
        <w:rPr>
          <w:rFonts w:ascii="Source Sans Pro" w:eastAsia="宋体" w:hAnsi="Source Sans Pro" w:cs="Calibri"/>
          <w:kern w:val="0"/>
          <w:sz w:val="22"/>
        </w:rPr>
        <w:t>eight-channel head coil. The imaging protocol included 3D T2-weighted</w:t>
      </w:r>
      <w:r w:rsidR="00C822A5">
        <w:rPr>
          <w:rFonts w:ascii="Source Sans Pro" w:eastAsia="宋体" w:hAnsi="Source Sans Pro" w:cs="Calibri"/>
          <w:kern w:val="0"/>
          <w:sz w:val="22"/>
        </w:rPr>
        <w:t xml:space="preserve"> imaging (T2WI)</w:t>
      </w:r>
      <w:r w:rsidRPr="00392614">
        <w:rPr>
          <w:rFonts w:ascii="Source Sans Pro" w:eastAsia="宋体" w:hAnsi="Source Sans Pro" w:cs="Calibri"/>
          <w:kern w:val="0"/>
          <w:sz w:val="22"/>
        </w:rPr>
        <w:t xml:space="preserve">, T2-weighted </w:t>
      </w:r>
      <w:r w:rsidR="00896776" w:rsidRPr="00896776">
        <w:rPr>
          <w:rFonts w:ascii="Source Sans Pro" w:eastAsia="宋体" w:hAnsi="Source Sans Pro" w:cs="Calibri"/>
          <w:kern w:val="0"/>
          <w:sz w:val="22"/>
        </w:rPr>
        <w:t>fluid attenuated inversion recovery</w:t>
      </w:r>
      <w:r w:rsidR="00DE5A4D">
        <w:rPr>
          <w:rFonts w:ascii="Source Sans Pro" w:eastAsia="宋体" w:hAnsi="Source Sans Pro" w:cs="Calibri"/>
          <w:kern w:val="0"/>
          <w:sz w:val="22"/>
        </w:rPr>
        <w:t xml:space="preserve"> (</w:t>
      </w:r>
      <w:r w:rsidR="00C822A5">
        <w:rPr>
          <w:rFonts w:ascii="Source Sans Pro" w:eastAsia="宋体" w:hAnsi="Source Sans Pro" w:cs="Calibri"/>
          <w:kern w:val="0"/>
          <w:sz w:val="22"/>
        </w:rPr>
        <w:t>T2-</w:t>
      </w:r>
      <w:r w:rsidR="00DE5A4D">
        <w:rPr>
          <w:rFonts w:ascii="Source Sans Pro" w:eastAsia="宋体" w:hAnsi="Source Sans Pro" w:cs="Calibri"/>
          <w:kern w:val="0"/>
          <w:sz w:val="22"/>
        </w:rPr>
        <w:t>FLAIR)</w:t>
      </w:r>
      <w:r w:rsidRPr="00392614">
        <w:rPr>
          <w:rFonts w:ascii="Source Sans Pro" w:eastAsia="宋体" w:hAnsi="Source Sans Pro" w:cs="Calibri"/>
          <w:kern w:val="0"/>
          <w:sz w:val="22"/>
        </w:rPr>
        <w:t>, and pre- and post</w:t>
      </w:r>
      <w:r w:rsidR="0002030E">
        <w:rPr>
          <w:rFonts w:ascii="Source Sans Pro" w:eastAsia="宋体" w:hAnsi="Source Sans Pro" w:cs="Calibri"/>
          <w:kern w:val="0"/>
          <w:sz w:val="22"/>
        </w:rPr>
        <w:t>-</w:t>
      </w:r>
      <w:r w:rsidRPr="00392614">
        <w:rPr>
          <w:rFonts w:ascii="Source Sans Pro" w:eastAsia="宋体" w:hAnsi="Source Sans Pro" w:cs="Calibri"/>
          <w:kern w:val="0"/>
          <w:sz w:val="22"/>
        </w:rPr>
        <w:t>contrast T1-weighted ima</w:t>
      </w:r>
      <w:r w:rsidR="00C822A5">
        <w:rPr>
          <w:rFonts w:ascii="Source Sans Pro" w:eastAsia="宋体" w:hAnsi="Source Sans Pro" w:cs="Calibri"/>
          <w:kern w:val="0"/>
          <w:sz w:val="22"/>
        </w:rPr>
        <w:t>ging (T1WI)</w:t>
      </w:r>
      <w:r w:rsidRPr="00392614">
        <w:rPr>
          <w:rFonts w:ascii="Source Sans Pro" w:eastAsia="宋体" w:hAnsi="Source Sans Pro" w:cs="Calibri"/>
          <w:kern w:val="0"/>
          <w:sz w:val="22"/>
        </w:rPr>
        <w:t xml:space="preserve">. </w:t>
      </w:r>
      <w:r w:rsidR="000935F2" w:rsidRPr="00392614">
        <w:rPr>
          <w:rFonts w:ascii="Source Sans Pro" w:eastAsia="宋体" w:hAnsi="Source Sans Pro" w:cs="Calibri"/>
          <w:kern w:val="0"/>
          <w:sz w:val="22"/>
        </w:rPr>
        <w:t>Acquisition parameters were as follows: T2</w:t>
      </w:r>
      <w:r w:rsidR="000A360E">
        <w:rPr>
          <w:rFonts w:ascii="Source Sans Pro" w:eastAsia="宋体" w:hAnsi="Source Sans Pro" w:cs="Calibri"/>
          <w:kern w:val="0"/>
          <w:sz w:val="22"/>
        </w:rPr>
        <w:t>WI</w:t>
      </w:r>
      <w:r w:rsidR="004A38DC">
        <w:rPr>
          <w:rFonts w:ascii="Source Sans Pro" w:eastAsia="宋体" w:hAnsi="Source Sans Pro" w:cs="Calibri"/>
          <w:kern w:val="0"/>
          <w:sz w:val="22"/>
        </w:rPr>
        <w:t xml:space="preserve">, </w:t>
      </w:r>
      <w:r w:rsidR="000935F2" w:rsidRPr="00392614">
        <w:rPr>
          <w:rFonts w:ascii="Source Sans Pro" w:eastAsia="宋体" w:hAnsi="Source Sans Pro" w:cs="Calibri"/>
          <w:kern w:val="0"/>
          <w:sz w:val="22"/>
        </w:rPr>
        <w:t>sagittal 3D</w:t>
      </w:r>
      <w:r w:rsidR="000A360E">
        <w:rPr>
          <w:rFonts w:ascii="Source Sans Pro" w:eastAsia="宋体" w:hAnsi="Source Sans Pro" w:cs="Calibri"/>
          <w:kern w:val="0"/>
          <w:sz w:val="22"/>
        </w:rPr>
        <w:t xml:space="preserve"> </w:t>
      </w:r>
      <w:r w:rsidR="000935F2" w:rsidRPr="00392614">
        <w:rPr>
          <w:rFonts w:ascii="Source Sans Pro" w:eastAsia="宋体" w:hAnsi="Source Sans Pro" w:cs="Calibri"/>
          <w:kern w:val="0"/>
          <w:sz w:val="22"/>
        </w:rPr>
        <w:t>fast spin echo (FSE) (repetition time (TR)/echo time (TE), 2200/100 msec; section thickness, 1.2 mm; matrix, 256 x 256; field of view (FOV), 25.6 cm; number of signals acquired (NSA), 1); T2</w:t>
      </w:r>
      <w:r w:rsidR="000A360E">
        <w:rPr>
          <w:rFonts w:ascii="Source Sans Pro" w:eastAsia="宋体" w:hAnsi="Source Sans Pro" w:cs="Calibri"/>
          <w:kern w:val="0"/>
          <w:sz w:val="22"/>
        </w:rPr>
        <w:t>-</w:t>
      </w:r>
      <w:r w:rsidR="000935F2" w:rsidRPr="00392614">
        <w:rPr>
          <w:rFonts w:ascii="Source Sans Pro" w:eastAsia="宋体" w:hAnsi="Source Sans Pro" w:cs="Calibri"/>
          <w:kern w:val="0"/>
          <w:sz w:val="22"/>
        </w:rPr>
        <w:t>FLAIR</w:t>
      </w:r>
      <w:r w:rsidR="004A38DC">
        <w:rPr>
          <w:rFonts w:ascii="Source Sans Pro" w:eastAsia="宋体" w:hAnsi="Source Sans Pro" w:cs="Calibri"/>
          <w:kern w:val="0"/>
          <w:sz w:val="22"/>
        </w:rPr>
        <w:t xml:space="preserve">, </w:t>
      </w:r>
      <w:r w:rsidR="000935F2" w:rsidRPr="00392614">
        <w:rPr>
          <w:rFonts w:ascii="Source Sans Pro" w:eastAsia="宋体" w:hAnsi="Source Sans Pro" w:cs="Calibri"/>
          <w:kern w:val="0"/>
          <w:sz w:val="22"/>
        </w:rPr>
        <w:t>coronal 3D FSE (TR/TE/inversion time (TI), 5700/115/1650 msec; section thickness, 1.2 mm; matrix, 256 x 256; FOV, 25.6 cm; NSA, 1); pre- and post</w:t>
      </w:r>
      <w:r w:rsidR="0002030E">
        <w:rPr>
          <w:rFonts w:ascii="Source Sans Pro" w:eastAsia="宋体" w:hAnsi="Source Sans Pro" w:cs="Calibri"/>
          <w:kern w:val="0"/>
          <w:sz w:val="22"/>
        </w:rPr>
        <w:t>-</w:t>
      </w:r>
      <w:r w:rsidR="000935F2" w:rsidRPr="00392614">
        <w:rPr>
          <w:rFonts w:ascii="Source Sans Pro" w:eastAsia="宋体" w:hAnsi="Source Sans Pro" w:cs="Calibri"/>
          <w:kern w:val="0"/>
          <w:sz w:val="22"/>
        </w:rPr>
        <w:t>contrast</w:t>
      </w:r>
      <w:r w:rsidR="00570FD6">
        <w:rPr>
          <w:rFonts w:ascii="Source Sans Pro" w:eastAsia="宋体" w:hAnsi="Source Sans Pro" w:cs="Calibri"/>
          <w:kern w:val="0"/>
          <w:sz w:val="22"/>
        </w:rPr>
        <w:t xml:space="preserve"> T1WI</w:t>
      </w:r>
      <w:r w:rsidR="000935F2" w:rsidRPr="00392614">
        <w:rPr>
          <w:rFonts w:ascii="Source Sans Pro" w:eastAsia="宋体" w:hAnsi="Source Sans Pro" w:cs="Calibri"/>
          <w:kern w:val="0"/>
          <w:sz w:val="22"/>
        </w:rPr>
        <w:t xml:space="preserve">: axial 3D inversion-recovery spoiled gradient echo T1 (TR/TE/TI, 6/2.3/450 msec; flip angle, 12°; section thickness, 1.0 mm; matrix, 256 x 256; FOV, 25.6; NSA, 1). </w:t>
      </w:r>
      <w:r w:rsidR="00037AC2">
        <w:rPr>
          <w:rFonts w:ascii="Source Sans Pro" w:eastAsia="宋体" w:hAnsi="Source Sans Pro" w:cs="Calibri"/>
          <w:kern w:val="0"/>
          <w:sz w:val="22"/>
        </w:rPr>
        <w:t>During</w:t>
      </w:r>
      <w:r w:rsidR="00886B3A" w:rsidRPr="00392614">
        <w:rPr>
          <w:rFonts w:ascii="Source Sans Pro" w:eastAsia="宋体" w:hAnsi="Source Sans Pro" w:cs="Calibri"/>
          <w:kern w:val="0"/>
          <w:sz w:val="22"/>
        </w:rPr>
        <w:t xml:space="preserve"> the study period, two gadolinium-based contrast agents were administered: gadobutrol (Gadovist, Bayer), at a dosage of 0.1 mL per kilogram of body weight, and gadoterate (Dotarem, Guerbet), at a dosage of 0.2 mL per kilogram of body weight.</w:t>
      </w:r>
      <w:r w:rsidR="00804E18" w:rsidRPr="00392614">
        <w:rPr>
          <w:rFonts w:ascii="Source Sans Pro" w:eastAsia="宋体" w:hAnsi="Source Sans Pro" w:cs="Calibri"/>
          <w:kern w:val="0"/>
          <w:sz w:val="22"/>
        </w:rPr>
        <w:t xml:space="preserve"> Each sequence was registered and resampled to the 1-mm isotropic resolution 3D space defined by the T2-FLAIR image</w:t>
      </w:r>
      <w:r w:rsidR="00FC00A8">
        <w:rPr>
          <w:rFonts w:ascii="Source Sans Pro" w:eastAsia="宋体" w:hAnsi="Source Sans Pro" w:cs="Calibri"/>
          <w:kern w:val="0"/>
          <w:sz w:val="22"/>
        </w:rPr>
        <w:t>s</w:t>
      </w:r>
      <w:r w:rsidR="00804E18" w:rsidRPr="00392614">
        <w:rPr>
          <w:rFonts w:ascii="Source Sans Pro" w:eastAsia="宋体" w:hAnsi="Source Sans Pro" w:cs="Calibri"/>
          <w:kern w:val="0"/>
          <w:sz w:val="22"/>
        </w:rPr>
        <w:t xml:space="preserve"> using automated nonlinear registration (Advanced Normalization Tools) with previously published parameters</w:t>
      </w:r>
      <w:r w:rsidR="00804E18"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{"citationID":"OzQY2Hjy","properties":{"formattedCitation":"[8,9]","plainCitation":"[8,9]","noteIndex":0},"citationItems":[{"id":769,"uris":["http://zotero.org/users/10132978/items/87JN2ZSV"],"itemData":{"id":769,"type":"article-journal","abstract":"Purpose\nTo evaluate the feasibility and accuracy of simulated postcontrast\nT1-weighted brain MR images generated by using precontrast MR images in\npatients with brain glioma.\n\nMaterials and Methods\nIn this retrospective study, a three-dimensional deep convolutional\nneural network was developed to simulate T1-weighted postcontrast images\nfrom eight precontrast sequences in 400 patients (mean age, 57 years;\n239 men; from 2015 to 2020), including 332 with glioblastoma and 68 with\nlower-grade gliomas. Performance was evaluated by using quantitative\nimage similarity and error metrics and enhancing tumor overlap analysis.\nPerformance was also assessed on a multicenter external dataset\n(n = 286 from the 2019 Multimodal Brain Tumor\nSegmentation Challenge; mean age, 60 years; ratio of men to women\nunknown) by using transfer learning. A subset of cases was reviewed by\nneuroradiologist readers to assess whether simulated images affected the\nability to determine the tumor grade.\n\nResults\nSimulated whole-brain postcontrast images were both qualitatively and\nquantitatively similar to the real postcontrast images in terms of\nquantitative image similarity (structural similarity index of 0.84\n± 0.05), pixelwise error (symmetric mean absolute percent error\nof 3.65%), and enhancing tumor compartment overlap (Dice coefficient,\n0.65 ± 0.25). Similar results were achieved with the external\ndataset (Dice coefficient, 0.62 ± 0.27). There was no difference\nin the ability of the neuroradiologist readers to determine the tumor\ngrade in real versus simulated images (accuracy, 87.7% vs 90.6%;\nP = .87).\n\nConclusion\nThe developed model was capable of producing simulated postcontrast\nT1-weighted MR images that were similar to real acquired images as\ndetermined by both quantitative analysis and radiologist assessment., Keywords: MR-Contrast Agent, MR-Imaging, CNS, Brain/Brain\nStem, Contrast Agents-Intravenous, Neoplasms-Primary, Experimental\nInvestigations, Technology Assessment, Supervised Learning, Transfer\nLearning, Convolutional Neural Network, Deep Learning Algorithms,\nMachine Learning Algorithms, \nSupplemental material is available for this\narticle.\n, © RSNA, 2021","container-title":"Radiology: Artificial Intellige</w:instrText>
      </w:r>
      <w:r w:rsidR="00722BE8">
        <w:rPr>
          <w:rFonts w:ascii="Source Sans Pro" w:eastAsia="宋体" w:hAnsi="Source Sans Pro" w:cs="Calibri" w:hint="eastAsia"/>
          <w:kern w:val="0"/>
          <w:sz w:val="22"/>
        </w:rPr>
        <w:instrText>nce","DOI":"10.1148/ryai.2021200276","ISSN":"2638-6100","issue":"5","journalAbbreviation":"Radiology: Artificial Intelligence","language":"en-US","note":"PMID: 34617027\nPMCID: PMC8489450\n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模拟的可行性</w:instrText>
      </w:r>
      <w:r w:rsidR="00722BE8">
        <w:rPr>
          <w:rFonts w:ascii="Source Sans Pro" w:eastAsia="宋体" w:hAnsi="Source Sans Pro" w:cs="Calibri" w:hint="eastAsia"/>
          <w:kern w:val="0"/>
          <w:sz w:val="22"/>
        </w:rPr>
        <w:instrText>Postcontrast</w:instrText>
      </w:r>
      <w:r w:rsidR="00722BE8">
        <w:rPr>
          <w:rFonts w:ascii="Source Sans Pro" w:eastAsia="宋体" w:hAnsi="Source Sans Pro" w:cs="Calibri" w:hint="eastAsia"/>
          <w:kern w:val="0"/>
          <w:sz w:val="22"/>
        </w:rPr>
        <w:instrText>件中低档神经胶质瘤的</w:instrText>
      </w:r>
      <w:r w:rsidR="00722BE8">
        <w:rPr>
          <w:rFonts w:ascii="Source Sans Pro" w:eastAsia="宋体" w:hAnsi="Source Sans Pro" w:cs="Calibri" w:hint="eastAsia"/>
          <w:kern w:val="0"/>
          <w:sz w:val="22"/>
        </w:rPr>
        <w:instrText>MRI</w:instrText>
      </w:r>
      <w:r w:rsidR="00722BE8">
        <w:rPr>
          <w:rFonts w:ascii="Source Sans Pro" w:eastAsia="宋体" w:hAnsi="Source Sans Pro" w:cs="Calibri" w:hint="eastAsia"/>
          <w:kern w:val="0"/>
          <w:sz w:val="22"/>
        </w:rPr>
        <w:instrText>通过使用三维完全卷积神经网络</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9.8\n5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10.4","page":"e200276","source":"PubMed Central","title":"Feasibility of Simulated Postcontrast MRI of Glioblastomas and Lower-Grade Gliomas by Using Three-dimensional Fully Convolutional Neural Networks","title-short":"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模拟的可行性</w:instrText>
      </w:r>
      <w:r w:rsidR="00722BE8">
        <w:rPr>
          <w:rFonts w:ascii="Source Sans Pro" w:eastAsia="宋体" w:hAnsi="Source Sans Pro" w:cs="Calibri" w:hint="eastAsia"/>
          <w:kern w:val="0"/>
          <w:sz w:val="22"/>
        </w:rPr>
        <w:instrText>Postcontrast</w:instrText>
      </w:r>
      <w:r w:rsidR="00722BE8">
        <w:rPr>
          <w:rFonts w:ascii="Source Sans Pro" w:eastAsia="宋体" w:hAnsi="Source Sans Pro" w:cs="Calibri" w:hint="eastAsia"/>
          <w:kern w:val="0"/>
          <w:sz w:val="22"/>
        </w:rPr>
        <w:instrText>件中低档神经胶质瘤的</w:instrText>
      </w:r>
      <w:r w:rsidR="00722BE8">
        <w:rPr>
          <w:rFonts w:ascii="Source Sans Pro" w:eastAsia="宋体" w:hAnsi="Source Sans Pro" w:cs="Calibri" w:hint="eastAsia"/>
          <w:kern w:val="0"/>
          <w:sz w:val="22"/>
        </w:rPr>
        <w:instrText>MRI</w:instrText>
      </w:r>
      <w:r w:rsidR="00722BE8">
        <w:rPr>
          <w:rFonts w:ascii="Source Sans Pro" w:eastAsia="宋体" w:hAnsi="Source Sans Pro" w:cs="Calibri" w:hint="eastAsia"/>
          <w:kern w:val="0"/>
          <w:sz w:val="22"/>
        </w:rPr>
        <w:instrText>通过使用三维完全卷积神经网络</w:instrText>
      </w:r>
      <w:r w:rsidR="00722BE8">
        <w:rPr>
          <w:rFonts w:ascii="Source Sans Pro" w:eastAsia="宋体" w:hAnsi="Source Sans Pro" w:cs="Calibri" w:hint="eastAsia"/>
          <w:kern w:val="0"/>
          <w:sz w:val="22"/>
        </w:rPr>
        <w:instrText>","volume":"3","author":[{"family":"Calabrese","given":"Evan"},{"family":"Rudie","given":"Jeffrey D."},{"family":"Rauschecker","given":"Andreas M."},{"family":"Villanueva-Meyer","given":"Javier E."},{"fa</w:instrText>
      </w:r>
      <w:r w:rsidR="00722BE8">
        <w:rPr>
          <w:rFonts w:ascii="Source Sans Pro" w:eastAsia="宋体" w:hAnsi="Source Sans Pro" w:cs="Calibri"/>
          <w:kern w:val="0"/>
          <w:sz w:val="22"/>
        </w:rPr>
        <w:instrText>mily":"Cha","given":"Soonmee"}],"issued":{"date-parts":[["2021",5,19]]}}},{"id":767,"uris":["http://zotero.org/users/10132978/items/JN97ZXPS"],"itemData":{"id":767,"type":"article-journal","abstract":"Glioblastoma is the most common malignant brain parenchymal tumor yet remains challenging to treat. The current standard of care—resection and chemoradiation—is limited in part due to the genetic heterogeneity of glioblastoma. Previous studies have identified several tumor genetic biomarkers that are frequently present in glioblastoma and can alter clinical management. Currently, genetic biomarker status is confirmed with tissue sampling, which is costly and only available after tumor resection or biopsy. The purpose of this study was to evaluate a fully automated artificial intelligence approach for predicting the status of several common glioblastoma genetic biomarkers on preoperative MRI. We retrospectively analyzed multisequence preoperative brain MRI from 199 adult patients with glioblastoma who subsequently underwent tumor resection and genetic testing. Radiomics features extracted from fully automated deep learning-based tumor segmentations were used to predict nine common glioblastoma genetic biomarkers with random forest regression. The proposed fully automated method was useful for predicting IDH mutations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0.93,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0.88), ATRX mutations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0.94,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0.92), chromosome 7/10 aneuploidies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0.90,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0.88), and CDKN2 family mutations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0.76,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0.86).","archive":"Q2","archive_location":"</w:instrText>
      </w:r>
      <w:r w:rsidR="00722BE8">
        <w:rPr>
          <w:rFonts w:ascii="Source Sans Pro" w:eastAsia="宋体" w:hAnsi="Source Sans Pro" w:cs="Calibri" w:hint="eastAsia"/>
          <w:kern w:val="0"/>
          <w:sz w:val="22"/>
        </w:rPr>
        <w:instrText>综合性期刊</w:instrText>
      </w:r>
      <w:r w:rsidR="00722BE8">
        <w:rPr>
          <w:rFonts w:ascii="Source Sans Pro" w:eastAsia="宋体" w:hAnsi="Source Sans Pro" w:cs="Calibri"/>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kern w:val="0"/>
          <w:sz w:val="22"/>
        </w:rPr>
        <w:instrText>","call-number":"4.997","container-title":"Scientific Reports","DOI":"10.1038/s41598-020-68857-8","ISSN":"2045-2322","issue":"1","journalAbbreviation":"Sci. Rep.","lang</w:instrText>
      </w:r>
      <w:r w:rsidR="00722BE8">
        <w:rPr>
          <w:rFonts w:ascii="Source Sans Pro" w:eastAsia="宋体" w:hAnsi="Source Sans Pro" w:cs="Calibri" w:hint="eastAsia"/>
          <w:kern w:val="0"/>
          <w:sz w:val="22"/>
        </w:rPr>
        <w:instrText>uage":"en-US","license":"5.516","note":"number: 1\npublisher: Nature Publishing Group\nJCR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Q2\n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综合性期刊</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4.6\n5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4.9\n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一个完全自动化的人工智能的非侵入性的方法</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成像识别恶性胶质瘤的基因改变</w:instrText>
      </w:r>
      <w:r w:rsidR="00722BE8">
        <w:rPr>
          <w:rFonts w:ascii="Source Sans Pro" w:eastAsia="宋体" w:hAnsi="Source Sans Pro" w:cs="Calibri" w:hint="eastAsia"/>
          <w:kern w:val="0"/>
          <w:sz w:val="22"/>
        </w:rPr>
        <w:instrText>","page":"11852","source":"</w:instrText>
      </w:r>
      <w:r w:rsidR="00722BE8">
        <w:rPr>
          <w:rFonts w:ascii="Source Sans Pro" w:eastAsia="宋体" w:hAnsi="Source Sans Pro" w:cs="Calibri" w:hint="eastAsia"/>
          <w:kern w:val="0"/>
          <w:sz w:val="22"/>
        </w:rPr>
        <w:instrText>综合性期刊</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","title":"A fully automated artificial intelligence method for non-invasive, imaging-based identification of genetic alterations in glioblastomas","title-short":"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一个完全自动化的人工智能的非侵入性的方法</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成像识别恶性胶质瘤的基因改变</w:instrText>
      </w:r>
      <w:r w:rsidR="00722BE8">
        <w:rPr>
          <w:rFonts w:ascii="Source Sans Pro" w:eastAsia="宋体" w:hAnsi="Source Sans Pro" w:cs="Calibri" w:hint="eastAsia"/>
          <w:kern w:val="0"/>
          <w:sz w:val="22"/>
        </w:rPr>
        <w:instrText>","volume":"10","author":[{"family":"Calabrese","given":"Eva</w:instrText>
      </w:r>
      <w:r w:rsidR="00722BE8">
        <w:rPr>
          <w:rFonts w:ascii="Source Sans Pro" w:eastAsia="宋体" w:hAnsi="Source Sans Pro" w:cs="Calibri"/>
          <w:kern w:val="0"/>
          <w:sz w:val="22"/>
        </w:rPr>
        <w:instrText xml:space="preserve">n"},{"family":"Villanueva-Meyer","given":"Javier E."},{"family":"Cha","given":"Soonmee"}],"issued":{"date-parts":[["2020",7,16]]}}}],"schema":"https://github.com/citation-style-language/schema/raw/master/csl-citation.json"} </w:instrText>
      </w:r>
      <w:r w:rsidR="00804E18" w:rsidRPr="00392614">
        <w:rPr>
          <w:rFonts w:ascii="Source Sans Pro" w:eastAsia="宋体" w:hAnsi="Source Sans Pro" w:cs="Calibri"/>
          <w:kern w:val="0"/>
          <w:sz w:val="22"/>
        </w:rPr>
        <w:fldChar w:fldCharType="separate"/>
      </w:r>
      <w:r w:rsidR="00722BE8" w:rsidRPr="00722BE8">
        <w:rPr>
          <w:rFonts w:ascii="Source Sans Pro" w:hAnsi="Source Sans Pro"/>
          <w:sz w:val="22"/>
        </w:rPr>
        <w:t>[8,9]</w:t>
      </w:r>
      <w:r w:rsidR="00804E18" w:rsidRPr="00392614">
        <w:rPr>
          <w:rFonts w:ascii="Source Sans Pro" w:eastAsia="宋体" w:hAnsi="Source Sans Pro" w:cs="Calibri"/>
          <w:kern w:val="0"/>
          <w:sz w:val="22"/>
        </w:rPr>
        <w:fldChar w:fldCharType="end"/>
      </w:r>
      <w:r w:rsidR="00804E18" w:rsidRPr="00392614">
        <w:rPr>
          <w:rFonts w:ascii="Source Sans Pro" w:eastAsia="宋体" w:hAnsi="Source Sans Pro" w:cs="Calibri"/>
          <w:kern w:val="0"/>
          <w:sz w:val="22"/>
        </w:rPr>
        <w:t xml:space="preserve">. </w:t>
      </w:r>
      <w:r w:rsidR="00F21314">
        <w:rPr>
          <w:rFonts w:ascii="Source Sans Pro" w:eastAsia="宋体" w:hAnsi="Source Sans Pro" w:cs="Calibri"/>
          <w:kern w:val="0"/>
          <w:sz w:val="22"/>
        </w:rPr>
        <w:t>The r</w:t>
      </w:r>
      <w:r w:rsidR="00804E18" w:rsidRPr="00392614">
        <w:rPr>
          <w:rFonts w:ascii="Source Sans Pro" w:eastAsia="宋体" w:hAnsi="Source Sans Pro" w:cs="Calibri"/>
          <w:kern w:val="0"/>
          <w:sz w:val="22"/>
        </w:rPr>
        <w:t>esampled coregistered data were then skull stripped using a publicly available method</w:t>
      </w:r>
      <w:r w:rsidR="00804E18"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{"citationID":"6bN8OqdI","properties":{"formattedCitation":"[8,9]","plainCitation":"[8,9]","noteIndex":0},"citationItems":[{"id":769,"uris":["http://zotero.org/users/10132978/items/87JN2ZSV"],"itemData":{"id":769,"type":"article-journal","abstract":"Purpose\nTo evaluate the feasibility and accuracy of simulated postcontrast\nT1-weighted brain MR images generated by using precontrast MR images in\npatients with brain glioma.\n\nMaterials and Methods\nIn this retrospective study, a three-dimensional deep convolutional\nneural network was developed to simulate T1-weighted postcontrast images\nfrom eight precontrast sequences in 400 patients (mean age, 57 years;\n239 men; from 2015 to 2020), including 332 with glioblastoma and 68 with\nlower-grade gliomas. Performance was evaluated by using quantitative\nimage similarity and error metrics and enhancing tumor overlap analysis.\nPerformance was also assessed on a multicenter external dataset\n(n = 286 from the 2019 Multimodal Brain Tumor\nSegmentation Challenge; mean age, 60 years; ratio of men to women\nunknown) by using transfer learning. A subset of cases was reviewed by\nneuroradiologist readers to assess whether simulated images affected the\nability to determine the tumor grade.\n\nResults\nSimulated whole-brain postcontrast images were both qualitatively and\nquantitatively similar to the real postcontrast images in terms of\nquantitative image similarity (structural similarity index of 0.84\n± 0.05), pixelwise error (symmetric mean absolute percent error\nof 3.65%), and enhancing tumor compartment overlap (Dice coefficient,\n0.65 ± 0.25). Similar results were achieved with the external\ndataset (Dice coefficient, 0.62 ± 0.27). There was no difference\nin the ability of the neuroradiologist readers to determine the tumor\ngrade in real versus simulated images (accuracy, 87.7% vs 90.6%;\nP = .87).\n\nConclusion\nThe developed model was capable of producing simulated postcontrast\nT1-weighted MR images that were similar to real acquired images as\ndetermined by both quantitative analysis and radiologist assessment., Keywords: MR-Contrast Agent, MR-Imaging, CNS, Brain/Brain\nStem, Contrast Agents-Intravenous, Neoplasms-Primary, Experimental\nInvestigations, Technology Assessment, Supervised Learning, Transfer\nLearning, Convolutional Neural Network, Deep Learning Algorithms,\nMachine Learning Algorithms, \nSupplemental material is available for this\narticle.\n, © RSNA, 2021","container-title":"Radiology: Artificial Intellige</w:instrText>
      </w:r>
      <w:r w:rsidR="00722BE8">
        <w:rPr>
          <w:rFonts w:ascii="Source Sans Pro" w:eastAsia="宋体" w:hAnsi="Source Sans Pro" w:cs="Calibri" w:hint="eastAsia"/>
          <w:kern w:val="0"/>
          <w:sz w:val="22"/>
        </w:rPr>
        <w:instrText>nce","DOI":"10.1148/ryai.2021200276","ISSN":"2638-6100","issue":"5","journalAbbreviation":"Radiology: Artificial Intelligence","language":"en-US","note":"PMID: 34617027\nPMCID: PMC8489450\n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模拟的可行性</w:instrText>
      </w:r>
      <w:r w:rsidR="00722BE8">
        <w:rPr>
          <w:rFonts w:ascii="Source Sans Pro" w:eastAsia="宋体" w:hAnsi="Source Sans Pro" w:cs="Calibri" w:hint="eastAsia"/>
          <w:kern w:val="0"/>
          <w:sz w:val="22"/>
        </w:rPr>
        <w:instrText>Postcontrast</w:instrText>
      </w:r>
      <w:r w:rsidR="00722BE8">
        <w:rPr>
          <w:rFonts w:ascii="Source Sans Pro" w:eastAsia="宋体" w:hAnsi="Source Sans Pro" w:cs="Calibri" w:hint="eastAsia"/>
          <w:kern w:val="0"/>
          <w:sz w:val="22"/>
        </w:rPr>
        <w:instrText>件中低档神经胶质瘤的</w:instrText>
      </w:r>
      <w:r w:rsidR="00722BE8">
        <w:rPr>
          <w:rFonts w:ascii="Source Sans Pro" w:eastAsia="宋体" w:hAnsi="Source Sans Pro" w:cs="Calibri" w:hint="eastAsia"/>
          <w:kern w:val="0"/>
          <w:sz w:val="22"/>
        </w:rPr>
        <w:instrText>MRI</w:instrText>
      </w:r>
      <w:r w:rsidR="00722BE8">
        <w:rPr>
          <w:rFonts w:ascii="Source Sans Pro" w:eastAsia="宋体" w:hAnsi="Source Sans Pro" w:cs="Calibri" w:hint="eastAsia"/>
          <w:kern w:val="0"/>
          <w:sz w:val="22"/>
        </w:rPr>
        <w:instrText>通过使用三维完全卷积神经网络</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9.8\n5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10.4","page":"e200276","source":"PubMed Central","title":"Feasibility of Simulated Postcontrast MRI of Glioblastomas and Lower-Grade Gliomas by Using Three-dimensional Fully Convolutional Neural Networks","title-short":"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模拟的可行性</w:instrText>
      </w:r>
      <w:r w:rsidR="00722BE8">
        <w:rPr>
          <w:rFonts w:ascii="Source Sans Pro" w:eastAsia="宋体" w:hAnsi="Source Sans Pro" w:cs="Calibri" w:hint="eastAsia"/>
          <w:kern w:val="0"/>
          <w:sz w:val="22"/>
        </w:rPr>
        <w:instrText>Postcontrast</w:instrText>
      </w:r>
      <w:r w:rsidR="00722BE8">
        <w:rPr>
          <w:rFonts w:ascii="Source Sans Pro" w:eastAsia="宋体" w:hAnsi="Source Sans Pro" w:cs="Calibri" w:hint="eastAsia"/>
          <w:kern w:val="0"/>
          <w:sz w:val="22"/>
        </w:rPr>
        <w:instrText>件中低档神经胶质瘤的</w:instrText>
      </w:r>
      <w:r w:rsidR="00722BE8">
        <w:rPr>
          <w:rFonts w:ascii="Source Sans Pro" w:eastAsia="宋体" w:hAnsi="Source Sans Pro" w:cs="Calibri" w:hint="eastAsia"/>
          <w:kern w:val="0"/>
          <w:sz w:val="22"/>
        </w:rPr>
        <w:instrText>MRI</w:instrText>
      </w:r>
      <w:r w:rsidR="00722BE8">
        <w:rPr>
          <w:rFonts w:ascii="Source Sans Pro" w:eastAsia="宋体" w:hAnsi="Source Sans Pro" w:cs="Calibri" w:hint="eastAsia"/>
          <w:kern w:val="0"/>
          <w:sz w:val="22"/>
        </w:rPr>
        <w:instrText>通过使用三维完全卷积神经网络</w:instrText>
      </w:r>
      <w:r w:rsidR="00722BE8">
        <w:rPr>
          <w:rFonts w:ascii="Source Sans Pro" w:eastAsia="宋体" w:hAnsi="Source Sans Pro" w:cs="Calibri" w:hint="eastAsia"/>
          <w:kern w:val="0"/>
          <w:sz w:val="22"/>
        </w:rPr>
        <w:instrText>","volume":"3","author":[{"family":"Calabrese","given":"Evan"},{"family":"Rudie","given":"Jeffrey D."},{"family":"Rauschecker","given":"Andreas M."},{"family":"Villanueva-Meyer","given":"Javier E."},{"fa</w:instrText>
      </w:r>
      <w:r w:rsidR="00722BE8">
        <w:rPr>
          <w:rFonts w:ascii="Source Sans Pro" w:eastAsia="宋体" w:hAnsi="Source Sans Pro" w:cs="Calibri"/>
          <w:kern w:val="0"/>
          <w:sz w:val="22"/>
        </w:rPr>
        <w:instrText>mily":"Cha","given":"Soonmee"}],"issued":{"date-parts":[["2021",5,19]]}}},{"id":767,"uris":["http://zotero.org/users/10132978/items/JN97ZXPS"],"itemData":{"id":767,"type":"article-journal","abstract":"Glioblastoma is the most common malignant brain parenchymal tumor yet remains challenging to treat. The current standard of care—resection and chemoradiation—is limited in part due to the genetic heterogeneity of glioblastoma. Previous studies have identified several tumor genetic biomarkers that are frequently present in glioblastoma and can alter clinical management. Currently, genetic biomarker status is confirmed with tissue sampling, which is costly and only available after tumor resection or biopsy. The purpose of this study was to evaluate a fully automated artificial intelligence approach for predicting the status of several common glioblastoma genetic biomarkers on preoperative MRI. We retrospectively analyzed multisequence preoperative brain MRI from 199 adult patients with glioblastoma who subsequently underwent tumor resection and genetic testing. Radiomics features extracted from fully automated deep learning-based tumor segmentations were used to predict nine common glioblastoma genetic biomarkers with random forest regression. The proposed fully automated method was useful for predicting IDH mutations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0.93,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0.88), ATRX mutations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0.94,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0.92), chromosome 7/10 aneuploidies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0.90,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0.88), and CDKN2 family mutations (sensitivity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0.76, specificity</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w:instrText>
      </w:r>
      <w:r w:rsidR="00722BE8">
        <w:rPr>
          <w:rFonts w:ascii="MS Gothic" w:eastAsia="MS Gothic" w:hAnsi="MS Gothic" w:cs="MS Gothic" w:hint="eastAsia"/>
          <w:kern w:val="0"/>
          <w:sz w:val="22"/>
        </w:rPr>
        <w:instrText> </w:instrText>
      </w:r>
      <w:r w:rsidR="00722BE8">
        <w:rPr>
          <w:rFonts w:ascii="Source Sans Pro" w:eastAsia="宋体" w:hAnsi="Source Sans Pro" w:cs="Calibri"/>
          <w:kern w:val="0"/>
          <w:sz w:val="22"/>
        </w:rPr>
        <w:instrText>0.86).","archive":"Q2","archive_location":"</w:instrText>
      </w:r>
      <w:r w:rsidR="00722BE8">
        <w:rPr>
          <w:rFonts w:ascii="Source Sans Pro" w:eastAsia="宋体" w:hAnsi="Source Sans Pro" w:cs="Calibri" w:hint="eastAsia"/>
          <w:kern w:val="0"/>
          <w:sz w:val="22"/>
        </w:rPr>
        <w:instrText>综合性期刊</w:instrText>
      </w:r>
      <w:r w:rsidR="00722BE8">
        <w:rPr>
          <w:rFonts w:ascii="Source Sans Pro" w:eastAsia="宋体" w:hAnsi="Source Sans Pro" w:cs="Calibri"/>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kern w:val="0"/>
          <w:sz w:val="22"/>
        </w:rPr>
        <w:instrText>","call-number":"4.997","container-title":"Scientific Reports","DOI":"10.1038/s41598-020-68857-8","ISSN":"2045-2322","issue":"1","journalAbbreviation":"Sci. Rep.","lang</w:instrText>
      </w:r>
      <w:r w:rsidR="00722BE8">
        <w:rPr>
          <w:rFonts w:ascii="Source Sans Pro" w:eastAsia="宋体" w:hAnsi="Source Sans Pro" w:cs="Calibri" w:hint="eastAsia"/>
          <w:kern w:val="0"/>
          <w:sz w:val="22"/>
        </w:rPr>
        <w:instrText>uage":"en-US","license":"5.516","note":"number: 1\npublisher: Nature Publishing Group\nJCR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Q2\n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综合性期刊</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4.6\n5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4.9\n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一个完全自动化的人工智能的非侵入性的方法</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成像识别恶性胶质瘤的基因改变</w:instrText>
      </w:r>
      <w:r w:rsidR="00722BE8">
        <w:rPr>
          <w:rFonts w:ascii="Source Sans Pro" w:eastAsia="宋体" w:hAnsi="Source Sans Pro" w:cs="Calibri" w:hint="eastAsia"/>
          <w:kern w:val="0"/>
          <w:sz w:val="22"/>
        </w:rPr>
        <w:instrText>","page":"11852","source":"</w:instrText>
      </w:r>
      <w:r w:rsidR="00722BE8">
        <w:rPr>
          <w:rFonts w:ascii="Source Sans Pro" w:eastAsia="宋体" w:hAnsi="Source Sans Pro" w:cs="Calibri" w:hint="eastAsia"/>
          <w:kern w:val="0"/>
          <w:sz w:val="22"/>
        </w:rPr>
        <w:instrText>综合性期刊</w:instrText>
      </w:r>
      <w:r w:rsidR="00722BE8">
        <w:rPr>
          <w:rFonts w:ascii="Source Sans Pro" w:eastAsia="宋体" w:hAnsi="Source Sans Pro" w:cs="Calibri" w:hint="eastAsia"/>
          <w:kern w:val="0"/>
          <w:sz w:val="22"/>
        </w:rPr>
        <w:instrText>3</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","title":"A fully automated artificial intelligence method for non-invasive, imaging-based identification of genetic alterations in glioblastomas","title-short":"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一个完全自动化的人工智能的非侵入性的方法</w:instrText>
      </w:r>
      <w:r w:rsidR="00722BE8">
        <w:rPr>
          <w:rFonts w:ascii="Source Sans Pro" w:eastAsia="宋体" w:hAnsi="Source Sans Pro" w:cs="Calibri" w:hint="eastAsia"/>
          <w:kern w:val="0"/>
          <w:sz w:val="22"/>
        </w:rPr>
        <w:instrText>,</w:instrText>
      </w:r>
      <w:r w:rsidR="00722BE8">
        <w:rPr>
          <w:rFonts w:ascii="Source Sans Pro" w:eastAsia="宋体" w:hAnsi="Source Sans Pro" w:cs="Calibri" w:hint="eastAsia"/>
          <w:kern w:val="0"/>
          <w:sz w:val="22"/>
        </w:rPr>
        <w:instrText>成像识别恶性胶质瘤的基因改变</w:instrText>
      </w:r>
      <w:r w:rsidR="00722BE8">
        <w:rPr>
          <w:rFonts w:ascii="Source Sans Pro" w:eastAsia="宋体" w:hAnsi="Source Sans Pro" w:cs="Calibri" w:hint="eastAsia"/>
          <w:kern w:val="0"/>
          <w:sz w:val="22"/>
        </w:rPr>
        <w:instrText>","volume":"10","author":[{"family":"Calabrese","given":"Eva</w:instrText>
      </w:r>
      <w:r w:rsidR="00722BE8">
        <w:rPr>
          <w:rFonts w:ascii="Source Sans Pro" w:eastAsia="宋体" w:hAnsi="Source Sans Pro" w:cs="Calibri"/>
          <w:kern w:val="0"/>
          <w:sz w:val="22"/>
        </w:rPr>
        <w:instrText xml:space="preserve">n"},{"family":"Villanueva-Meyer","given":"Javier E."},{"family":"Cha","given":"Soonmee"}],"issued":{"date-parts":[["2020",7,16]]}}}],"schema":"https://github.com/citation-style-language/schema/raw/master/csl-citation.json"} </w:instrText>
      </w:r>
      <w:r w:rsidR="00804E18" w:rsidRPr="00392614">
        <w:rPr>
          <w:rFonts w:ascii="Source Sans Pro" w:eastAsia="宋体" w:hAnsi="Source Sans Pro" w:cs="Calibri"/>
          <w:kern w:val="0"/>
          <w:sz w:val="22"/>
        </w:rPr>
        <w:fldChar w:fldCharType="separate"/>
      </w:r>
      <w:r w:rsidR="00722BE8" w:rsidRPr="00722BE8">
        <w:rPr>
          <w:rFonts w:ascii="Source Sans Pro" w:hAnsi="Source Sans Pro"/>
          <w:sz w:val="22"/>
        </w:rPr>
        <w:t>[8,9]</w:t>
      </w:r>
      <w:r w:rsidR="00804E18" w:rsidRPr="00392614">
        <w:rPr>
          <w:rFonts w:ascii="Source Sans Pro" w:eastAsia="宋体" w:hAnsi="Source Sans Pro" w:cs="Calibri"/>
          <w:kern w:val="0"/>
          <w:sz w:val="22"/>
        </w:rPr>
        <w:fldChar w:fldCharType="end"/>
      </w:r>
      <w:r w:rsidR="00804E18" w:rsidRPr="00392614">
        <w:rPr>
          <w:rFonts w:ascii="Source Sans Pro" w:eastAsia="宋体" w:hAnsi="Source Sans Pro" w:cs="Calibri"/>
          <w:kern w:val="0"/>
          <w:sz w:val="22"/>
        </w:rPr>
        <w:t>, which can be found at https://www.github.com/ ecalabr/brain_mask/.</w:t>
      </w:r>
    </w:p>
    <w:p w14:paraId="2221DFDF" w14:textId="3C978568" w:rsidR="00E205AA" w:rsidRPr="00392614" w:rsidRDefault="00886B3A" w:rsidP="00FF6FA0">
      <w:pPr>
        <w:widowControl/>
        <w:spacing w:line="360" w:lineRule="auto"/>
        <w:ind w:firstLineChars="200" w:firstLine="440"/>
        <w:jc w:val="left"/>
        <w:rPr>
          <w:rFonts w:ascii="Source Sans Pro" w:eastAsia="宋体" w:hAnsi="Source Sans Pro" w:cs="Calibri"/>
          <w:kern w:val="0"/>
          <w:sz w:val="22"/>
        </w:rPr>
      </w:pPr>
      <w:r w:rsidRPr="00392614">
        <w:rPr>
          <w:rFonts w:ascii="Source Sans Pro" w:eastAsia="宋体" w:hAnsi="Source Sans Pro" w:cs="Calibri"/>
          <w:kern w:val="0"/>
          <w:sz w:val="22"/>
        </w:rPr>
        <w:t xml:space="preserve">For the EGD </w:t>
      </w:r>
      <w:r w:rsidR="00F25481">
        <w:rPr>
          <w:rFonts w:ascii="Source Sans Pro" w:eastAsia="宋体" w:hAnsi="Source Sans Pro" w:cs="Calibri"/>
          <w:kern w:val="0"/>
          <w:sz w:val="22"/>
        </w:rPr>
        <w:t>dataset</w:t>
      </w:r>
      <w:r w:rsidRPr="00392614">
        <w:rPr>
          <w:rFonts w:ascii="Source Sans Pro" w:eastAsia="宋体" w:hAnsi="Source Sans Pro" w:cs="Calibri"/>
          <w:kern w:val="0"/>
          <w:sz w:val="22"/>
        </w:rPr>
        <w:t xml:space="preserve">, </w:t>
      </w:r>
      <w:r w:rsidR="00F25481">
        <w:rPr>
          <w:rFonts w:ascii="Source Sans Pro" w:eastAsia="宋体" w:hAnsi="Source Sans Pro" w:cs="Calibri"/>
          <w:kern w:val="0"/>
          <w:sz w:val="22"/>
        </w:rPr>
        <w:t xml:space="preserve">MRI images </w:t>
      </w:r>
      <w:r w:rsidRPr="00392614">
        <w:rPr>
          <w:rFonts w:ascii="Source Sans Pro" w:eastAsia="宋体" w:hAnsi="Source Sans Pro" w:cs="Calibri"/>
          <w:kern w:val="0"/>
          <w:sz w:val="22"/>
        </w:rPr>
        <w:t xml:space="preserve">were retrospectively collected from imaging performed as part of routine clinical care for each patient. The scans were acquired using scanners from four vendors: Siemens (347 patients), Philips (254 patients), GE (172 </w:t>
      </w:r>
      <w:r w:rsidRPr="00392614">
        <w:rPr>
          <w:rFonts w:ascii="Source Sans Pro" w:eastAsia="宋体" w:hAnsi="Source Sans Pro" w:cs="Calibri"/>
          <w:kern w:val="0"/>
          <w:sz w:val="22"/>
        </w:rPr>
        <w:lastRenderedPageBreak/>
        <w:t>patients), and Toshiba (</w:t>
      </w:r>
      <w:r w:rsidR="00AE5BF2">
        <w:rPr>
          <w:rFonts w:ascii="Source Sans Pro" w:eastAsia="宋体" w:hAnsi="Source Sans Pro" w:cs="Calibri"/>
          <w:kern w:val="0"/>
          <w:sz w:val="22"/>
        </w:rPr>
        <w:t>one</w:t>
      </w:r>
      <w:r w:rsidRPr="00392614">
        <w:rPr>
          <w:rFonts w:ascii="Source Sans Pro" w:eastAsia="宋体" w:hAnsi="Source Sans Pro" w:cs="Calibri"/>
          <w:kern w:val="0"/>
          <w:sz w:val="22"/>
        </w:rPr>
        <w:t xml:space="preserve"> patient). </w:t>
      </w:r>
      <w:r w:rsidR="00F25481" w:rsidRPr="00F25481">
        <w:rPr>
          <w:rFonts w:ascii="Source Sans Pro" w:eastAsia="宋体" w:hAnsi="Source Sans Pro" w:cs="Calibri"/>
          <w:kern w:val="0"/>
          <w:sz w:val="22"/>
        </w:rPr>
        <w:t xml:space="preserve">The scans were acquired at different field strengths, with 83 patients scanned at 3T, 571 patients at 1.5T, 110 patients at 1.0T, and 6 patients at 0.5T. The field strength was unknown for </w:t>
      </w:r>
      <w:r w:rsidR="00F25481">
        <w:rPr>
          <w:rFonts w:ascii="Source Sans Pro" w:eastAsia="宋体" w:hAnsi="Source Sans Pro" w:cs="Calibri"/>
          <w:kern w:val="0"/>
          <w:sz w:val="22"/>
        </w:rPr>
        <w:t>four</w:t>
      </w:r>
      <w:r w:rsidR="00F25481" w:rsidRPr="00F25481">
        <w:rPr>
          <w:rFonts w:ascii="Source Sans Pro" w:eastAsia="宋体" w:hAnsi="Source Sans Pro" w:cs="Calibri"/>
          <w:kern w:val="0"/>
          <w:sz w:val="22"/>
        </w:rPr>
        <w:t xml:space="preserve"> patients.</w:t>
      </w:r>
      <w:r w:rsidRPr="00392614">
        <w:rPr>
          <w:rFonts w:ascii="Source Sans Pro" w:eastAsia="宋体" w:hAnsi="Source Sans Pro" w:cs="Calibri"/>
          <w:kern w:val="0"/>
          <w:sz w:val="22"/>
        </w:rPr>
        <w:t xml:space="preserve"> </w:t>
      </w:r>
      <w:r w:rsidR="00E40FD5" w:rsidRPr="00E40FD5">
        <w:rPr>
          <w:rFonts w:ascii="Source Sans Pro" w:eastAsia="宋体" w:hAnsi="Source Sans Pro" w:cs="Calibri"/>
          <w:kern w:val="0"/>
          <w:sz w:val="22"/>
        </w:rPr>
        <w:t>All scans were registered to the MNI152 atlas, version ICBM 2009a nonlinear, which has a voxel size of 1 × 1 × 1 mm and a size of 197 × 233 × 189 voxels</w:t>
      </w:r>
      <w:r w:rsidR="00E205AA" w:rsidRPr="00E205AA">
        <w:rPr>
          <w:rFonts w:ascii="Source Sans Pro" w:eastAsia="宋体" w:hAnsi="Source Sans Pro" w:cs="Calibri"/>
          <w:kern w:val="0"/>
          <w:sz w:val="22"/>
          <w:vertAlign w:val="superscript"/>
        </w:rPr>
        <w:t>11</w:t>
      </w:r>
      <w:r w:rsidR="00E40FD5" w:rsidRPr="00E40FD5">
        <w:rPr>
          <w:rFonts w:ascii="Source Sans Pro" w:eastAsia="宋体" w:hAnsi="Source Sans Pro" w:cs="Calibri"/>
          <w:kern w:val="0"/>
          <w:sz w:val="22"/>
        </w:rPr>
        <w:t>. The registration was performed using Elastix version 5.0.0</w:t>
      </w:r>
      <w:r w:rsidR="00E40FD5" w:rsidRPr="00E205AA">
        <w:rPr>
          <w:rFonts w:ascii="Source Sans Pro" w:eastAsia="宋体" w:hAnsi="Source Sans Pro" w:cs="Calibri"/>
          <w:kern w:val="0"/>
          <w:sz w:val="22"/>
          <w:vertAlign w:val="superscript"/>
        </w:rPr>
        <w:t>12</w:t>
      </w:r>
      <w:r w:rsidR="00E40FD5" w:rsidRPr="00E40FD5">
        <w:rPr>
          <w:rFonts w:ascii="Source Sans Pro" w:eastAsia="宋体" w:hAnsi="Source Sans Pro" w:cs="Calibri"/>
          <w:kern w:val="0"/>
          <w:sz w:val="22"/>
        </w:rPr>
        <w:t>. The pre- and post-contrast T1-weighted scans were registered to the T1-weighted atlas, while the T2-weighted and T2-FLAIR scans were registered to the T2-weighted atlas. If a manual segmentation was available for a patient, the registration parameters from the scan used during the segmentation were used to transform the segmentation to the atlas. The registration parameters can be found at the Elastix Model Zoo under ID Par0064 (</w:t>
      </w:r>
      <w:hyperlink r:id="rId9" w:history="1">
        <w:r w:rsidR="00E40FD5" w:rsidRPr="00E40FD5">
          <w:rPr>
            <w:rStyle w:val="a5"/>
            <w:rFonts w:ascii="Source Sans Pro" w:eastAsia="宋体" w:hAnsi="Source Sans Pro" w:cs="Calibri"/>
            <w:color w:val="auto"/>
            <w:kern w:val="0"/>
            <w:sz w:val="22"/>
            <w:u w:val="none"/>
          </w:rPr>
          <w:t>https://elastix.lumc.nl/modelzoo/par0064/</w:t>
        </w:r>
      </w:hyperlink>
      <w:r w:rsidR="00E40FD5" w:rsidRPr="00E40FD5">
        <w:rPr>
          <w:rFonts w:ascii="Source Sans Pro" w:eastAsia="宋体" w:hAnsi="Source Sans Pro" w:cs="Calibri"/>
          <w:kern w:val="0"/>
          <w:sz w:val="22"/>
        </w:rPr>
        <w:t>).</w:t>
      </w:r>
      <w:r w:rsidR="00E40FD5">
        <w:rPr>
          <w:rFonts w:ascii="Source Sans Pro" w:eastAsia="宋体" w:hAnsi="Source Sans Pro" w:cs="Calibri" w:hint="eastAsia"/>
          <w:kern w:val="0"/>
          <w:sz w:val="22"/>
        </w:rPr>
        <w:t xml:space="preserve"> </w:t>
      </w:r>
      <w:r w:rsidR="00E205AA" w:rsidRPr="00392614">
        <w:rPr>
          <w:rFonts w:ascii="Source Sans Pro" w:eastAsia="宋体" w:hAnsi="Source Sans Pro" w:cs="Calibri"/>
          <w:kern w:val="0"/>
          <w:sz w:val="22"/>
        </w:rPr>
        <w:t xml:space="preserve">After image registration, the scans were then defaced using a mask that was created based on the MNI atlas; this mask </w:t>
      </w:r>
      <w:r w:rsidR="00125D68">
        <w:rPr>
          <w:rFonts w:ascii="Source Sans Pro" w:eastAsia="宋体" w:hAnsi="Source Sans Pro" w:cs="Calibri"/>
          <w:kern w:val="0"/>
          <w:sz w:val="22"/>
        </w:rPr>
        <w:t>was</w:t>
      </w:r>
      <w:r w:rsidR="00E205AA" w:rsidRPr="00392614">
        <w:rPr>
          <w:rFonts w:ascii="Source Sans Pro" w:eastAsia="宋体" w:hAnsi="Source Sans Pro" w:cs="Calibri"/>
          <w:kern w:val="0"/>
          <w:sz w:val="22"/>
        </w:rPr>
        <w:t xml:space="preserve"> available as “Deface_mask.nii.gz”. All voxels outside this mask were set to 0, voxels within the mask kept their original value. The defacing mask included as much of the skull as possible, </w:t>
      </w:r>
      <w:r w:rsidR="00023DE4">
        <w:rPr>
          <w:rFonts w:ascii="Source Sans Pro" w:eastAsia="宋体" w:hAnsi="Source Sans Pro" w:cs="Calibri"/>
          <w:kern w:val="0"/>
          <w:sz w:val="22"/>
        </w:rPr>
        <w:t xml:space="preserve"> </w:t>
      </w:r>
      <w:r w:rsidR="004A2AA5">
        <w:rPr>
          <w:rFonts w:ascii="Source Sans Pro" w:eastAsia="宋体" w:hAnsi="Source Sans Pro" w:cs="Calibri"/>
          <w:kern w:val="0"/>
          <w:sz w:val="22"/>
        </w:rPr>
        <w:t xml:space="preserve">while </w:t>
      </w:r>
      <w:r w:rsidR="00023DE4" w:rsidRPr="00023DE4">
        <w:rPr>
          <w:rFonts w:ascii="Source Sans Pro" w:eastAsia="宋体" w:hAnsi="Source Sans Pro" w:cs="Calibri"/>
          <w:kern w:val="0"/>
          <w:sz w:val="22"/>
        </w:rPr>
        <w:t>removing the characteristic facial features to protect patient privacy</w:t>
      </w:r>
      <w:r w:rsidR="00E205AA" w:rsidRPr="00392614">
        <w:rPr>
          <w:rFonts w:ascii="Source Sans Pro" w:eastAsia="宋体" w:hAnsi="Source Sans Pro" w:cs="Calibri"/>
          <w:kern w:val="0"/>
          <w:sz w:val="22"/>
        </w:rPr>
        <w:t xml:space="preserve">. For future processing of the dataset a brain mask that can be used for skull stripping is also included, available as “Brain_mask.nii.gz”. This brain mask was </w:t>
      </w:r>
      <w:r w:rsidR="00023DE4" w:rsidRPr="00023DE4">
        <w:rPr>
          <w:rFonts w:ascii="Source Sans Pro" w:eastAsia="宋体" w:hAnsi="Source Sans Pro" w:cs="Calibri"/>
          <w:kern w:val="0"/>
          <w:sz w:val="22"/>
        </w:rPr>
        <w:t>created</w:t>
      </w:r>
      <w:r w:rsidR="00E205AA" w:rsidRPr="00392614">
        <w:rPr>
          <w:rFonts w:ascii="Source Sans Pro" w:eastAsia="宋体" w:hAnsi="Source Sans Pro" w:cs="Calibri"/>
          <w:kern w:val="0"/>
          <w:sz w:val="22"/>
        </w:rPr>
        <w:t xml:space="preserve"> using HD-BET</w:t>
      </w:r>
      <w:r w:rsidR="00E205AA"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{"citationID":"KSuxuNUE","properties":{"formattedCitation":"[10]","plainCitation":"[10]","noteIndex":0},"citationItems":[{"id":852,"uris":["http://zotero.org/users/10132978/items/R2GMWPYT"],"itemData":{"id":852,"type":"article-journal","abstract":"Brain extraction is a critical preprocessing step in the analysis of neuroimaging studies conducted with magnetic resonance imaging (MRI) and influences the accuracy of downstream analyses. The majority of brain extraction algorithms are, however, optimized for processing healthy brains and thus frequently fail in the presence of pathologically altered brain or when applied to heterogeneous MRI datasets. Here we introduce a new, rigorously validated algorithm (termed HD-BET) relying on artificial neural networks that aim to overcome these limitations. We demonstrate that HD-BET outperforms six popular, publicly available brain extraction algorithms in several large-scale neuroimaging datasets, including one from a prospective multicentric trial in neuro-oncology, yielding state-of-the-art performance with median improvements of +1.16 to +2.50 points for the Dice coefficient and −0.66 to −2.51 mm for the Hausdorff distance. Importantly, the HD-BET algorithm, which shows robust performance in the presence of pathology or treatment-induced tissue alterations, is applicable to a broad range of MRI sequence types and is not influenced by variations in MRI hardware and acquisition parameters encountered in both research and clinical practice. For broader accessibility, the HD-BET prediction algorithm is made freely available (www.neuroAI-HD.org) and may become an essential component for robust, automated, high-throughput processing of MRI neuroimaging data.","archive":"Q1/Q2","archive_l</w:instrText>
      </w:r>
      <w:r w:rsidR="00722BE8">
        <w:rPr>
          <w:rFonts w:ascii="Source Sans Pro" w:eastAsia="宋体" w:hAnsi="Source Sans Pro" w:cs="Calibri" w:hint="eastAsia"/>
          <w:kern w:val="0"/>
          <w:sz w:val="22"/>
        </w:rPr>
        <w:instrText>ocation":"</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","call-number":"5.399","container-title":"Human Brain Mapping","DOI":"10.1002/hbm.24750","ISSN":"1097-0193","issue":"17","journalAbbreviation":"Hum. Brain Mapp.","language":"en-US","license":"5.805","note":"_eprint: https://onlinelibrary.wiley.com/doi/pdf/10.1002/hbm.24750\nJCR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4.8\n</w:instrText>
      </w:r>
      <w:r w:rsidR="00722BE8">
        <w:rPr>
          <w:rFonts w:ascii="Source Sans Pro" w:eastAsia="宋体" w:hAnsi="Source Sans Pro" w:cs="Calibri" w:hint="eastAsia"/>
          <w:kern w:val="0"/>
          <w:sz w:val="22"/>
        </w:rPr>
        <w:instrText>南农核心期</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南农高质量期刊</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无</w:instrText>
      </w:r>
      <w:r w:rsidR="00722BE8">
        <w:rPr>
          <w:rFonts w:ascii="Source Sans Pro" w:eastAsia="宋体" w:hAnsi="Source Sans Pro" w:cs="Calibri" w:hint="eastAsia"/>
          <w:kern w:val="0"/>
          <w:sz w:val="22"/>
        </w:rPr>
        <w:instrText xml:space="preserve">\ntitleTranslation: </w:instrText>
      </w:r>
      <w:r w:rsidR="00722BE8">
        <w:rPr>
          <w:rFonts w:ascii="Source Sans Pro" w:eastAsia="宋体" w:hAnsi="Source Sans Pro" w:cs="Calibri" w:hint="eastAsia"/>
          <w:kern w:val="0"/>
          <w:sz w:val="22"/>
        </w:rPr>
        <w:instrText>基于人工神经网络的多序列</w:instrText>
      </w:r>
      <w:r w:rsidR="00722BE8">
        <w:rPr>
          <w:rFonts w:ascii="Source Sans Pro" w:eastAsia="宋体" w:hAnsi="Source Sans Pro" w:cs="Calibri" w:hint="eastAsia"/>
          <w:kern w:val="0"/>
          <w:sz w:val="22"/>
        </w:rPr>
        <w:instrText>MRI</w:instrText>
      </w:r>
      <w:r w:rsidR="00722BE8">
        <w:rPr>
          <w:rFonts w:ascii="Source Sans Pro" w:eastAsia="宋体" w:hAnsi="Source Sans Pro" w:cs="Calibri" w:hint="eastAsia"/>
          <w:kern w:val="0"/>
          <w:sz w:val="22"/>
        </w:rPr>
        <w:instrText>脑部自动提取</w:instrText>
      </w:r>
      <w:r w:rsidR="00722BE8">
        <w:rPr>
          <w:rFonts w:ascii="Source Sans Pro" w:eastAsia="宋体" w:hAnsi="Source Sans Pro" w:cs="Calibri" w:hint="eastAsia"/>
          <w:kern w:val="0"/>
          <w:sz w:val="22"/>
        </w:rPr>
        <w:instrText>\n5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5.4","page":"4952-4964","source":"</w:instrText>
      </w:r>
      <w:r w:rsidR="00722BE8">
        <w:rPr>
          <w:rFonts w:ascii="Source Sans Pro" w:eastAsia="宋体" w:hAnsi="Source Sans Pro" w:cs="Calibri" w:hint="eastAsia"/>
          <w:kern w:val="0"/>
          <w:sz w:val="22"/>
        </w:rPr>
        <w:instrText>神经成像</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神经科学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核医学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","title":"Automated brain extraction of multisequence MRI using artificial neural networks","title-short":"</w:instrText>
      </w:r>
      <w:r w:rsidR="00722BE8">
        <w:rPr>
          <w:rFonts w:ascii="Segoe UI Emoji" w:eastAsia="宋体" w:hAnsi="Segoe UI Emoji" w:cs="Segoe UI Emoji"/>
          <w:kern w:val="0"/>
          <w:sz w:val="22"/>
        </w:rPr>
        <w:instrText>🔤</w:instrText>
      </w:r>
      <w:r w:rsidR="00722BE8">
        <w:rPr>
          <w:rFonts w:ascii="Source Sans Pro" w:eastAsia="宋体" w:hAnsi="Source Sans Pro" w:cs="Calibri" w:hint="eastAsia"/>
          <w:kern w:val="0"/>
          <w:sz w:val="22"/>
        </w:rPr>
        <w:instrText>基于人工神经网络的多序列</w:instrText>
      </w:r>
      <w:r w:rsidR="00722BE8">
        <w:rPr>
          <w:rFonts w:ascii="Source Sans Pro" w:eastAsia="宋体" w:hAnsi="Source Sans Pro" w:cs="Calibri" w:hint="eastAsia"/>
          <w:kern w:val="0"/>
          <w:sz w:val="22"/>
        </w:rPr>
        <w:instrText>MRI</w:instrText>
      </w:r>
      <w:r w:rsidR="00722BE8">
        <w:rPr>
          <w:rFonts w:ascii="Source Sans Pro" w:eastAsia="宋体" w:hAnsi="Source Sans Pro" w:cs="Calibri" w:hint="eastAsia"/>
          <w:kern w:val="0"/>
          <w:sz w:val="22"/>
        </w:rPr>
        <w:instrText>脑部自动提取</w:instrText>
      </w:r>
      <w:r w:rsidR="00722BE8">
        <w:rPr>
          <w:rFonts w:ascii="Source Sans Pro" w:eastAsia="宋体" w:hAnsi="Source Sans Pro" w:cs="Calibri" w:hint="eastAsia"/>
          <w:kern w:val="0"/>
          <w:sz w:val="22"/>
        </w:rPr>
        <w:instrText>","volume":"40","author":[{"family":"Isensee","given":"Fabian"},{"family":"Schell","given":"Marianne"},{"family":"Pflueger","given":"Irada"},{"family":"Brugnara","given":"Gianluca"</w:instrText>
      </w:r>
      <w:r w:rsidR="00722BE8">
        <w:rPr>
          <w:rFonts w:ascii="Source Sans Pro" w:eastAsia="宋体" w:hAnsi="Source Sans Pro" w:cs="Calibri"/>
          <w:kern w:val="0"/>
          <w:sz w:val="22"/>
        </w:rPr>
        <w:instrText xml:space="preserve">},{"family":"Bonekamp","given":"David"},{"family":"Neuberger","given":"Ulf"},{"family":"Wick","given":"Antje"},{"family":"Schlemmer","given":"Heinz-Peter"},{"family":"Heiland","given":"Sabine"},{"family":"Wick","given":"Wolfgang"},{"family":"Bendszus","given":"Martin"},{"family":"Maier-Hein","given":"Klaus H."},{"family":"Kickingereder","given":"Philipp"}],"issued":{"date-parts":[["2019"]]}}}],"schema":"https://github.com/citation-style-language/schema/raw/master/csl-citation.json"} </w:instrText>
      </w:r>
      <w:r w:rsidR="00E205AA" w:rsidRPr="00392614">
        <w:rPr>
          <w:rFonts w:ascii="Source Sans Pro" w:eastAsia="宋体" w:hAnsi="Source Sans Pro" w:cs="Calibri"/>
          <w:kern w:val="0"/>
          <w:sz w:val="22"/>
        </w:rPr>
        <w:fldChar w:fldCharType="separate"/>
      </w:r>
      <w:r w:rsidR="00722BE8" w:rsidRPr="00722BE8">
        <w:rPr>
          <w:rFonts w:ascii="Source Sans Pro" w:hAnsi="Source Sans Pro"/>
          <w:sz w:val="22"/>
        </w:rPr>
        <w:t>[10]</w:t>
      </w:r>
      <w:r w:rsidR="00E205AA" w:rsidRPr="00392614">
        <w:rPr>
          <w:rFonts w:ascii="Source Sans Pro" w:eastAsia="宋体" w:hAnsi="Source Sans Pro" w:cs="Calibri"/>
          <w:kern w:val="0"/>
          <w:sz w:val="22"/>
        </w:rPr>
        <w:fldChar w:fldCharType="end"/>
      </w:r>
      <w:r w:rsidR="00E205AA" w:rsidRPr="00392614">
        <w:rPr>
          <w:rFonts w:ascii="Source Sans Pro" w:eastAsia="宋体" w:hAnsi="Source Sans Pro" w:cs="Calibri"/>
          <w:kern w:val="0"/>
          <w:sz w:val="22"/>
        </w:rPr>
        <w:t xml:space="preserve">. </w:t>
      </w:r>
      <w:r w:rsidR="00023DE4">
        <w:rPr>
          <w:rFonts w:ascii="Source Sans Pro" w:eastAsia="宋体" w:hAnsi="Source Sans Pro" w:cs="Calibri"/>
          <w:kern w:val="0"/>
          <w:sz w:val="22"/>
        </w:rPr>
        <w:t xml:space="preserve"> </w:t>
      </w:r>
    </w:p>
    <w:p w14:paraId="285AE501" w14:textId="5CFEF4DC" w:rsidR="000231D5" w:rsidRPr="00DA16F0" w:rsidRDefault="000231D5" w:rsidP="00AB5619">
      <w:pPr>
        <w:autoSpaceDE w:val="0"/>
        <w:autoSpaceDN w:val="0"/>
        <w:adjustRightInd w:val="0"/>
        <w:spacing w:line="360" w:lineRule="auto"/>
        <w:jc w:val="left"/>
        <w:rPr>
          <w:rFonts w:ascii="Source Sans Pro" w:eastAsia="宋体" w:hAnsi="Source Sans Pro" w:cs="Calibri"/>
          <w:b/>
          <w:bCs/>
          <w:kern w:val="0"/>
          <w:sz w:val="22"/>
        </w:rPr>
      </w:pPr>
      <w:r w:rsidRPr="00DA16F0">
        <w:rPr>
          <w:rFonts w:ascii="Source Sans Pro" w:eastAsia="宋体" w:hAnsi="Source Sans Pro" w:cs="Calibri"/>
          <w:b/>
          <w:bCs/>
          <w:kern w:val="0"/>
          <w:sz w:val="22"/>
        </w:rPr>
        <w:t>Genetic and histological features</w:t>
      </w:r>
    </w:p>
    <w:p w14:paraId="77818391" w14:textId="2BFC56E8" w:rsidR="000231D5" w:rsidRPr="00392614" w:rsidRDefault="000231D5" w:rsidP="000231D5">
      <w:pPr>
        <w:autoSpaceDE w:val="0"/>
        <w:autoSpaceDN w:val="0"/>
        <w:adjustRightInd w:val="0"/>
        <w:spacing w:line="360" w:lineRule="auto"/>
        <w:jc w:val="left"/>
        <w:rPr>
          <w:rFonts w:ascii="Source Sans Pro" w:eastAsia="宋体" w:hAnsi="Source Sans Pro" w:cs="Calibri"/>
          <w:kern w:val="0"/>
          <w:sz w:val="22"/>
        </w:rPr>
      </w:pPr>
      <w:r w:rsidRPr="00392614">
        <w:rPr>
          <w:rFonts w:ascii="Source Sans Pro" w:eastAsia="宋体" w:hAnsi="Source Sans Pro" w:cs="Calibri"/>
          <w:kern w:val="0"/>
          <w:sz w:val="22"/>
        </w:rPr>
        <w:t xml:space="preserve">Genetic and histological data of the TCGA </w:t>
      </w:r>
      <w:r w:rsidR="00DA684D">
        <w:rPr>
          <w:rFonts w:ascii="Source Sans Pro" w:eastAsia="宋体" w:hAnsi="Source Sans Pro" w:cs="Calibri"/>
          <w:kern w:val="0"/>
          <w:sz w:val="22"/>
        </w:rPr>
        <w:t>dataset</w:t>
      </w:r>
      <w:r w:rsidRPr="00392614">
        <w:rPr>
          <w:rFonts w:ascii="Source Sans Pro" w:eastAsia="宋体" w:hAnsi="Source Sans Pro" w:cs="Calibri"/>
          <w:kern w:val="0"/>
          <w:sz w:val="22"/>
        </w:rPr>
        <w:t xml:space="preserve"> </w:t>
      </w:r>
      <w:r w:rsidR="00660EC3">
        <w:rPr>
          <w:rFonts w:ascii="Source Sans Pro" w:eastAsia="宋体" w:hAnsi="Source Sans Pro" w:cs="Calibri"/>
          <w:kern w:val="0"/>
          <w:sz w:val="22"/>
        </w:rPr>
        <w:t>are</w:t>
      </w:r>
      <w:r w:rsidRPr="00392614">
        <w:rPr>
          <w:rFonts w:ascii="Source Sans Pro" w:eastAsia="宋体" w:hAnsi="Source Sans Pro" w:cs="Calibri"/>
          <w:kern w:val="0"/>
          <w:sz w:val="22"/>
        </w:rPr>
        <w:t xml:space="preserve"> available at the GDC</w:t>
      </w:r>
      <w:r w:rsidR="00207246" w:rsidRPr="00392614">
        <w:rPr>
          <w:rFonts w:ascii="Source Sans Pro" w:eastAsia="宋体" w:hAnsi="Source Sans Pro" w:cs="Calibri"/>
          <w:kern w:val="0"/>
          <w:sz w:val="22"/>
        </w:rPr>
        <w:t xml:space="preserve"> </w:t>
      </w:r>
      <w:r w:rsidRPr="00392614">
        <w:rPr>
          <w:rFonts w:ascii="Source Sans Pro" w:eastAsia="宋体" w:hAnsi="Source Sans Pro" w:cs="Calibri"/>
          <w:kern w:val="0"/>
          <w:sz w:val="22"/>
        </w:rPr>
        <w:t>(</w:t>
      </w:r>
      <w:hyperlink r:id="rId10" w:history="1">
        <w:r w:rsidRPr="00392614">
          <w:rPr>
            <w:rStyle w:val="a5"/>
            <w:rFonts w:ascii="Source Sans Pro" w:eastAsia="宋体" w:hAnsi="Source Sans Pro" w:cs="Calibri"/>
            <w:color w:val="auto"/>
            <w:kern w:val="0"/>
            <w:sz w:val="22"/>
            <w:u w:val="none"/>
          </w:rPr>
          <w:t>https://portal.gdc.cancer.gov/</w:t>
        </w:r>
      </w:hyperlink>
      <w:r w:rsidRPr="00392614">
        <w:rPr>
          <w:rFonts w:ascii="Source Sans Pro" w:eastAsia="宋体" w:hAnsi="Source Sans Pro" w:cs="Calibri"/>
          <w:kern w:val="0"/>
          <w:sz w:val="22"/>
        </w:rPr>
        <w:t xml:space="preserve">). </w:t>
      </w:r>
    </w:p>
    <w:p w14:paraId="068E299D" w14:textId="274C74AD" w:rsidR="00656D59" w:rsidRDefault="00DA684D" w:rsidP="000231D5">
      <w:pPr>
        <w:autoSpaceDE w:val="0"/>
        <w:autoSpaceDN w:val="0"/>
        <w:adjustRightInd w:val="0"/>
        <w:spacing w:line="360" w:lineRule="auto"/>
        <w:ind w:firstLineChars="200" w:firstLine="440"/>
        <w:jc w:val="left"/>
        <w:rPr>
          <w:rFonts w:ascii="Source Sans Pro" w:eastAsia="宋体" w:hAnsi="Source Sans Pro" w:cs="Calibri"/>
          <w:kern w:val="0"/>
          <w:sz w:val="22"/>
        </w:rPr>
      </w:pPr>
      <w:r w:rsidRPr="00DA684D">
        <w:rPr>
          <w:rFonts w:ascii="Source Sans Pro" w:eastAsia="宋体" w:hAnsi="Source Sans Pro" w:cs="Calibri"/>
          <w:kern w:val="0"/>
          <w:sz w:val="22"/>
        </w:rPr>
        <w:t>For all UCSF patients, IDH mutations were tested using either conventional (Sanger) or next-generation genetic sequencing methods</w:t>
      </w:r>
      <w:r w:rsidR="000231D5"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{"citationID":"Nq3Thwm5","properties":{"formattedCitation":"[11]","plainCitation":"[11]","noteIndex":0},"citationItems":[{"id":5739,"uris":["http://zotero.org/users/10132978/items/EPD9BHJQ"],"itemData":{"id":5739,"type":"article-journal","abstract":"Background\nMolecular profiling is revolutionizing cancer diagnostics and leading to personalized therapeutic approaches. Herein we describe our clinical experience performing targeted sequencing for 31 pediatric neuro-oncology patients.\n\n\nMethods\nWe sequenced 510 cancer-associated genes from tumor and peripheral blood to identify germline and somatic mutations, structural variants, and copy number changes.\n\n\nResults\nGenomic profiling was performed on 31 patients with tumors including 11 high-grade gliomas, 8 medulloblastomas, 6 low-grade gliomas, 1 embryonal tumor with multilayered rosettes, 1 pineoblastoma, 1 uveal ganglioneuroma, 1 choroid plexus carcinoma, 1 chordoma, and 1 high-grade neuroepithelial tumor. In 25 cases (81%), results impacted patient management by: (i) clarifying diagnosis, (ii) identifying pathogenic germline mutations, or (iii) detecting potentially targetable alterations. The pathologic diagnosis was amended after genomic profiling for 6 patients (19%), including a high-grade glioma to pilocytic astrocytoma, medulloblastoma to pineoblastoma, ependymoma to high-grade glioma, and medulloblastoma to CNS high-grade neuroepithelial tumor with BCOR alteration. Multiple patients had pathogenic germline mutations, many of which were previously unsuspected. Potentially targetable alterations were identified in 19 patients (61%). Additionally, novel likely pathogenic alterations were identified in 3 cases: an in-frame RAF1 fusion in a BRAF wild-type pleomorphic xanthoastrocytoma, an inactivating ASXL1 mutation in a histone H3 wild-type diffuse pontine glioma, and an in-frame deletion within exon 2 of MAP2K1 in a low-grade astrocytic neoplasm.\n\n\nConclusions\nOur experience demonstrates the significant impact of molecular profiling on diagnosis and treatment of pediatric brain tumors and confirms its feasibility for use at the time of diagnosis or recurrence.","container-title":"Neuro-Oncology","DOI":"10.1093/neuonc/now254","ISSN":"1522-8517, 1523-5866","j</w:instrText>
      </w:r>
      <w:r w:rsidR="00722BE8">
        <w:rPr>
          <w:rFonts w:ascii="Source Sans Pro" w:eastAsia="宋体" w:hAnsi="Source Sans Pro" w:cs="Calibri" w:hint="eastAsia"/>
          <w:kern w:val="0"/>
          <w:sz w:val="22"/>
        </w:rPr>
        <w:instrText>ournalAbbreviation":"Neuro-Oncology","language":"en","note":"JCR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15.9\n5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15.1","page":"now254","source":"Semantic Scholar","title":"Targeted next-generation sequencing of pediatric neuro-oncology patients improves diagno</w:instrText>
      </w:r>
      <w:r w:rsidR="00722BE8">
        <w:rPr>
          <w:rFonts w:ascii="Source Sans Pro" w:eastAsia="宋体" w:hAnsi="Source Sans Pro" w:cs="Calibri"/>
          <w:kern w:val="0"/>
          <w:sz w:val="22"/>
        </w:rPr>
        <w:instrText xml:space="preserve">sis, identifies pathogenic germline mutations, and directs targeted therapy","author":[{"family":"Kline","given":"Cassie N."},{"family":"Joseph","given":"Nancy M."},{"family":"Grenert","given":"James P."},{"family":"Van Ziffle","given":"Jessica"},{"family":"Talevich","given":"Eric"},{"family":"Onodera","given":"Courtney"},{"family":"Aboian","given":"Mariam"},{"family":"Cha","given":"Soonmee"},{"family":"Raleigh","given":"David R."},{"family":"Braunstein","given":"Steve"},{"family":"Torkildson","given":"Joseph"},{"family":"Samuel","given":"David"},{"family":"Bloomer","given":"Michelle"},{"family":"Campomanes","given":"Alejandra G. De Alba"},{"family":"Banerjee","given":"Anuradha"},{"family":"Butowski","given":"Nicholas"},{"family":"Raffel","given":"Corey"},{"family":"Tihan","given":"Tarik"},{"family":"Bollen","given":"Andrew W."},{"family":"Phillips","given":"Joanna J."},{"family":"Korn","given":"W. Michael"},{"family":"Yeh","given":"Iwei"},{"family":"Bastian","given":"Boris C."},{"family":"Gupta","given":"Nalin"},{"family":"Mueller","given":"Sabine"},{"family":"Perry","given":"Arie"},{"family":"Nicolaides","given":"Theodore"},{"family":"Solomon","given":"David A."}],"issued":{"date-parts":[["2016",11,14]]}}}],"schema":"https://github.com/citation-style-language/schema/raw/master/csl-citation.json"} </w:instrText>
      </w:r>
      <w:r w:rsidR="000231D5" w:rsidRPr="00392614">
        <w:rPr>
          <w:rFonts w:ascii="Source Sans Pro" w:eastAsia="宋体" w:hAnsi="Source Sans Pro" w:cs="Calibri"/>
          <w:kern w:val="0"/>
          <w:sz w:val="22"/>
        </w:rPr>
        <w:fldChar w:fldCharType="separate"/>
      </w:r>
      <w:r w:rsidR="00722BE8" w:rsidRPr="00722BE8">
        <w:rPr>
          <w:rFonts w:ascii="Source Sans Pro" w:hAnsi="Source Sans Pro"/>
          <w:sz w:val="22"/>
        </w:rPr>
        <w:t>[11]</w:t>
      </w:r>
      <w:r w:rsidR="000231D5" w:rsidRPr="00392614">
        <w:rPr>
          <w:rFonts w:ascii="Source Sans Pro" w:eastAsia="宋体" w:hAnsi="Source Sans Pro" w:cs="Calibri"/>
          <w:kern w:val="0"/>
          <w:sz w:val="22"/>
        </w:rPr>
        <w:fldChar w:fldCharType="end"/>
      </w:r>
      <w:r w:rsidR="000231D5" w:rsidRPr="00392614">
        <w:rPr>
          <w:rFonts w:ascii="Source Sans Pro" w:eastAsia="宋体" w:hAnsi="Source Sans Pro" w:cs="Calibri"/>
          <w:kern w:val="0"/>
          <w:sz w:val="22"/>
        </w:rPr>
        <w:t xml:space="preserve">. </w:t>
      </w:r>
      <w:r w:rsidR="00656D59">
        <w:rPr>
          <w:rFonts w:ascii="Source Sans Pro" w:eastAsia="宋体" w:hAnsi="Source Sans Pro" w:cs="Calibri"/>
          <w:kern w:val="0"/>
          <w:sz w:val="22"/>
        </w:rPr>
        <w:t xml:space="preserve">The </w:t>
      </w:r>
      <w:r w:rsidR="000231D5" w:rsidRPr="00392614">
        <w:rPr>
          <w:rFonts w:ascii="Source Sans Pro" w:eastAsia="宋体" w:hAnsi="Source Sans Pro" w:cs="Calibri"/>
          <w:kern w:val="0"/>
          <w:sz w:val="22"/>
        </w:rPr>
        <w:t xml:space="preserve">majority </w:t>
      </w:r>
      <w:r w:rsidR="00656D59">
        <w:rPr>
          <w:rFonts w:ascii="Source Sans Pro" w:eastAsia="宋体" w:hAnsi="Source Sans Pro" w:cs="Calibri"/>
          <w:kern w:val="0"/>
          <w:sz w:val="22"/>
        </w:rPr>
        <w:t xml:space="preserve">of patients </w:t>
      </w:r>
      <w:r w:rsidR="000231D5" w:rsidRPr="00392614">
        <w:rPr>
          <w:rFonts w:ascii="Source Sans Pro" w:eastAsia="宋体" w:hAnsi="Source Sans Pro" w:cs="Calibri"/>
          <w:kern w:val="0"/>
          <w:sz w:val="22"/>
        </w:rPr>
        <w:t>(410</w:t>
      </w:r>
      <w:r w:rsidR="00660EC3">
        <w:rPr>
          <w:rFonts w:ascii="Source Sans Pro" w:eastAsia="宋体" w:hAnsi="Source Sans Pro" w:cs="Calibri"/>
          <w:kern w:val="0"/>
          <w:sz w:val="22"/>
        </w:rPr>
        <w:t>/</w:t>
      </w:r>
      <w:r w:rsidR="000231D5" w:rsidRPr="00392614">
        <w:rPr>
          <w:rFonts w:ascii="Source Sans Pro" w:eastAsia="宋体" w:hAnsi="Source Sans Pro" w:cs="Calibri"/>
          <w:kern w:val="0"/>
          <w:sz w:val="22"/>
        </w:rPr>
        <w:t>501</w:t>
      </w:r>
      <w:r w:rsidR="00660EC3">
        <w:rPr>
          <w:rFonts w:ascii="Source Sans Pro" w:eastAsia="宋体" w:hAnsi="Source Sans Pro" w:cs="Calibri"/>
          <w:kern w:val="0"/>
          <w:sz w:val="22"/>
        </w:rPr>
        <w:t xml:space="preserve">, </w:t>
      </w:r>
      <w:r w:rsidR="000231D5" w:rsidRPr="00392614">
        <w:rPr>
          <w:rFonts w:ascii="Source Sans Pro" w:eastAsia="宋体" w:hAnsi="Source Sans Pro" w:cs="Calibri"/>
          <w:kern w:val="0"/>
          <w:sz w:val="22"/>
        </w:rPr>
        <w:t xml:space="preserve">82%) </w:t>
      </w:r>
      <w:r w:rsidR="00656D59" w:rsidRPr="00656D59">
        <w:rPr>
          <w:rFonts w:ascii="Source Sans Pro" w:eastAsia="宋体" w:hAnsi="Source Sans Pro" w:cs="Calibri"/>
          <w:kern w:val="0"/>
          <w:sz w:val="22"/>
        </w:rPr>
        <w:t xml:space="preserve">were also tested for 1p/19q codeletion </w:t>
      </w:r>
      <w:r w:rsidR="00C21D26">
        <w:rPr>
          <w:rFonts w:ascii="Source Sans Pro" w:eastAsia="宋体" w:hAnsi="Source Sans Pro" w:cs="Calibri"/>
          <w:kern w:val="0"/>
          <w:sz w:val="22"/>
        </w:rPr>
        <w:t xml:space="preserve">status </w:t>
      </w:r>
      <w:r w:rsidR="00656D59" w:rsidRPr="00656D59">
        <w:rPr>
          <w:rFonts w:ascii="Source Sans Pro" w:eastAsia="宋体" w:hAnsi="Source Sans Pro" w:cs="Calibri"/>
          <w:kern w:val="0"/>
          <w:sz w:val="22"/>
        </w:rPr>
        <w:t>using fluorescence in situ hybridization.</w:t>
      </w:r>
      <w:r w:rsidR="000231D5" w:rsidRPr="00392614">
        <w:rPr>
          <w:rFonts w:ascii="Source Sans Pro" w:eastAsia="宋体" w:hAnsi="Source Sans Pro" w:cs="Calibri"/>
          <w:kern w:val="0"/>
          <w:sz w:val="22"/>
        </w:rPr>
        <w:t xml:space="preserve"> </w:t>
      </w:r>
      <w:r w:rsidR="00656D59" w:rsidRPr="00656D59">
        <w:rPr>
          <w:rFonts w:ascii="Source Sans Pro" w:eastAsia="宋体" w:hAnsi="Source Sans Pro" w:cs="Calibri"/>
          <w:kern w:val="0"/>
          <w:sz w:val="22"/>
        </w:rPr>
        <w:t>Molecular data were obtained from tissue samples collected during open gross total or subtotal resection procedures, rather than from burr hole biopsies.</w:t>
      </w:r>
    </w:p>
    <w:p w14:paraId="68AAB227" w14:textId="5E4DB1AF" w:rsidR="000231D5" w:rsidRPr="00392614" w:rsidRDefault="00E57369" w:rsidP="00FF6FA0">
      <w:pPr>
        <w:autoSpaceDE w:val="0"/>
        <w:autoSpaceDN w:val="0"/>
        <w:adjustRightInd w:val="0"/>
        <w:spacing w:line="360" w:lineRule="auto"/>
        <w:ind w:firstLineChars="200" w:firstLine="440"/>
        <w:jc w:val="left"/>
        <w:rPr>
          <w:rFonts w:ascii="Source Sans Pro" w:eastAsia="宋体" w:hAnsi="Source Sans Pro" w:cs="Calibri"/>
          <w:kern w:val="0"/>
          <w:sz w:val="22"/>
        </w:rPr>
      </w:pPr>
      <w:r w:rsidRPr="00E57369">
        <w:rPr>
          <w:rFonts w:ascii="Source Sans Pro" w:eastAsia="宋体" w:hAnsi="Source Sans Pro" w:cs="Calibri"/>
          <w:kern w:val="0"/>
          <w:sz w:val="22"/>
        </w:rPr>
        <w:t>Genetic and histological features of EGD were determined from tumor tissue</w:t>
      </w:r>
      <w:r w:rsidR="00657CEC">
        <w:rPr>
          <w:rFonts w:ascii="Source Sans Pro" w:eastAsia="宋体" w:hAnsi="Source Sans Pro" w:cs="Calibri"/>
          <w:kern w:val="0"/>
          <w:sz w:val="22"/>
        </w:rPr>
        <w:t>s</w:t>
      </w:r>
      <w:r w:rsidRPr="00E57369">
        <w:rPr>
          <w:rFonts w:ascii="Source Sans Pro" w:eastAsia="宋体" w:hAnsi="Source Sans Pro" w:cs="Calibri"/>
          <w:kern w:val="0"/>
          <w:sz w:val="22"/>
        </w:rPr>
        <w:t xml:space="preserve"> obtained through biopsy or resection as part of routine clinical care. Formalin-fixed-paraffin-embedded (FFPE) tissue sections were macro-dissected, with areas exhibiting the highest tumor content selected by the neuro-pathologist. DNA extraction was performed </w:t>
      </w:r>
      <w:r w:rsidRPr="00E57369">
        <w:rPr>
          <w:rFonts w:ascii="Source Sans Pro" w:eastAsia="宋体" w:hAnsi="Source Sans Pro" w:cs="Calibri"/>
          <w:kern w:val="0"/>
          <w:sz w:val="22"/>
        </w:rPr>
        <w:lastRenderedPageBreak/>
        <w:t>following the method described by Wijnenga et al.</w:t>
      </w:r>
      <w:r w:rsidR="000231D5"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{"citationID":"efx7z5Db","properties":{"formattedCitation":"[12]","plainCitation":"[12]","noteIndex":0},"citationItems":[{"id":5697,"uris":["http://zotero.org/users/10132978/items/7CZFD4AK"],"itemData":{"id":5697,"type":"article-journal","abstract":"At current prognostication of low grade glioma remains suboptimal and might be improved with additional markers. These may guide treatment decisions, in particular on early adjuvant therapy versus wait and see after surgery.","c</w:instrText>
      </w:r>
      <w:r w:rsidR="00722BE8">
        <w:rPr>
          <w:rFonts w:ascii="Source Sans Pro" w:eastAsia="宋体" w:hAnsi="Source Sans Pro" w:cs="Calibri" w:hint="eastAsia"/>
          <w:kern w:val="0"/>
          <w:sz w:val="22"/>
        </w:rPr>
        <w:instrText>ontainer-title":"Journal of Neuro-Oncology","DOI":"10.1007/s11060-018-2867-8","ISSN":"1573-7373","issue":"2","journalAbbreviation":"J. Neurooncol.","language":"en","note":"JCR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Q2\n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2</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3.9\n5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4.1","page":"349-357","source":"Sprin</w:instrText>
      </w:r>
      <w:r w:rsidR="00722BE8">
        <w:rPr>
          <w:rFonts w:ascii="Source Sans Pro" w:eastAsia="宋体" w:hAnsi="Source Sans Pro" w:cs="Calibri"/>
          <w:kern w:val="0"/>
          <w:sz w:val="22"/>
        </w:rPr>
        <w:instrText xml:space="preserve">ger Link","title":"Prognostic relevance of mutations and copy number alterations assessed with targeted next generation sequencing in IDH mutant grade II glioma","volume":"139","author":[{"family":"Wijnenga","given":"Maarten M. J."},{"family":"French","given":"Pim J."},{"family":"Dubbink","given":"Hendrikus J."},{"family":"Dinjens","given":"Winand N. M."},{"family":"Atmodimedjo","given":"Peggy N."},{"family":"Kros","given":"Johan M."},{"family":"Fleischeuer","given":"Ruth"},{"family":"Dirven","given":"Clemens M. F."},{"family":"Vincent","given":"Arnaud J. P. E."},{"family":"Bent","given":"Martin J.","non-dropping-particle":"van den"}],"issued":{"date-parts":[["2018",9,1]]}}}],"schema":"https://github.com/citation-style-language/schema/raw/master/csl-citation.json"} </w:instrText>
      </w:r>
      <w:r w:rsidR="000231D5" w:rsidRPr="00392614">
        <w:rPr>
          <w:rFonts w:ascii="Source Sans Pro" w:eastAsia="宋体" w:hAnsi="Source Sans Pro" w:cs="Calibri"/>
          <w:kern w:val="0"/>
          <w:sz w:val="22"/>
        </w:rPr>
        <w:fldChar w:fldCharType="separate"/>
      </w:r>
      <w:r w:rsidR="00722BE8" w:rsidRPr="00722BE8">
        <w:rPr>
          <w:rFonts w:ascii="Source Sans Pro" w:hAnsi="Source Sans Pro"/>
          <w:sz w:val="22"/>
        </w:rPr>
        <w:t>[12]</w:t>
      </w:r>
      <w:r w:rsidR="000231D5" w:rsidRPr="00392614">
        <w:rPr>
          <w:rFonts w:ascii="Source Sans Pro" w:eastAsia="宋体" w:hAnsi="Source Sans Pro" w:cs="Calibri"/>
          <w:kern w:val="0"/>
          <w:sz w:val="22"/>
        </w:rPr>
        <w:fldChar w:fldCharType="end"/>
      </w:r>
      <w:r w:rsidR="000231D5" w:rsidRPr="00392614">
        <w:rPr>
          <w:rFonts w:ascii="Source Sans Pro" w:eastAsia="宋体" w:hAnsi="Source Sans Pro" w:cs="Calibri"/>
          <w:kern w:val="0"/>
          <w:sz w:val="22"/>
        </w:rPr>
        <w:t xml:space="preserve">. </w:t>
      </w:r>
      <w:r w:rsidRPr="00E57369">
        <w:rPr>
          <w:rFonts w:ascii="Source Sans Pro" w:eastAsia="宋体" w:hAnsi="Source Sans Pro" w:cs="Calibri"/>
          <w:kern w:val="0"/>
          <w:sz w:val="22"/>
        </w:rPr>
        <w:t>A dedicated sequencing panel was then utilized for molecular analysis, screening for IDH1 or IDH2 mutations and 1p/19q co-deletion</w:t>
      </w:r>
      <w:r w:rsidR="000231D5"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{"citationID":"rc10Aajq","properties":{"formattedCitation":"[13]","plainCitation":"[13]","noteIndex":0},"citationItems":[{"id":5699,"uris":["http://zotero.org/users/10132978/items/UYPP7KI9"],"itemData":{"id":5699,"type":"article-journal","abstract":"Histopathological diagnosis of diffuse gliomas is subject to interobserver\nvariation and correlates modestly with major prognostic and predictive\nmolecular abnormalities. We investigated a series of patients with locally\ndiagnosed anaplastic oligodendroglial tumors included in the EORTC phase III\ntrial 26951 on procarbazine/lomustine/vincristine (PCV) chemotherapy to\nexplore the diagnostic, prognostic, and predictive value of targeted\nnext-generation sequencing (NGS) in diffuse glioma and to assess the\nprognostic impact of FUBP1 and CIC mutations.Mostly formalin-fixed paraffin-embedded samples were tested with targeted NGS\nfor mutations in ATRX, TP53, IDH1, IDH2, CIC, FUBP1, PI3KC, TERT,\nEGFR, H3F3A, BRAF, PTEN, and NOTCH and for\ncopy number alterations of chromosomes 1p, 19q, 10q, and 7. TERT mutations were also assessed, with PCR.Material was available from 139 cases, in 6 of which results were\nuninformative. One hundred twenty-six tumors could be classified: 20 as type\nII (IDH mutation [mut], “astrocytoma”), 49 as type I\n(1p/19q codeletion, “oligodendroglioma”), 55 as type III (7+/10q– or TERTmut and 1p/19q intact, “glioblastoma”), and 2 as\nchildhood glioblastoma (H3F3Amut), leaving 7 unclassified\n(total 91% classified). Molecular classification was of clear prognostic\nsignificance and correlated better with outcome than did classical\nhistopathology. In 1p/19q codeleted tumors, outcome was not affected by CIC and FUBP1 mutations. MGMT promoter methylation remained the most predictive\nfactor for survival benefit of PCV chemotherapy.Targeted NGS allows a clinically relevant classification of diffuse glioma\ninto groups with very different outcomes. The diagnosis of diffuse glioma\nshould be primarily based on a molecular classification, with the\nhistopathological grade added to it. Future discussion should primarily aim\nat establishing the minimum requirements for molecular classification of\ndiffuse glioma.","container-title":"Neuro-Oncology","DOI":"10.1093</w:instrText>
      </w:r>
      <w:r w:rsidR="00722BE8">
        <w:rPr>
          <w:rFonts w:ascii="Source Sans Pro" w:eastAsia="宋体" w:hAnsi="Source Sans Pro" w:cs="Calibri" w:hint="eastAsia"/>
          <w:kern w:val="0"/>
          <w:sz w:val="22"/>
        </w:rPr>
        <w:instrText>/neuonc/nov182","ISSN":"1522-8517","issue":"3","journalAbbreviation":"Neuro-Oncology","note":"JCR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医学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15.9\n5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15.1","page":"388-400","source":"Silverchair","title":"Molecular classification of anaplastic oligodendroglioma us</w:instrText>
      </w:r>
      <w:r w:rsidR="00722BE8">
        <w:rPr>
          <w:rFonts w:ascii="Source Sans Pro" w:eastAsia="宋体" w:hAnsi="Source Sans Pro" w:cs="Calibri"/>
          <w:kern w:val="0"/>
          <w:sz w:val="22"/>
        </w:rPr>
        <w:instrText xml:space="preserve">ing next-generation sequencing: a report of the prospective randomized EORTC Brain Tumor Group 26951 phase III trial","title-short":"Molecular classification of anaplastic oligodendroglioma using next-generation sequencing","volume":"18","author":[{"family":"Dubbink","given":"Hendrikus J."},{"family":"Atmodimedjo","given":"Peggy N."},{"family":"Kros","given":"Johan M."},{"family":"French","given":"Pim J."},{"family":"Sanson","given":"Marc"},{"family":"Idbaih","given":"Ahmed"},{"family":"Wesseling","given":"Pieter"},{"family":"Enting","given":"Roelien"},{"family":"Spliet","given":"Wim"},{"family":"Tijssen","given":"Cees"},{"family":"Dinjens","given":"Winand N. M."},{"family":"Gorlia","given":"Thierry"},{"family":"Bent","given":"Martin J.","non-dropping-particle":"van den"}],"issued":{"date-parts":[["2015",6,20]]}}}],"schema":"https://github.com/citation-style-language/schema/raw/master/csl-citation.json"} </w:instrText>
      </w:r>
      <w:r w:rsidR="000231D5" w:rsidRPr="00392614">
        <w:rPr>
          <w:rFonts w:ascii="Source Sans Pro" w:eastAsia="宋体" w:hAnsi="Source Sans Pro" w:cs="Calibri"/>
          <w:kern w:val="0"/>
          <w:sz w:val="22"/>
        </w:rPr>
        <w:fldChar w:fldCharType="separate"/>
      </w:r>
      <w:r w:rsidR="00722BE8" w:rsidRPr="00722BE8">
        <w:rPr>
          <w:rFonts w:ascii="Source Sans Pro" w:hAnsi="Source Sans Pro"/>
          <w:sz w:val="22"/>
        </w:rPr>
        <w:t>[13]</w:t>
      </w:r>
      <w:r w:rsidR="000231D5" w:rsidRPr="00392614">
        <w:rPr>
          <w:rFonts w:ascii="Source Sans Pro" w:eastAsia="宋体" w:hAnsi="Source Sans Pro" w:cs="Calibri"/>
          <w:kern w:val="0"/>
          <w:sz w:val="22"/>
        </w:rPr>
        <w:fldChar w:fldCharType="end"/>
      </w:r>
      <w:r w:rsidR="000231D5" w:rsidRPr="00392614">
        <w:rPr>
          <w:rFonts w:ascii="Source Sans Pro" w:eastAsia="宋体" w:hAnsi="Source Sans Pro" w:cs="Calibri"/>
          <w:kern w:val="0"/>
          <w:sz w:val="22"/>
        </w:rPr>
        <w:t>.</w:t>
      </w:r>
    </w:p>
    <w:p w14:paraId="6E837182" w14:textId="26FCF504" w:rsidR="004D3BE3" w:rsidRPr="00DA16F0" w:rsidRDefault="006F6AF4" w:rsidP="006F6AF4">
      <w:pPr>
        <w:widowControl/>
        <w:spacing w:line="360" w:lineRule="auto"/>
        <w:jc w:val="left"/>
        <w:rPr>
          <w:rFonts w:ascii="Source Sans Pro" w:eastAsia="宋体" w:hAnsi="Source Sans Pro" w:cs="Calibri"/>
          <w:b/>
          <w:bCs/>
          <w:kern w:val="0"/>
          <w:sz w:val="22"/>
        </w:rPr>
      </w:pPr>
      <w:r w:rsidRPr="00DA16F0">
        <w:rPr>
          <w:rFonts w:ascii="Source Sans Pro" w:eastAsia="宋体" w:hAnsi="Source Sans Pro" w:cs="Calibri"/>
          <w:b/>
          <w:bCs/>
          <w:kern w:val="0"/>
          <w:sz w:val="22"/>
        </w:rPr>
        <w:t>Whole slide image collection and nuclear feature extraction</w:t>
      </w:r>
    </w:p>
    <w:p w14:paraId="787BABF6" w14:textId="13065758" w:rsidR="00C23127" w:rsidRDefault="00612FBB" w:rsidP="006F6AF4">
      <w:pPr>
        <w:widowControl/>
        <w:spacing w:line="360" w:lineRule="auto"/>
        <w:jc w:val="left"/>
        <w:rPr>
          <w:rFonts w:ascii="Source Sans Pro" w:eastAsia="宋体" w:hAnsi="Source Sans Pro" w:cs="Calibri"/>
          <w:kern w:val="0"/>
          <w:sz w:val="22"/>
        </w:rPr>
      </w:pPr>
      <w:r>
        <w:rPr>
          <w:noProof/>
        </w:rPr>
        <w:drawing>
          <wp:anchor distT="0" distB="0" distL="114300" distR="114300" simplePos="0" relativeHeight="251679744" behindDoc="0" locked="0" layoutInCell="1" allowOverlap="1" wp14:anchorId="47131C66" wp14:editId="16C31BB4">
            <wp:simplePos x="0" y="0"/>
            <wp:positionH relativeFrom="column">
              <wp:posOffset>15029</wp:posOffset>
            </wp:positionH>
            <wp:positionV relativeFrom="paragraph">
              <wp:posOffset>3934037</wp:posOffset>
            </wp:positionV>
            <wp:extent cx="5230495" cy="3578225"/>
            <wp:effectExtent l="0" t="0" r="8255" b="3175"/>
            <wp:wrapTopAndBottom/>
            <wp:docPr id="15283717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4647"/>
                    <a:stretch/>
                  </pic:blipFill>
                  <pic:spPr bwMode="auto">
                    <a:xfrm>
                      <a:off x="0" y="0"/>
                      <a:ext cx="5230495" cy="3578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A6020" w:rsidRPr="00392614">
        <w:rPr>
          <w:rFonts w:ascii="Source Sans Pro" w:eastAsia="宋体" w:hAnsi="Source Sans Pro" w:cs="Calibri"/>
          <w:kern w:val="0"/>
          <w:sz w:val="22"/>
        </w:rPr>
        <w:t>We obtained H</w:t>
      </w:r>
      <w:r w:rsidR="00C761CB">
        <w:rPr>
          <w:rFonts w:ascii="Source Sans Pro" w:eastAsia="宋体" w:hAnsi="Source Sans Pro" w:cs="Calibri"/>
          <w:kern w:val="0"/>
          <w:sz w:val="22"/>
        </w:rPr>
        <w:t>&amp;</w:t>
      </w:r>
      <w:r w:rsidR="009A6020" w:rsidRPr="00392614">
        <w:rPr>
          <w:rFonts w:ascii="Source Sans Pro" w:eastAsia="宋体" w:hAnsi="Source Sans Pro" w:cs="Calibri"/>
          <w:kern w:val="0"/>
          <w:sz w:val="22"/>
        </w:rPr>
        <w:t>E pathologically stained sections of the</w:t>
      </w:r>
      <w:r w:rsidR="00B84FF9">
        <w:rPr>
          <w:rFonts w:ascii="Source Sans Pro" w:eastAsia="宋体" w:hAnsi="Source Sans Pro" w:cs="Calibri"/>
          <w:kern w:val="0"/>
          <w:sz w:val="22"/>
        </w:rPr>
        <w:t xml:space="preserve"> </w:t>
      </w:r>
      <w:r w:rsidR="009A6020" w:rsidRPr="00392614">
        <w:rPr>
          <w:rFonts w:ascii="Source Sans Pro" w:eastAsia="宋体" w:hAnsi="Source Sans Pro" w:cs="Calibri"/>
          <w:kern w:val="0"/>
          <w:sz w:val="22"/>
        </w:rPr>
        <w:t>TCGA samples from the GDC portal.</w:t>
      </w:r>
      <w:r w:rsidR="006F6AF4" w:rsidRPr="00392614">
        <w:rPr>
          <w:rFonts w:ascii="Source Sans Pro" w:eastAsia="宋体" w:hAnsi="Source Sans Pro" w:cs="Calibri"/>
          <w:kern w:val="0"/>
          <w:sz w:val="22"/>
        </w:rPr>
        <w:t xml:space="preserve"> </w:t>
      </w:r>
      <w:r w:rsidR="00C761CB">
        <w:rPr>
          <w:rFonts w:ascii="Source Sans Pro" w:eastAsia="宋体" w:hAnsi="Source Sans Pro" w:cs="Calibri"/>
          <w:kern w:val="0"/>
          <w:sz w:val="22"/>
        </w:rPr>
        <w:t>Next</w:t>
      </w:r>
      <w:r w:rsidR="006F6AF4" w:rsidRPr="00392614">
        <w:rPr>
          <w:rFonts w:ascii="Source Sans Pro" w:eastAsia="宋体" w:hAnsi="Source Sans Pro" w:cs="Calibri"/>
          <w:kern w:val="0"/>
          <w:sz w:val="22"/>
        </w:rPr>
        <w:t xml:space="preserve">, we </w:t>
      </w:r>
      <w:r w:rsidR="00B705BC">
        <w:rPr>
          <w:rFonts w:ascii="Source Sans Pro" w:eastAsia="宋体" w:hAnsi="Source Sans Pro" w:cs="Calibri"/>
          <w:kern w:val="0"/>
          <w:sz w:val="22"/>
        </w:rPr>
        <w:t>performed</w:t>
      </w:r>
      <w:r w:rsidR="006F6AF4" w:rsidRPr="00392614">
        <w:rPr>
          <w:rFonts w:ascii="Source Sans Pro" w:eastAsia="宋体" w:hAnsi="Source Sans Pro" w:cs="Calibri"/>
          <w:kern w:val="0"/>
          <w:sz w:val="22"/>
        </w:rPr>
        <w:t xml:space="preserve"> nuclear segmentation and classification using the Hover-Net model, which was pretrained on the PanNuke dataset and c</w:t>
      </w:r>
      <w:r w:rsidR="00174C4E">
        <w:rPr>
          <w:rFonts w:ascii="Source Sans Pro" w:eastAsia="宋体" w:hAnsi="Source Sans Pro" w:cs="Calibri"/>
          <w:kern w:val="0"/>
          <w:sz w:val="22"/>
        </w:rPr>
        <w:t>ould</w:t>
      </w:r>
      <w:r w:rsidR="006F6AF4" w:rsidRPr="00392614">
        <w:rPr>
          <w:rFonts w:ascii="Source Sans Pro" w:eastAsia="宋体" w:hAnsi="Source Sans Pro" w:cs="Calibri"/>
          <w:kern w:val="0"/>
          <w:sz w:val="22"/>
        </w:rPr>
        <w:t xml:space="preserve"> identify five </w:t>
      </w:r>
      <w:r w:rsidR="00174C4E">
        <w:rPr>
          <w:rFonts w:ascii="Source Sans Pro" w:eastAsia="宋体" w:hAnsi="Source Sans Pro" w:cs="Calibri"/>
          <w:kern w:val="0"/>
          <w:sz w:val="22"/>
        </w:rPr>
        <w:t xml:space="preserve">types of </w:t>
      </w:r>
      <w:r w:rsidR="00174C4E" w:rsidRPr="00174C4E">
        <w:rPr>
          <w:rFonts w:ascii="Source Sans Pro" w:eastAsia="宋体" w:hAnsi="Source Sans Pro" w:cs="Calibri"/>
          <w:kern w:val="0"/>
          <w:sz w:val="22"/>
        </w:rPr>
        <w:t>nuclei</w:t>
      </w:r>
      <w:r w:rsidR="00174C4E">
        <w:rPr>
          <w:rFonts w:ascii="Source Sans Pro" w:eastAsia="宋体" w:hAnsi="Source Sans Pro" w:cs="Calibri"/>
          <w:kern w:val="0"/>
          <w:sz w:val="22"/>
        </w:rPr>
        <w:t xml:space="preserve">: </w:t>
      </w:r>
      <w:r w:rsidR="00174C4E" w:rsidRPr="00174C4E">
        <w:rPr>
          <w:rFonts w:ascii="Source Sans Pro" w:eastAsia="宋体" w:hAnsi="Source Sans Pro" w:cs="Calibri"/>
          <w:kern w:val="0"/>
          <w:sz w:val="22"/>
        </w:rPr>
        <w:t>tumor, inflammatory, stromal, normal (nonneoplastic epithelial), and dead (necrotic) nuclei</w:t>
      </w:r>
      <w:r w:rsidR="00804F72"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{"citationID":"T3Den9T7","properties":{"formattedCitation":"[14]","plainCitation":"[14]","noteIndex":0},"citationItems":[{"id":5743,"uris":["http://zotero.org/users/10132978/items/7UD4W27P"],"itemData":{"id":5743,"type":"article-journal","abstract":"Semantic Scholar extracted view of \"Hover-Net: Simultaneous segmentation and classification of nuclei in multi-tissue histology images\" by S. Graham et al.","container-title":"Medical Image Analysis","DOI":"10.1016/j.media.201</w:instrText>
      </w:r>
      <w:r w:rsidR="00722BE8">
        <w:rPr>
          <w:rFonts w:ascii="Source Sans Pro" w:eastAsia="宋体" w:hAnsi="Source Sans Pro" w:cs="Calibri" w:hint="eastAsia"/>
          <w:kern w:val="0"/>
          <w:sz w:val="22"/>
        </w:rPr>
        <w:instrText>9.101563","ISSN":"13618415","journalAbbreviation":"Med. Image Anal.","language":"en","note":"JCR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工程技术</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10.9\n5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xml:space="preserve">: 13.7\nEI: </w:instrText>
      </w:r>
      <w:r w:rsidR="00722BE8">
        <w:rPr>
          <w:rFonts w:ascii="Source Sans Pro" w:eastAsia="宋体" w:hAnsi="Source Sans Pro" w:cs="Calibri" w:hint="eastAsia"/>
          <w:kern w:val="0"/>
          <w:sz w:val="22"/>
        </w:rPr>
        <w:instrText>是</w:instrText>
      </w:r>
      <w:r w:rsidR="00722BE8">
        <w:rPr>
          <w:rFonts w:ascii="Source Sans Pro" w:eastAsia="宋体" w:hAnsi="Source Sans Pro" w:cs="Calibri" w:hint="eastAsia"/>
          <w:kern w:val="0"/>
          <w:sz w:val="22"/>
        </w:rPr>
        <w:instrText>","page":"101563","source":"Semantic Scholar","title":"Hover-Net: Simultaneous segmentation and classi</w:instrText>
      </w:r>
      <w:r w:rsidR="00722BE8">
        <w:rPr>
          <w:rFonts w:ascii="Source Sans Pro" w:eastAsia="宋体" w:hAnsi="Source Sans Pro" w:cs="Calibri"/>
          <w:kern w:val="0"/>
          <w:sz w:val="22"/>
        </w:rPr>
        <w:instrText xml:space="preserve">fication of nuclei in multi-tissue histology images","title-short":"Hover-Net","volume":"58","author":[{"family":"Graham","given":"Simon"},{"family":"Vu","given":"Quoc Dang"},{"family":"Raza","given":"Shan E Ahmed"},{"family":"Azam","given":"Ayesha"},{"family":"Tsang","given":"Yee Wah"},{"family":"Kwak","given":"Jin Tae"},{"family":"Rajpoot","given":"Nasir"}],"issued":{"date-parts":[["2019",12]]}}}],"schema":"https://github.com/citation-style-language/schema/raw/master/csl-citation.json"} </w:instrText>
      </w:r>
      <w:r w:rsidR="00804F72" w:rsidRPr="00392614">
        <w:rPr>
          <w:rFonts w:ascii="Source Sans Pro" w:eastAsia="宋体" w:hAnsi="Source Sans Pro" w:cs="Calibri"/>
          <w:kern w:val="0"/>
          <w:sz w:val="22"/>
        </w:rPr>
        <w:fldChar w:fldCharType="separate"/>
      </w:r>
      <w:r w:rsidR="00722BE8" w:rsidRPr="00722BE8">
        <w:rPr>
          <w:rFonts w:ascii="Source Sans Pro" w:hAnsi="Source Sans Pro"/>
          <w:sz w:val="22"/>
        </w:rPr>
        <w:t>[14]</w:t>
      </w:r>
      <w:r w:rsidR="00804F72" w:rsidRPr="00392614">
        <w:rPr>
          <w:rFonts w:ascii="Source Sans Pro" w:eastAsia="宋体" w:hAnsi="Source Sans Pro" w:cs="Calibri"/>
          <w:kern w:val="0"/>
          <w:sz w:val="22"/>
        </w:rPr>
        <w:fldChar w:fldCharType="end"/>
      </w:r>
      <w:r w:rsidR="006F6AF4" w:rsidRPr="00392614">
        <w:rPr>
          <w:rFonts w:ascii="Source Sans Pro" w:eastAsia="宋体" w:hAnsi="Source Sans Pro" w:cs="Calibri"/>
          <w:kern w:val="0"/>
          <w:sz w:val="22"/>
        </w:rPr>
        <w:t xml:space="preserve">. </w:t>
      </w:r>
      <w:r w:rsidR="00B32E59" w:rsidRPr="00392614">
        <w:rPr>
          <w:rFonts w:ascii="Source Sans Pro" w:eastAsia="宋体" w:hAnsi="Source Sans Pro" w:cs="Calibri"/>
          <w:kern w:val="0"/>
          <w:sz w:val="22"/>
        </w:rPr>
        <w:t>In total, we divided</w:t>
      </w:r>
      <w:r w:rsidR="00316499">
        <w:rPr>
          <w:rFonts w:ascii="Source Sans Pro" w:eastAsia="宋体" w:hAnsi="Source Sans Pro" w:cs="Calibri"/>
          <w:kern w:val="0"/>
          <w:sz w:val="22"/>
        </w:rPr>
        <w:t xml:space="preserve"> </w:t>
      </w:r>
      <w:r w:rsidR="00316499" w:rsidRPr="00316499">
        <w:rPr>
          <w:rFonts w:ascii="Source Sans Pro" w:eastAsia="宋体" w:hAnsi="Source Sans Pro" w:cs="Calibri"/>
          <w:kern w:val="0"/>
          <w:sz w:val="22"/>
        </w:rPr>
        <w:t xml:space="preserve">the input </w:t>
      </w:r>
      <w:r w:rsidR="00B57764">
        <w:rPr>
          <w:rFonts w:ascii="Source Sans Pro" w:eastAsia="宋体" w:hAnsi="Source Sans Pro" w:cs="Calibri"/>
          <w:kern w:val="0"/>
          <w:sz w:val="22"/>
        </w:rPr>
        <w:t xml:space="preserve">WSI </w:t>
      </w:r>
      <w:r w:rsidR="00316499" w:rsidRPr="00316499">
        <w:rPr>
          <w:rFonts w:ascii="Source Sans Pro" w:eastAsia="宋体" w:hAnsi="Source Sans Pro" w:cs="Calibri"/>
          <w:kern w:val="0"/>
          <w:sz w:val="22"/>
        </w:rPr>
        <w:t>image</w:t>
      </w:r>
      <w:r w:rsidR="00316499">
        <w:rPr>
          <w:rFonts w:ascii="Source Sans Pro" w:eastAsia="宋体" w:hAnsi="Source Sans Pro" w:cs="Calibri"/>
          <w:kern w:val="0"/>
          <w:sz w:val="22"/>
        </w:rPr>
        <w:t>s</w:t>
      </w:r>
      <w:r w:rsidR="00316499" w:rsidRPr="00316499">
        <w:rPr>
          <w:rFonts w:ascii="Source Sans Pro" w:eastAsia="宋体" w:hAnsi="Source Sans Pro" w:cs="Calibri"/>
          <w:kern w:val="0"/>
          <w:sz w:val="22"/>
        </w:rPr>
        <w:t xml:space="preserve"> to </w:t>
      </w:r>
      <w:r w:rsidR="00B32E59" w:rsidRPr="00392614">
        <w:rPr>
          <w:rFonts w:ascii="Source Sans Pro" w:eastAsia="宋体" w:hAnsi="Source Sans Pro" w:cs="Calibri"/>
          <w:kern w:val="0"/>
          <w:sz w:val="22"/>
        </w:rPr>
        <w:t>50,978,382 patches</w:t>
      </w:r>
      <w:r w:rsidR="00316499">
        <w:rPr>
          <w:rFonts w:ascii="Source Sans Pro" w:eastAsia="宋体" w:hAnsi="Source Sans Pro" w:cs="Calibri"/>
          <w:kern w:val="0"/>
          <w:sz w:val="22"/>
        </w:rPr>
        <w:t xml:space="preserve"> from 130 patients</w:t>
      </w:r>
      <w:r w:rsidR="00B32E59" w:rsidRPr="00392614">
        <w:rPr>
          <w:rFonts w:ascii="Source Sans Pro" w:eastAsia="宋体" w:hAnsi="Source Sans Pro" w:cs="Calibri"/>
          <w:kern w:val="0"/>
          <w:sz w:val="22"/>
        </w:rPr>
        <w:t>.</w:t>
      </w:r>
      <w:r w:rsidR="00F955C3" w:rsidRPr="00392614">
        <w:rPr>
          <w:rFonts w:ascii="Source Sans Pro" w:eastAsia="宋体" w:hAnsi="Source Sans Pro" w:cs="Calibri"/>
          <w:kern w:val="0"/>
          <w:sz w:val="22"/>
        </w:rPr>
        <w:t xml:space="preserve"> </w:t>
      </w:r>
      <w:r w:rsidR="00C23127" w:rsidRPr="00C23127">
        <w:rPr>
          <w:rFonts w:ascii="Source Sans Pro" w:eastAsia="宋体" w:hAnsi="Source Sans Pro" w:cs="Calibri"/>
          <w:kern w:val="0"/>
          <w:sz w:val="22"/>
        </w:rPr>
        <w:t xml:space="preserve">It is important to note that tumors do not exist in isolation, and evaluating their microenvironment, which includes stromal, inflammatory, and necrotic components, can provide valuable insights into </w:t>
      </w:r>
      <w:r w:rsidR="00DE385A">
        <w:rPr>
          <w:rFonts w:ascii="Source Sans Pro" w:eastAsia="宋体" w:hAnsi="Source Sans Pro" w:cs="Calibri"/>
          <w:kern w:val="0"/>
          <w:sz w:val="22"/>
        </w:rPr>
        <w:t xml:space="preserve">survival </w:t>
      </w:r>
      <w:r w:rsidR="00C23127" w:rsidRPr="00C23127">
        <w:rPr>
          <w:rFonts w:ascii="Source Sans Pro" w:eastAsia="宋体" w:hAnsi="Source Sans Pro" w:cs="Calibri"/>
          <w:kern w:val="0"/>
          <w:sz w:val="22"/>
        </w:rPr>
        <w:t xml:space="preserve">outcomes. </w:t>
      </w:r>
      <w:r w:rsidR="00DE385A">
        <w:rPr>
          <w:rFonts w:ascii="Source Sans Pro" w:eastAsia="宋体" w:hAnsi="Source Sans Pro" w:cs="Calibri"/>
          <w:kern w:val="0"/>
          <w:sz w:val="22"/>
        </w:rPr>
        <w:t>Then,</w:t>
      </w:r>
      <w:r w:rsidR="00C23127" w:rsidRPr="00C23127">
        <w:rPr>
          <w:rFonts w:ascii="Source Sans Pro" w:eastAsia="宋体" w:hAnsi="Source Sans Pro" w:cs="Calibri"/>
          <w:kern w:val="0"/>
          <w:sz w:val="22"/>
        </w:rPr>
        <w:t xml:space="preserve"> we extracted the areas of the tumor, stromal, inflammatory, and necrotic regions and calculated the ratios of tumor</w:t>
      </w:r>
      <w:r w:rsidR="00DE385A">
        <w:rPr>
          <w:rFonts w:ascii="Source Sans Pro" w:eastAsia="宋体" w:hAnsi="Source Sans Pro" w:cs="Calibri"/>
          <w:kern w:val="0"/>
          <w:sz w:val="22"/>
        </w:rPr>
        <w:t>-</w:t>
      </w:r>
      <w:r w:rsidR="00C23127" w:rsidRPr="00C23127">
        <w:rPr>
          <w:rFonts w:ascii="Source Sans Pro" w:eastAsia="宋体" w:hAnsi="Source Sans Pro" w:cs="Calibri"/>
          <w:kern w:val="0"/>
          <w:sz w:val="22"/>
        </w:rPr>
        <w:t>stroma, tumor</w:t>
      </w:r>
      <w:r w:rsidR="00DE385A">
        <w:rPr>
          <w:rFonts w:ascii="Source Sans Pro" w:eastAsia="宋体" w:hAnsi="Source Sans Pro" w:cs="Calibri"/>
          <w:kern w:val="0"/>
          <w:sz w:val="22"/>
        </w:rPr>
        <w:t>-</w:t>
      </w:r>
      <w:r w:rsidR="00C23127" w:rsidRPr="00C23127">
        <w:rPr>
          <w:rFonts w:ascii="Source Sans Pro" w:eastAsia="宋体" w:hAnsi="Source Sans Pro" w:cs="Calibri"/>
          <w:kern w:val="0"/>
          <w:sz w:val="22"/>
        </w:rPr>
        <w:t>inflammation, and tumor</w:t>
      </w:r>
      <w:r w:rsidR="00DE385A">
        <w:rPr>
          <w:rFonts w:ascii="Source Sans Pro" w:eastAsia="宋体" w:hAnsi="Source Sans Pro" w:cs="Calibri"/>
          <w:kern w:val="0"/>
          <w:sz w:val="22"/>
        </w:rPr>
        <w:t>-</w:t>
      </w:r>
      <w:r w:rsidR="00C23127" w:rsidRPr="00C23127">
        <w:rPr>
          <w:rFonts w:ascii="Source Sans Pro" w:eastAsia="宋体" w:hAnsi="Source Sans Pro" w:cs="Calibri"/>
          <w:kern w:val="0"/>
          <w:sz w:val="22"/>
        </w:rPr>
        <w:t>necrosis.</w:t>
      </w:r>
      <w:r w:rsidR="00C23127">
        <w:rPr>
          <w:rFonts w:ascii="Source Sans Pro" w:eastAsia="宋体" w:hAnsi="Source Sans Pro" w:cs="Calibri"/>
          <w:kern w:val="0"/>
          <w:sz w:val="22"/>
        </w:rPr>
        <w:t xml:space="preserve"> </w:t>
      </w:r>
      <w:r w:rsidR="009D66C0">
        <w:rPr>
          <w:rFonts w:ascii="Source Sans Pro" w:eastAsia="宋体" w:hAnsi="Source Sans Pro" w:cs="Calibri"/>
          <w:kern w:val="0"/>
          <w:sz w:val="22"/>
        </w:rPr>
        <w:t>T</w:t>
      </w:r>
      <w:r w:rsidR="00607201" w:rsidRPr="00607201">
        <w:rPr>
          <w:rFonts w:ascii="Source Sans Pro" w:eastAsia="宋体" w:hAnsi="Source Sans Pro" w:cs="Calibri"/>
          <w:kern w:val="0"/>
          <w:sz w:val="22"/>
        </w:rPr>
        <w:t>umor-stroma ratio</w:t>
      </w:r>
      <w:r w:rsidR="00520DD6">
        <w:rPr>
          <w:rFonts w:ascii="Source Sans Pro" w:eastAsia="宋体" w:hAnsi="Source Sans Pro" w:cs="Calibri"/>
          <w:kern w:val="0"/>
          <w:sz w:val="22"/>
        </w:rPr>
        <w:t xml:space="preserve"> was </w:t>
      </w:r>
      <w:r w:rsidR="00607201" w:rsidRPr="00607201">
        <w:rPr>
          <w:rFonts w:ascii="Source Sans Pro" w:eastAsia="宋体" w:hAnsi="Source Sans Pro" w:cs="Calibri"/>
          <w:kern w:val="0"/>
          <w:sz w:val="22"/>
        </w:rPr>
        <w:t xml:space="preserve">defined as the proportion of tumor tissue relative to </w:t>
      </w:r>
      <w:bookmarkStart w:id="0" w:name="_Hlk155304593"/>
      <w:r w:rsidR="00607201" w:rsidRPr="00607201">
        <w:rPr>
          <w:rFonts w:ascii="Source Sans Pro" w:eastAsia="宋体" w:hAnsi="Source Sans Pro" w:cs="Calibri"/>
          <w:kern w:val="0"/>
          <w:sz w:val="22"/>
        </w:rPr>
        <w:t>surrounding</w:t>
      </w:r>
      <w:bookmarkEnd w:id="0"/>
      <w:r w:rsidR="00607201" w:rsidRPr="00607201">
        <w:rPr>
          <w:rFonts w:ascii="Source Sans Pro" w:eastAsia="宋体" w:hAnsi="Source Sans Pro" w:cs="Calibri"/>
          <w:kern w:val="0"/>
          <w:sz w:val="22"/>
        </w:rPr>
        <w:t> stromal tissue</w:t>
      </w:r>
      <w:r w:rsidR="00607201">
        <w:rPr>
          <w:rFonts w:ascii="Source Sans Pro" w:eastAsia="宋体" w:hAnsi="Source Sans Pro" w:cs="Calibri"/>
          <w:kern w:val="0"/>
          <w:sz w:val="22"/>
        </w:rPr>
        <w:t xml:space="preserve">. </w:t>
      </w:r>
      <w:r w:rsidR="00A856AA">
        <w:rPr>
          <w:rFonts w:ascii="Source Sans Pro" w:eastAsia="宋体" w:hAnsi="Source Sans Pro" w:cs="Calibri"/>
          <w:kern w:val="0"/>
          <w:sz w:val="22"/>
        </w:rPr>
        <w:t>T</w:t>
      </w:r>
      <w:r w:rsidR="00A856AA" w:rsidRPr="00A856AA">
        <w:rPr>
          <w:rFonts w:ascii="Source Sans Pro" w:eastAsia="宋体" w:hAnsi="Source Sans Pro" w:cs="Calibri"/>
          <w:kern w:val="0"/>
          <w:sz w:val="22"/>
        </w:rPr>
        <w:t>umor</w:t>
      </w:r>
      <w:r w:rsidR="00A856AA">
        <w:rPr>
          <w:rFonts w:ascii="Source Sans Pro" w:eastAsia="宋体" w:hAnsi="Source Sans Pro" w:cs="Calibri"/>
          <w:kern w:val="0"/>
          <w:sz w:val="22"/>
        </w:rPr>
        <w:t>-</w:t>
      </w:r>
      <w:r w:rsidR="00A856AA" w:rsidRPr="00A856AA">
        <w:rPr>
          <w:rFonts w:ascii="Source Sans Pro" w:eastAsia="宋体" w:hAnsi="Source Sans Pro" w:cs="Calibri"/>
          <w:kern w:val="0"/>
          <w:sz w:val="22"/>
        </w:rPr>
        <w:t>inflammation</w:t>
      </w:r>
      <w:r w:rsidR="00A856AA">
        <w:rPr>
          <w:rFonts w:ascii="Source Sans Pro" w:eastAsia="宋体" w:hAnsi="Source Sans Pro" w:cs="Calibri"/>
          <w:kern w:val="0"/>
          <w:sz w:val="22"/>
        </w:rPr>
        <w:t xml:space="preserve"> ratio </w:t>
      </w:r>
      <w:r w:rsidR="00A856AA" w:rsidRPr="00A856AA">
        <w:rPr>
          <w:rFonts w:ascii="Source Sans Pro" w:eastAsia="宋体" w:hAnsi="Source Sans Pro" w:cs="Calibri"/>
          <w:kern w:val="0"/>
          <w:sz w:val="22"/>
        </w:rPr>
        <w:t>refers to the</w:t>
      </w:r>
      <w:r w:rsidR="00A856AA">
        <w:rPr>
          <w:rFonts w:ascii="Source Sans Pro" w:eastAsia="宋体" w:hAnsi="Source Sans Pro" w:cs="Calibri"/>
          <w:kern w:val="0"/>
          <w:sz w:val="22"/>
        </w:rPr>
        <w:t xml:space="preserve"> </w:t>
      </w:r>
      <w:r w:rsidR="00A856AA" w:rsidRPr="00A856AA">
        <w:rPr>
          <w:rFonts w:ascii="Source Sans Pro" w:eastAsia="宋体" w:hAnsi="Source Sans Pro" w:cs="Calibri"/>
          <w:kern w:val="0"/>
          <w:sz w:val="22"/>
        </w:rPr>
        <w:t>proportion of tumor tissue relative to</w:t>
      </w:r>
      <w:r w:rsidR="00A856AA">
        <w:rPr>
          <w:rFonts w:ascii="Source Sans Pro" w:eastAsia="宋体" w:hAnsi="Source Sans Pro" w:cs="Calibri"/>
          <w:kern w:val="0"/>
          <w:sz w:val="22"/>
        </w:rPr>
        <w:t xml:space="preserve"> </w:t>
      </w:r>
      <w:r w:rsidR="00A856AA" w:rsidRPr="00A856AA">
        <w:rPr>
          <w:rFonts w:ascii="Source Sans Pro" w:eastAsia="宋体" w:hAnsi="Source Sans Pro" w:cs="Calibri"/>
          <w:kern w:val="0"/>
          <w:sz w:val="22"/>
        </w:rPr>
        <w:t>inflammation</w:t>
      </w:r>
      <w:r w:rsidR="00520DD6">
        <w:rPr>
          <w:rFonts w:ascii="Source Sans Pro" w:eastAsia="宋体" w:hAnsi="Source Sans Pro" w:cs="Calibri"/>
          <w:kern w:val="0"/>
          <w:sz w:val="22"/>
        </w:rPr>
        <w:t xml:space="preserve"> tissue</w:t>
      </w:r>
      <w:r w:rsidR="00A856AA">
        <w:rPr>
          <w:rFonts w:ascii="Source Sans Pro" w:eastAsia="宋体" w:hAnsi="Source Sans Pro" w:cs="Calibri"/>
          <w:kern w:val="0"/>
          <w:sz w:val="22"/>
        </w:rPr>
        <w:t xml:space="preserve">. </w:t>
      </w:r>
      <w:r w:rsidR="00520DD6">
        <w:rPr>
          <w:rFonts w:ascii="Source Sans Pro" w:eastAsia="宋体" w:hAnsi="Source Sans Pro" w:cs="Calibri"/>
          <w:kern w:val="0"/>
          <w:sz w:val="22"/>
        </w:rPr>
        <w:t>T</w:t>
      </w:r>
      <w:r w:rsidR="00520DD6" w:rsidRPr="00520DD6">
        <w:rPr>
          <w:rFonts w:ascii="Source Sans Pro" w:eastAsia="宋体" w:hAnsi="Source Sans Pro" w:cs="Calibri"/>
          <w:kern w:val="0"/>
          <w:sz w:val="22"/>
        </w:rPr>
        <w:t>umor</w:t>
      </w:r>
      <w:r w:rsidR="00520DD6">
        <w:rPr>
          <w:rFonts w:ascii="Source Sans Pro" w:eastAsia="宋体" w:hAnsi="Source Sans Pro" w:cs="Calibri"/>
          <w:kern w:val="0"/>
          <w:sz w:val="22"/>
        </w:rPr>
        <w:t>-</w:t>
      </w:r>
      <w:r w:rsidR="00520DD6" w:rsidRPr="00520DD6">
        <w:rPr>
          <w:rFonts w:ascii="Source Sans Pro" w:eastAsia="宋体" w:hAnsi="Source Sans Pro" w:cs="Calibri"/>
          <w:kern w:val="0"/>
          <w:sz w:val="22"/>
        </w:rPr>
        <w:t>necrosis</w:t>
      </w:r>
      <w:r w:rsidR="00520DD6">
        <w:rPr>
          <w:rFonts w:ascii="Source Sans Pro" w:eastAsia="宋体" w:hAnsi="Source Sans Pro" w:cs="Calibri"/>
          <w:kern w:val="0"/>
          <w:sz w:val="22"/>
        </w:rPr>
        <w:t xml:space="preserve"> ratio was defined as </w:t>
      </w:r>
      <w:r w:rsidR="00520DD6" w:rsidRPr="00520DD6">
        <w:rPr>
          <w:rFonts w:ascii="Source Sans Pro" w:eastAsia="宋体" w:hAnsi="Source Sans Pro" w:cs="Calibri"/>
          <w:kern w:val="0"/>
          <w:sz w:val="22"/>
        </w:rPr>
        <w:t>the proportion of tumor tissue relative to necrosis tissue.</w:t>
      </w:r>
      <w:r w:rsidR="00520DD6">
        <w:rPr>
          <w:rFonts w:ascii="Source Sans Pro" w:eastAsia="宋体" w:hAnsi="Source Sans Pro" w:cs="Calibri"/>
          <w:kern w:val="0"/>
          <w:sz w:val="22"/>
        </w:rPr>
        <w:t xml:space="preserve"> </w:t>
      </w:r>
    </w:p>
    <w:p w14:paraId="345C670F" w14:textId="77777777" w:rsidR="00673F17" w:rsidRPr="00673F17" w:rsidRDefault="00612FBB" w:rsidP="006F6AF4">
      <w:pPr>
        <w:widowControl/>
        <w:spacing w:line="360" w:lineRule="auto"/>
        <w:jc w:val="left"/>
        <w:rPr>
          <w:rFonts w:ascii="Source Sans Pro" w:eastAsia="宋体" w:hAnsi="Source Sans Pro" w:cs="Calibri"/>
          <w:i/>
          <w:iCs/>
          <w:szCs w:val="21"/>
        </w:rPr>
      </w:pPr>
      <w:r w:rsidRPr="00673F17">
        <w:rPr>
          <w:rFonts w:ascii="Source Sans Pro" w:eastAsia="宋体" w:hAnsi="Source Sans Pro" w:cs="Calibri"/>
          <w:i/>
          <w:iCs/>
          <w:szCs w:val="21"/>
        </w:rPr>
        <w:lastRenderedPageBreak/>
        <w:t>(A) The whole slide images are initially pre-processed using HoverNet, a pre-trained model trained on the PanNuke dataset. HoverNet is capable of identifying five different types of nuclei, namely tumor, inflammatory, stromal, normal (nonneoplastic epithelial), and dead (necrotic) nuclei. The nuclear boundaries are represented by distinct colors, each corresponding to a specific type of nucleus.</w:t>
      </w:r>
      <w:r w:rsidRPr="00673F17">
        <w:rPr>
          <w:rFonts w:ascii="Source Sans Pro" w:eastAsia="宋体" w:hAnsi="Source Sans Pro" w:cs="Calibri" w:hint="eastAsia"/>
          <w:i/>
          <w:iCs/>
          <w:szCs w:val="21"/>
        </w:rPr>
        <w:t xml:space="preserve"> </w:t>
      </w:r>
    </w:p>
    <w:p w14:paraId="2D5511B1" w14:textId="53141B7B" w:rsidR="00612FBB" w:rsidRPr="00673F17" w:rsidRDefault="00612FBB" w:rsidP="006F6AF4">
      <w:pPr>
        <w:widowControl/>
        <w:spacing w:line="360" w:lineRule="auto"/>
        <w:jc w:val="left"/>
        <w:rPr>
          <w:rFonts w:ascii="Source Sans Pro" w:eastAsia="宋体" w:hAnsi="Source Sans Pro" w:cs="Calibri"/>
          <w:i/>
          <w:iCs/>
          <w:szCs w:val="21"/>
        </w:rPr>
      </w:pPr>
      <w:r w:rsidRPr="00673F17">
        <w:rPr>
          <w:rFonts w:ascii="Source Sans Pro" w:eastAsia="宋体" w:hAnsi="Source Sans Pro" w:cs="Calibri"/>
          <w:i/>
          <w:iCs/>
          <w:szCs w:val="21"/>
        </w:rPr>
        <w:t xml:space="preserve">(B) We </w:t>
      </w:r>
      <w:r w:rsidR="009D3AEF">
        <w:rPr>
          <w:rFonts w:ascii="Source Sans Pro" w:eastAsia="宋体" w:hAnsi="Source Sans Pro" w:cs="Calibri"/>
          <w:i/>
          <w:iCs/>
          <w:szCs w:val="21"/>
        </w:rPr>
        <w:t xml:space="preserve">then </w:t>
      </w:r>
      <w:r w:rsidR="005B0DDB" w:rsidRPr="00673F17">
        <w:rPr>
          <w:rFonts w:ascii="Source Sans Pro" w:eastAsia="宋体" w:hAnsi="Source Sans Pro" w:cs="Calibri"/>
          <w:i/>
          <w:iCs/>
          <w:szCs w:val="21"/>
        </w:rPr>
        <w:t xml:space="preserve">calculated the tumor-stroma ratio, tumor-inflammation ratio, and tumor-necrosis ratio for each case. </w:t>
      </w:r>
      <w:r w:rsidRPr="00673F17">
        <w:rPr>
          <w:rFonts w:ascii="Source Sans Pro" w:eastAsia="宋体" w:hAnsi="Source Sans Pro" w:cs="Calibri"/>
          <w:i/>
          <w:iCs/>
          <w:szCs w:val="21"/>
        </w:rPr>
        <w:t>Tumor-stroma ratio was defined as the proportion of tumor tissue relative to surrounding stromal tissue. Tumor-inflammation ratio refers to the proportion of tumor tissue relative to inflammation tissue. Tumor-necrosis ratio was defined as the proportion of tumor tissue relative to necrosis tissue.</w:t>
      </w:r>
    </w:p>
    <w:p w14:paraId="65B9298A" w14:textId="4DF4A15F" w:rsidR="005332F0" w:rsidRPr="00DA16F0" w:rsidRDefault="00C0481C" w:rsidP="00AB5619">
      <w:pPr>
        <w:widowControl/>
        <w:spacing w:line="360" w:lineRule="auto"/>
        <w:jc w:val="left"/>
        <w:rPr>
          <w:rFonts w:ascii="Source Sans Pro" w:eastAsia="宋体" w:hAnsi="Source Sans Pro" w:cs="Calibri"/>
          <w:kern w:val="0"/>
          <w:sz w:val="22"/>
        </w:rPr>
      </w:pPr>
      <w:r w:rsidRPr="00DA16F0">
        <w:rPr>
          <w:rFonts w:ascii="Source Sans Pro" w:eastAsia="微软雅黑" w:hAnsi="Source Sans Pro" w:cs="Calibri"/>
          <w:b/>
          <w:bCs/>
          <w:sz w:val="22"/>
        </w:rPr>
        <w:t xml:space="preserve">RNA sequencing  </w:t>
      </w:r>
      <w:r w:rsidR="009E60E7" w:rsidRPr="00DA16F0">
        <w:rPr>
          <w:rFonts w:ascii="Source Sans Pro" w:eastAsia="微软雅黑" w:hAnsi="Source Sans Pro" w:cs="Calibri"/>
          <w:b/>
          <w:bCs/>
          <w:sz w:val="22"/>
        </w:rPr>
        <w:t>d</w:t>
      </w:r>
      <w:r w:rsidR="005332F0" w:rsidRPr="00DA16F0">
        <w:rPr>
          <w:rFonts w:ascii="Source Sans Pro" w:eastAsia="微软雅黑" w:hAnsi="Source Sans Pro" w:cs="Calibri"/>
          <w:b/>
          <w:bCs/>
          <w:sz w:val="22"/>
        </w:rPr>
        <w:t>ata acquisition and processing</w:t>
      </w:r>
    </w:p>
    <w:p w14:paraId="0864903E" w14:textId="39C21090" w:rsidR="00411750" w:rsidRPr="00FF6FA0" w:rsidRDefault="006A6583" w:rsidP="00AB5619">
      <w:pPr>
        <w:widowControl/>
        <w:spacing w:line="360" w:lineRule="auto"/>
        <w:jc w:val="left"/>
        <w:rPr>
          <w:rFonts w:ascii="Source Sans Pro" w:eastAsia="宋体" w:hAnsi="Source Sans Pro" w:cs="Calibri"/>
          <w:kern w:val="0"/>
          <w:sz w:val="22"/>
        </w:rPr>
      </w:pPr>
      <w:bookmarkStart w:id="1" w:name="OLE_LINK1"/>
      <w:r w:rsidRPr="00392614">
        <w:rPr>
          <w:rFonts w:ascii="Source Sans Pro" w:eastAsia="宋体" w:hAnsi="Source Sans Pro" w:cs="Calibri"/>
          <w:kern w:val="0"/>
          <w:sz w:val="22"/>
        </w:rPr>
        <w:t>The patients in the TC</w:t>
      </w:r>
      <w:r w:rsidR="009A6020" w:rsidRPr="00392614">
        <w:rPr>
          <w:rFonts w:ascii="Source Sans Pro" w:eastAsia="宋体" w:hAnsi="Source Sans Pro" w:cs="Calibri"/>
          <w:kern w:val="0"/>
          <w:sz w:val="22"/>
        </w:rPr>
        <w:t>G</w:t>
      </w:r>
      <w:r w:rsidRPr="00392614">
        <w:rPr>
          <w:rFonts w:ascii="Source Sans Pro" w:eastAsia="宋体" w:hAnsi="Source Sans Pro" w:cs="Calibri"/>
          <w:kern w:val="0"/>
          <w:sz w:val="22"/>
        </w:rPr>
        <w:t>A dataset (n = 132) were divided into low- and high-</w:t>
      </w:r>
      <w:r w:rsidR="00F75DE8" w:rsidRPr="00392614">
        <w:rPr>
          <w:rFonts w:ascii="Source Sans Pro" w:eastAsia="宋体" w:hAnsi="Source Sans Pro" w:cs="Calibri"/>
          <w:kern w:val="0"/>
          <w:sz w:val="22"/>
        </w:rPr>
        <w:t>DPS</w:t>
      </w:r>
      <w:r w:rsidRPr="00392614">
        <w:rPr>
          <w:rFonts w:ascii="Source Sans Pro" w:eastAsia="宋体" w:hAnsi="Source Sans Pro" w:cs="Calibri"/>
          <w:kern w:val="0"/>
          <w:sz w:val="22"/>
        </w:rPr>
        <w:t xml:space="preserve"> </w:t>
      </w:r>
      <w:r w:rsidR="00394B84">
        <w:rPr>
          <w:rFonts w:ascii="Source Sans Pro" w:eastAsia="宋体" w:hAnsi="Source Sans Pro" w:cs="Calibri"/>
          <w:kern w:val="0"/>
          <w:sz w:val="22"/>
        </w:rPr>
        <w:t>groups</w:t>
      </w:r>
      <w:r w:rsidRPr="00392614">
        <w:rPr>
          <w:rFonts w:ascii="Source Sans Pro" w:eastAsia="宋体" w:hAnsi="Source Sans Pro" w:cs="Calibri"/>
          <w:kern w:val="0"/>
          <w:sz w:val="22"/>
        </w:rPr>
        <w:t>. The RNA</w:t>
      </w:r>
      <w:r w:rsidR="00C5247F">
        <w:rPr>
          <w:rFonts w:ascii="Source Sans Pro" w:eastAsia="宋体" w:hAnsi="Source Sans Pro" w:cs="Calibri"/>
          <w:kern w:val="0"/>
          <w:sz w:val="22"/>
        </w:rPr>
        <w:t xml:space="preserve">-Seq </w:t>
      </w:r>
      <w:r w:rsidRPr="00392614">
        <w:rPr>
          <w:rFonts w:ascii="Source Sans Pro" w:eastAsia="宋体" w:hAnsi="Source Sans Pro" w:cs="Calibri"/>
          <w:kern w:val="0"/>
          <w:sz w:val="22"/>
        </w:rPr>
        <w:t xml:space="preserve">data for </w:t>
      </w:r>
      <w:r w:rsidR="00411750">
        <w:rPr>
          <w:rFonts w:ascii="Source Sans Pro" w:eastAsia="宋体" w:hAnsi="Source Sans Pro" w:cs="Calibri"/>
          <w:kern w:val="0"/>
          <w:sz w:val="22"/>
        </w:rPr>
        <w:t xml:space="preserve">the </w:t>
      </w:r>
      <w:r w:rsidRPr="00392614">
        <w:rPr>
          <w:rFonts w:ascii="Source Sans Pro" w:eastAsia="宋体" w:hAnsi="Source Sans Pro" w:cs="Calibri"/>
          <w:kern w:val="0"/>
          <w:sz w:val="22"/>
        </w:rPr>
        <w:t xml:space="preserve">132 glioma patients were obtained from the TCGA database, </w:t>
      </w:r>
      <w:r w:rsidR="00A524F1">
        <w:rPr>
          <w:rFonts w:ascii="Source Sans Pro" w:eastAsia="宋体" w:hAnsi="Source Sans Pro" w:cs="Calibri"/>
          <w:kern w:val="0"/>
          <w:sz w:val="22"/>
        </w:rPr>
        <w:t xml:space="preserve">which </w:t>
      </w:r>
      <w:r w:rsidR="00A524F1">
        <w:rPr>
          <w:rFonts w:ascii="Helvetica" w:hAnsi="Helvetica" w:cs="Helvetica"/>
          <w:color w:val="24292F"/>
          <w:szCs w:val="21"/>
        </w:rPr>
        <w:t xml:space="preserve">accessed at </w:t>
      </w:r>
      <w:hyperlink r:id="rId12" w:history="1">
        <w:r w:rsidRPr="00392614">
          <w:rPr>
            <w:rStyle w:val="a5"/>
            <w:rFonts w:ascii="Source Sans Pro" w:eastAsia="宋体" w:hAnsi="Source Sans Pro" w:cs="Calibri"/>
            <w:color w:val="auto"/>
            <w:kern w:val="0"/>
            <w:sz w:val="22"/>
            <w:u w:val="none"/>
          </w:rPr>
          <w:t>https://portal.gdc.cancer.gov/</w:t>
        </w:r>
      </w:hyperlink>
      <w:r w:rsidRPr="00392614">
        <w:rPr>
          <w:rFonts w:ascii="Source Sans Pro" w:eastAsia="宋体" w:hAnsi="Source Sans Pro" w:cs="Calibri"/>
          <w:kern w:val="0"/>
          <w:sz w:val="22"/>
        </w:rPr>
        <w:t xml:space="preserve">. </w:t>
      </w:r>
      <w:bookmarkEnd w:id="1"/>
      <w:r w:rsidR="00A524F1" w:rsidRPr="00A524F1">
        <w:rPr>
          <w:rFonts w:ascii="Source Sans Pro" w:eastAsia="宋体" w:hAnsi="Source Sans Pro" w:cs="Calibri"/>
          <w:kern w:val="0"/>
          <w:sz w:val="22"/>
        </w:rPr>
        <w:t>To identify significantly differentially expressed genes (DEGs) between the high-</w:t>
      </w:r>
      <w:r w:rsidR="00411750">
        <w:rPr>
          <w:rFonts w:ascii="Source Sans Pro" w:eastAsia="宋体" w:hAnsi="Source Sans Pro" w:cs="Calibri"/>
          <w:kern w:val="0"/>
          <w:sz w:val="22"/>
        </w:rPr>
        <w:t xml:space="preserve"> </w:t>
      </w:r>
      <w:r w:rsidR="00A524F1" w:rsidRPr="00A524F1">
        <w:rPr>
          <w:rFonts w:ascii="Source Sans Pro" w:eastAsia="宋体" w:hAnsi="Source Sans Pro" w:cs="Calibri"/>
          <w:kern w:val="0"/>
          <w:sz w:val="22"/>
        </w:rPr>
        <w:t xml:space="preserve">and low-DPS groups in the TCGA </w:t>
      </w:r>
      <w:r w:rsidR="00411750">
        <w:rPr>
          <w:rFonts w:ascii="Source Sans Pro" w:eastAsia="宋体" w:hAnsi="Source Sans Pro" w:cs="Calibri"/>
          <w:kern w:val="0"/>
          <w:sz w:val="22"/>
        </w:rPr>
        <w:t>dataset</w:t>
      </w:r>
      <w:r w:rsidR="00A524F1" w:rsidRPr="00A524F1">
        <w:rPr>
          <w:rFonts w:ascii="Source Sans Pro" w:eastAsia="宋体" w:hAnsi="Source Sans Pro" w:cs="Calibri"/>
          <w:kern w:val="0"/>
          <w:sz w:val="22"/>
        </w:rPr>
        <w:t>, we employed the Wilcox test from the "DESeq2" package. The cut-off criteria for DEG selection were set at |log2FC| ≥ 2 and FDR &lt; 0.05.</w:t>
      </w:r>
      <w:r w:rsidR="00A524F1">
        <w:rPr>
          <w:rFonts w:ascii="Source Sans Pro" w:eastAsia="宋体" w:hAnsi="Source Sans Pro" w:cs="Calibri"/>
          <w:kern w:val="0"/>
          <w:sz w:val="22"/>
        </w:rPr>
        <w:t xml:space="preserve"> </w:t>
      </w:r>
    </w:p>
    <w:p w14:paraId="21709B74" w14:textId="4739045E" w:rsidR="005332F0" w:rsidRPr="00DA16F0" w:rsidRDefault="005332F0" w:rsidP="00AB5619">
      <w:pPr>
        <w:widowControl/>
        <w:spacing w:line="360" w:lineRule="auto"/>
        <w:jc w:val="left"/>
        <w:rPr>
          <w:rFonts w:ascii="Source Sans Pro" w:eastAsia="宋体" w:hAnsi="Source Sans Pro" w:cs="Calibri"/>
          <w:b/>
          <w:bCs/>
          <w:kern w:val="0"/>
          <w:sz w:val="22"/>
        </w:rPr>
      </w:pPr>
      <w:r w:rsidRPr="00DA16F0">
        <w:rPr>
          <w:rFonts w:ascii="Source Sans Pro" w:eastAsia="宋体" w:hAnsi="Source Sans Pro" w:cs="Calibri"/>
          <w:b/>
          <w:bCs/>
          <w:kern w:val="0"/>
          <w:sz w:val="22"/>
        </w:rPr>
        <w:t>Gene set enrichment analysis (GSEA) and single-sample GSEA</w:t>
      </w:r>
    </w:p>
    <w:p w14:paraId="46F6EB19" w14:textId="7C0B4CC4" w:rsidR="004D3BE3" w:rsidRPr="00392614" w:rsidRDefault="00AA4E08" w:rsidP="00AB5619">
      <w:pPr>
        <w:widowControl/>
        <w:spacing w:line="360" w:lineRule="auto"/>
        <w:jc w:val="left"/>
        <w:rPr>
          <w:rFonts w:ascii="Source Sans Pro" w:eastAsia="宋体" w:hAnsi="Source Sans Pro" w:cs="Calibri"/>
          <w:kern w:val="0"/>
          <w:sz w:val="22"/>
        </w:rPr>
      </w:pPr>
      <w:r w:rsidRPr="00AA4E08">
        <w:rPr>
          <w:rFonts w:ascii="Source Sans Pro" w:eastAsia="宋体" w:hAnsi="Source Sans Pro" w:cs="Calibri"/>
          <w:kern w:val="0"/>
          <w:sz w:val="22"/>
        </w:rPr>
        <w:t>To investigate biological differences and gain insights into associated pathways</w:t>
      </w:r>
      <w:r w:rsidR="006A6583" w:rsidRPr="00392614">
        <w:rPr>
          <w:rFonts w:ascii="Source Sans Pro" w:eastAsia="宋体" w:hAnsi="Source Sans Pro" w:cs="Calibri"/>
          <w:kern w:val="0"/>
          <w:sz w:val="22"/>
        </w:rPr>
        <w:t>, we utilized the "clusterProfiler" package</w:t>
      </w:r>
      <w:r w:rsidR="005332F0"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{"citationID":"fs9gr0gC","properties":{"formattedCitation":"[15]","plainCitation":"[15]","noteIndex":0},"citationItems":[{"id":5137,"uris":["http://zotero.org/users/10132978/items/ZUTSPDSE"],"itemData":{"id":5137,"type":"article-journal","abstract":"Semantic Scholar extracted view of \"clusterProfiler 4.0: A universal enrichment tool for interpreting omics data\" by Tianzhi Wu et al.","container-title":"The Innovation","DOI":"10.1016/j.xinn.2021.100141","ISSN":"26666758","i</w:instrText>
      </w:r>
      <w:r w:rsidR="00722BE8">
        <w:rPr>
          <w:rFonts w:ascii="Source Sans Pro" w:eastAsia="宋体" w:hAnsi="Source Sans Pro" w:cs="Calibri" w:hint="eastAsia"/>
          <w:kern w:val="0"/>
          <w:sz w:val="22"/>
        </w:rPr>
        <w:instrText>ssue":"3","journalAbbreviation":"The Innovation","language":"en","note":"</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32.1\n5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xml:space="preserve">: 32.1\nEI: </w:instrText>
      </w:r>
      <w:r w:rsidR="00722BE8">
        <w:rPr>
          <w:rFonts w:ascii="Source Sans Pro" w:eastAsia="宋体" w:hAnsi="Source Sans Pro" w:cs="Calibri" w:hint="eastAsia"/>
          <w:kern w:val="0"/>
          <w:sz w:val="22"/>
        </w:rPr>
        <w:instrText>是</w:instrText>
      </w:r>
      <w:r w:rsidR="00722BE8">
        <w:rPr>
          <w:rFonts w:ascii="Source Sans Pro" w:eastAsia="宋体" w:hAnsi="Source Sans Pro" w:cs="Calibri" w:hint="eastAsia"/>
          <w:kern w:val="0"/>
          <w:sz w:val="22"/>
        </w:rPr>
        <w:instrText>","page":"100141","source":"Semantic Scholar","title":"clusterProfiler 4.0: A universal enrichment tool for interpreting omics data","title-short":"clu</w:instrText>
      </w:r>
      <w:r w:rsidR="00722BE8">
        <w:rPr>
          <w:rFonts w:ascii="Source Sans Pro" w:eastAsia="宋体" w:hAnsi="Source Sans Pro" w:cs="Calibri"/>
          <w:kern w:val="0"/>
          <w:sz w:val="22"/>
        </w:rPr>
        <w:instrText xml:space="preserve">sterProfiler 4.0","volume":"2","author":[{"family":"Wu","given":"Tianzhi"},{"family":"Hu","given":"Erqiang"},{"family":"Xu","given":"Shuangbin"},{"family":"Chen","given":"Meijun"},{"family":"Guo","given":"Pingfan"},{"family":"Dai","given":"Zehan"},{"family":"Feng","given":"Tingze"},{"family":"Zhou","given":"Lang"},{"family":"Tang","given":"Wenli"},{"family":"Zhan","given":"Li"},{"family":"Fu","given":"Xiaocong"},{"family":"Liu","given":"Shanshan"},{"family":"Bo","given":"Xiaochen"},{"family":"Yu","given":"Guangchuang"}],"issued":{"date-parts":[["2021",8]]}}}],"schema":"https://github.com/citation-style-language/schema/raw/master/csl-citation.json"} </w:instrText>
      </w:r>
      <w:r w:rsidR="005332F0" w:rsidRPr="00392614">
        <w:rPr>
          <w:rFonts w:ascii="Source Sans Pro" w:eastAsia="宋体" w:hAnsi="Source Sans Pro" w:cs="Calibri"/>
          <w:kern w:val="0"/>
          <w:sz w:val="22"/>
        </w:rPr>
        <w:fldChar w:fldCharType="separate"/>
      </w:r>
      <w:r w:rsidR="00722BE8" w:rsidRPr="00722BE8">
        <w:rPr>
          <w:rFonts w:ascii="Source Sans Pro" w:hAnsi="Source Sans Pro"/>
          <w:sz w:val="22"/>
        </w:rPr>
        <w:t>[15]</w:t>
      </w:r>
      <w:r w:rsidR="005332F0" w:rsidRPr="00392614">
        <w:rPr>
          <w:rFonts w:ascii="Source Sans Pro" w:eastAsia="宋体" w:hAnsi="Source Sans Pro" w:cs="Calibri"/>
          <w:kern w:val="0"/>
          <w:sz w:val="22"/>
        </w:rPr>
        <w:fldChar w:fldCharType="end"/>
      </w:r>
      <w:r w:rsidR="006A6583" w:rsidRPr="00392614">
        <w:rPr>
          <w:rFonts w:ascii="Source Sans Pro" w:eastAsia="宋体" w:hAnsi="Source Sans Pro" w:cs="Calibri"/>
          <w:kern w:val="0"/>
          <w:sz w:val="22"/>
        </w:rPr>
        <w:t xml:space="preserve"> for gene set enrichment analysis (GSEA). The gene set was obtained from the Hallmark gene set collection</w:t>
      </w:r>
      <w:r>
        <w:rPr>
          <w:rFonts w:ascii="Source Sans Pro" w:eastAsia="宋体" w:hAnsi="Source Sans Pro" w:cs="Calibri"/>
          <w:kern w:val="0"/>
          <w:sz w:val="22"/>
        </w:rPr>
        <w:t xml:space="preserve"> </w:t>
      </w:r>
      <w:r w:rsidR="009D7A5B" w:rsidRPr="00392614">
        <w:rPr>
          <w:rFonts w:ascii="Source Sans Pro" w:eastAsia="宋体" w:hAnsi="Source Sans Pro" w:cs="Calibri"/>
          <w:kern w:val="0"/>
          <w:sz w:val="22"/>
        </w:rPr>
        <w:t>(h.all.v2023.1.Hs.symbols.gmt)</w:t>
      </w:r>
      <w:r w:rsidR="006A6583" w:rsidRPr="00392614">
        <w:rPr>
          <w:rFonts w:ascii="Source Sans Pro" w:eastAsia="宋体" w:hAnsi="Source Sans Pro" w:cs="Calibri"/>
          <w:kern w:val="0"/>
          <w:sz w:val="22"/>
        </w:rPr>
        <w:t xml:space="preserve"> within the Molecular Signatures Database</w:t>
      </w:r>
      <w:r w:rsidR="009D7A5B"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{"citationID":"efNLDk5e","properties":{"formattedCitation":"[16]","plainCitation":"[16]","noteIndex":0},"citationItems":[{"id":5661,"uris":["http://zotero.org/users/10132978/items/C58CVNYN"],"itemData":{"id":5661,"type":"article-journal","container-title":"Nature Methods","DOI":"10.1038/s41592-023-02014-7","ISSN":"1548-7105","journalAbbreviation":"Nat. Methods","language":"en","license":"2023 The Author(s), under exclusive licence to Springer Nature America, Inc.","note":"p</w:instrText>
      </w:r>
      <w:r w:rsidR="00722BE8">
        <w:rPr>
          <w:rFonts w:ascii="Source Sans Pro" w:eastAsia="宋体" w:hAnsi="Source Sans Pro" w:cs="Calibri" w:hint="eastAsia"/>
          <w:kern w:val="0"/>
          <w:sz w:val="22"/>
        </w:rPr>
        <w:instrText>ublisher: Nature Publishing Group\nJCR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Q1\n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生物学</w:instrText>
      </w:r>
      <w:r w:rsidR="00722BE8">
        <w:rPr>
          <w:rFonts w:ascii="Source Sans Pro" w:eastAsia="宋体" w:hAnsi="Source Sans Pro" w:cs="Calibri" w:hint="eastAsia"/>
          <w:kern w:val="0"/>
          <w:sz w:val="22"/>
        </w:rPr>
        <w:instrText>1</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48.0\n5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51.3","page":"1-2","source":"www.nature.com","title":"Extending support for mouse data in the Molecular Signatures Database (MSigDB)","author":[{"family":"Castanza","given"</w:instrText>
      </w:r>
      <w:r w:rsidR="00722BE8">
        <w:rPr>
          <w:rFonts w:ascii="Source Sans Pro" w:eastAsia="宋体" w:hAnsi="Source Sans Pro" w:cs="Calibri"/>
          <w:kern w:val="0"/>
          <w:sz w:val="22"/>
        </w:rPr>
        <w:instrText xml:space="preserve">:"Anthony S."},{"family":"Recla","given":"Jill M."},{"family":"Eby","given":"David"},{"family":"Thorvaldsdóttir","given":"Helga"},{"family":"Bult","given":"Carol J."},{"family":"Mesirov","given":"Jill P."}],"issued":{"date-parts":[["2023",9,13]]}}}],"schema":"https://github.com/citation-style-language/schema/raw/master/csl-citation.json"} </w:instrText>
      </w:r>
      <w:r w:rsidR="009D7A5B" w:rsidRPr="00392614">
        <w:rPr>
          <w:rFonts w:ascii="Source Sans Pro" w:eastAsia="宋体" w:hAnsi="Source Sans Pro" w:cs="Calibri"/>
          <w:kern w:val="0"/>
          <w:sz w:val="22"/>
        </w:rPr>
        <w:fldChar w:fldCharType="separate"/>
      </w:r>
      <w:r w:rsidR="00722BE8" w:rsidRPr="00722BE8">
        <w:rPr>
          <w:rFonts w:ascii="Source Sans Pro" w:hAnsi="Source Sans Pro"/>
          <w:sz w:val="22"/>
        </w:rPr>
        <w:t>[16]</w:t>
      </w:r>
      <w:r w:rsidR="009D7A5B" w:rsidRPr="00392614">
        <w:rPr>
          <w:rFonts w:ascii="Source Sans Pro" w:eastAsia="宋体" w:hAnsi="Source Sans Pro" w:cs="Calibri"/>
          <w:kern w:val="0"/>
          <w:sz w:val="22"/>
        </w:rPr>
        <w:fldChar w:fldCharType="end"/>
      </w:r>
      <w:r w:rsidR="006A6583" w:rsidRPr="00392614">
        <w:rPr>
          <w:rFonts w:ascii="Source Sans Pro" w:eastAsia="宋体" w:hAnsi="Source Sans Pro" w:cs="Calibri"/>
          <w:kern w:val="0"/>
          <w:sz w:val="22"/>
        </w:rPr>
        <w:t xml:space="preserve">, accessible at </w:t>
      </w:r>
      <w:hyperlink r:id="rId13" w:history="1">
        <w:r w:rsidRPr="00AA4E08">
          <w:rPr>
            <w:rStyle w:val="a5"/>
            <w:rFonts w:ascii="Source Sans Pro" w:eastAsia="宋体" w:hAnsi="Source Sans Pro" w:cs="Calibri"/>
            <w:color w:val="auto"/>
            <w:kern w:val="0"/>
            <w:sz w:val="22"/>
            <w:u w:val="none"/>
          </w:rPr>
          <w:t>https://www.gsea-msigdb.org/ gsea/msigdb/index.jsp</w:t>
        </w:r>
      </w:hyperlink>
      <w:r w:rsidR="006A6583" w:rsidRPr="00AA4E08">
        <w:rPr>
          <w:rFonts w:ascii="Source Sans Pro" w:eastAsia="宋体" w:hAnsi="Source Sans Pro" w:cs="Calibri"/>
          <w:kern w:val="0"/>
          <w:sz w:val="22"/>
        </w:rPr>
        <w:t xml:space="preserve">. </w:t>
      </w:r>
      <w:r w:rsidR="006A6583" w:rsidRPr="00392614">
        <w:rPr>
          <w:rFonts w:ascii="Source Sans Pro" w:eastAsia="宋体" w:hAnsi="Source Sans Pro" w:cs="Calibri"/>
          <w:kern w:val="0"/>
          <w:sz w:val="22"/>
        </w:rPr>
        <w:t>Furthermore, we performed functional annotation of deep features through Gene Set Variation Analysis (GSVA) and Pearson correlation analysis. The "GSVA" R software package</w:t>
      </w:r>
      <w:r w:rsidR="005332F0" w:rsidRPr="00392614">
        <w:rPr>
          <w:rFonts w:ascii="Source Sans Pro" w:eastAsia="宋体" w:hAnsi="Source Sans Pro" w:cs="Calibri"/>
          <w:kern w:val="0"/>
          <w:sz w:val="22"/>
        </w:rPr>
        <w:fldChar w:fldCharType="begin"/>
      </w:r>
      <w:r w:rsidR="00722BE8">
        <w:rPr>
          <w:rFonts w:ascii="Source Sans Pro" w:eastAsia="宋体" w:hAnsi="Source Sans Pro" w:cs="Calibri"/>
          <w:kern w:val="0"/>
          <w:sz w:val="22"/>
        </w:rPr>
        <w:instrText xml:space="preserve"> ADDIN ZOTERO_ITEM CSL_CITATION {"citationID":"9Bs2Kp4I","properties":{"formattedCitation":"[17]","plainCitation":"[17]","noteIndex":0},"citationItems":[{"id":5596,"uris":["http://zotero.org/users/10132978/items/8Z2RCPTR"],"itemData":{"id":5596,"type":"article-journal","abstract":"Abstract\n            \n              Background\n              Gene set enrichment (GSE) analysis is a popular framework for condensing information from gene expression profiles into a pathway or signature summary. The strengths of this approach over single gene analysis include noise and dimension reduction, as well as greater biological interpretability. As molecular profiling experiments move beyond simple case-control studies, robust and flexible GSE methodologies are needed that can model pathway activity within highly heterogeneous data sets.\n            \n            \n              Results\n              To address this challenge, we introduce Gene Set Variation Analysis (GSVA), a GSE method that estimates variation of pathway activity over a sample population in an unsupervised manner. We demonstrate the robustness of GSVA in a comparison with current state of the art sample-wise enrichment methods. Further, we provide examples of its utility in differential pathway activity and survival analysis. Lastly, we show how GSVA works analogously with data from both microarray and RNA-seq experiments.\n            \n            \n              Conclusions\n              \n                GSVA provides increased power to detect subtle pathway activity changes over a sample population in comparison to corresponding methods. While GSE methods are generally regarded as end points of a bioinformatic analysis, GSVA constitutes a starting point to build pathway-centric models of biology. Moreover, GSVA contributes to the current need of GSE methods for RNA-seq data. GSVA is an open source software package for R which forms part of the Bioconductor project and can be downloaded at\n                http://www.bioconductor.org\n      </w:instrText>
      </w:r>
      <w:r w:rsidR="00722BE8">
        <w:rPr>
          <w:rFonts w:ascii="Source Sans Pro" w:eastAsia="宋体" w:hAnsi="Source Sans Pro" w:cs="Calibri" w:hint="eastAsia"/>
          <w:kern w:val="0"/>
          <w:sz w:val="22"/>
        </w:rPr>
        <w:instrText xml:space="preserve">          .","container-title":"BMC Bioinformatics","DOI":"10.1186/1471-2105-14-7","ISSN":"1471-2105","issue":"1","journalAbbreviation":"BMC Bioinf.","language":"en","note":"JCR</w:instrText>
      </w:r>
      <w:r w:rsidR="00722BE8">
        <w:rPr>
          <w:rFonts w:ascii="Source Sans Pro" w:eastAsia="宋体" w:hAnsi="Source Sans Pro" w:cs="Calibri" w:hint="eastAsia"/>
          <w:kern w:val="0"/>
          <w:sz w:val="22"/>
        </w:rPr>
        <w:instrText>分区</w:instrText>
      </w:r>
      <w:r w:rsidR="00722BE8">
        <w:rPr>
          <w:rFonts w:ascii="Source Sans Pro" w:eastAsia="宋体" w:hAnsi="Source Sans Pro" w:cs="Calibri" w:hint="eastAsia"/>
          <w:kern w:val="0"/>
          <w:sz w:val="22"/>
        </w:rPr>
        <w:instrText>: Q2\n</w:instrText>
      </w:r>
      <w:r w:rsidR="00722BE8">
        <w:rPr>
          <w:rFonts w:ascii="Source Sans Pro" w:eastAsia="宋体" w:hAnsi="Source Sans Pro" w:cs="Calibri" w:hint="eastAsia"/>
          <w:kern w:val="0"/>
          <w:sz w:val="22"/>
        </w:rPr>
        <w:instrText>中科院分区升级版</w:instrText>
      </w:r>
      <w:r w:rsidR="00722BE8">
        <w:rPr>
          <w:rFonts w:ascii="Source Sans Pro" w:eastAsia="宋体" w:hAnsi="Source Sans Pro" w:cs="Calibri" w:hint="eastAsia"/>
          <w:kern w:val="0"/>
          <w:sz w:val="22"/>
        </w:rPr>
        <w:instrText xml:space="preserve">: </w:instrText>
      </w:r>
      <w:r w:rsidR="00722BE8">
        <w:rPr>
          <w:rFonts w:ascii="Source Sans Pro" w:eastAsia="宋体" w:hAnsi="Source Sans Pro" w:cs="Calibri" w:hint="eastAsia"/>
          <w:kern w:val="0"/>
          <w:sz w:val="22"/>
        </w:rPr>
        <w:instrText>生物学</w:instrText>
      </w:r>
      <w:r w:rsidR="00722BE8">
        <w:rPr>
          <w:rFonts w:ascii="Source Sans Pro" w:eastAsia="宋体" w:hAnsi="Source Sans Pro" w:cs="Calibri" w:hint="eastAsia"/>
          <w:kern w:val="0"/>
          <w:sz w:val="22"/>
        </w:rPr>
        <w:instrText>4</w:instrText>
      </w:r>
      <w:r w:rsidR="00722BE8">
        <w:rPr>
          <w:rFonts w:ascii="Source Sans Pro" w:eastAsia="宋体" w:hAnsi="Source Sans Pro" w:cs="Calibri" w:hint="eastAsia"/>
          <w:kern w:val="0"/>
          <w:sz w:val="22"/>
        </w:rPr>
        <w:instrText>区</w:instrText>
      </w:r>
      <w:r w:rsidR="00722BE8">
        <w:rPr>
          <w:rFonts w:ascii="Source Sans Pro" w:eastAsia="宋体" w:hAnsi="Source Sans Pro" w:cs="Calibri" w:hint="eastAsia"/>
          <w:kern w:val="0"/>
          <w:sz w:val="22"/>
        </w:rPr>
        <w:instrText>\n</w:instrText>
      </w:r>
      <w:r w:rsidR="00722BE8">
        <w:rPr>
          <w:rFonts w:ascii="Source Sans Pro" w:eastAsia="宋体" w:hAnsi="Source Sans Pro" w:cs="Calibri" w:hint="eastAsia"/>
          <w:kern w:val="0"/>
          <w:sz w:val="22"/>
        </w:rPr>
        <w:instrText>影响因子</w:instrText>
      </w:r>
      <w:r w:rsidR="00722BE8">
        <w:rPr>
          <w:rFonts w:ascii="Source Sans Pro" w:eastAsia="宋体" w:hAnsi="Source Sans Pro" w:cs="Calibri" w:hint="eastAsia"/>
          <w:kern w:val="0"/>
          <w:sz w:val="22"/>
        </w:rPr>
        <w:instrText>: 3.0\n5</w:instrText>
      </w:r>
      <w:r w:rsidR="00722BE8">
        <w:rPr>
          <w:rFonts w:ascii="Source Sans Pro" w:eastAsia="宋体" w:hAnsi="Source Sans Pro" w:cs="Calibri" w:hint="eastAsia"/>
          <w:kern w:val="0"/>
          <w:sz w:val="22"/>
        </w:rPr>
        <w:instrText>年影响因子</w:instrText>
      </w:r>
      <w:r w:rsidR="00722BE8">
        <w:rPr>
          <w:rFonts w:ascii="Source Sans Pro" w:eastAsia="宋体" w:hAnsi="Source Sans Pro" w:cs="Calibri" w:hint="eastAsia"/>
          <w:kern w:val="0"/>
          <w:sz w:val="22"/>
        </w:rPr>
        <w:instrText xml:space="preserve">: 4.3\nEI: </w:instrText>
      </w:r>
      <w:r w:rsidR="00722BE8">
        <w:rPr>
          <w:rFonts w:ascii="Source Sans Pro" w:eastAsia="宋体" w:hAnsi="Source Sans Pro" w:cs="Calibri" w:hint="eastAsia"/>
          <w:kern w:val="0"/>
          <w:sz w:val="22"/>
        </w:rPr>
        <w:instrText>是</w:instrText>
      </w:r>
      <w:r w:rsidR="00722BE8">
        <w:rPr>
          <w:rFonts w:ascii="Source Sans Pro" w:eastAsia="宋体" w:hAnsi="Source Sans Pro" w:cs="Calibri" w:hint="eastAsia"/>
          <w:kern w:val="0"/>
          <w:sz w:val="22"/>
        </w:rPr>
        <w:instrText>","page":"7","source":"S</w:instrText>
      </w:r>
      <w:r w:rsidR="00722BE8">
        <w:rPr>
          <w:rFonts w:ascii="Source Sans Pro" w:eastAsia="宋体" w:hAnsi="Source Sans Pro" w:cs="Calibri"/>
          <w:kern w:val="0"/>
          <w:sz w:val="22"/>
        </w:rPr>
        <w:instrText xml:space="preserve">emantic Scholar","title":"GSVA: gene set variation analysis for microarray and RNA-Seq data","title-short":"GSVA","volume":"14","author":[{"family":"Hänzelmann","given":"Sonja"},{"family":"Castelo","given":"Robert"},{"family":"Guinney","given":"Justin"}],"issued":{"date-parts":[["2013",12]]}}}],"schema":"https://github.com/citation-style-language/schema/raw/master/csl-citation.json"} </w:instrText>
      </w:r>
      <w:r w:rsidR="005332F0" w:rsidRPr="00392614">
        <w:rPr>
          <w:rFonts w:ascii="Source Sans Pro" w:eastAsia="宋体" w:hAnsi="Source Sans Pro" w:cs="Calibri"/>
          <w:kern w:val="0"/>
          <w:sz w:val="22"/>
        </w:rPr>
        <w:fldChar w:fldCharType="separate"/>
      </w:r>
      <w:r w:rsidR="00722BE8" w:rsidRPr="00722BE8">
        <w:rPr>
          <w:rFonts w:ascii="Source Sans Pro" w:hAnsi="Source Sans Pro"/>
          <w:sz w:val="22"/>
        </w:rPr>
        <w:t>[17]</w:t>
      </w:r>
      <w:r w:rsidR="005332F0" w:rsidRPr="00392614">
        <w:rPr>
          <w:rFonts w:ascii="Source Sans Pro" w:eastAsia="宋体" w:hAnsi="Source Sans Pro" w:cs="Calibri"/>
          <w:kern w:val="0"/>
          <w:sz w:val="22"/>
        </w:rPr>
        <w:fldChar w:fldCharType="end"/>
      </w:r>
      <w:r w:rsidR="006A6583" w:rsidRPr="00392614">
        <w:rPr>
          <w:rFonts w:ascii="Source Sans Pro" w:eastAsia="宋体" w:hAnsi="Source Sans Pro" w:cs="Calibri"/>
          <w:kern w:val="0"/>
          <w:sz w:val="22"/>
        </w:rPr>
        <w:t xml:space="preserve"> was employed for gene set variation analysis, while the Hallmark gene set from the Molecular Signatures Database was used to explore alterations in </w:t>
      </w:r>
      <w:r w:rsidRPr="00AA4E08">
        <w:rPr>
          <w:rFonts w:ascii="Source Sans Pro" w:eastAsia="宋体" w:hAnsi="Source Sans Pro" w:cs="Calibri"/>
          <w:kern w:val="0"/>
          <w:sz w:val="22"/>
        </w:rPr>
        <w:t xml:space="preserve">signalling </w:t>
      </w:r>
      <w:r w:rsidR="006A6583" w:rsidRPr="00392614">
        <w:rPr>
          <w:rFonts w:ascii="Source Sans Pro" w:eastAsia="宋体" w:hAnsi="Source Sans Pro" w:cs="Calibri"/>
          <w:kern w:val="0"/>
          <w:sz w:val="22"/>
        </w:rPr>
        <w:t xml:space="preserve"> pathways. Significant correlations (P&lt;0.05) between deep feature</w:t>
      </w:r>
      <w:r>
        <w:rPr>
          <w:rFonts w:ascii="Source Sans Pro" w:eastAsia="宋体" w:hAnsi="Source Sans Pro" w:cs="Calibri"/>
          <w:kern w:val="0"/>
          <w:sz w:val="22"/>
        </w:rPr>
        <w:t xml:space="preserve">s </w:t>
      </w:r>
      <w:r w:rsidR="006A6583" w:rsidRPr="00392614">
        <w:rPr>
          <w:rFonts w:ascii="Source Sans Pro" w:eastAsia="宋体" w:hAnsi="Source Sans Pro" w:cs="Calibri"/>
          <w:kern w:val="0"/>
          <w:sz w:val="22"/>
        </w:rPr>
        <w:t>and functions or pathways were used for annotating the deep</w:t>
      </w:r>
      <w:r>
        <w:rPr>
          <w:rFonts w:ascii="Source Sans Pro" w:eastAsia="宋体" w:hAnsi="Source Sans Pro" w:cs="Calibri"/>
          <w:kern w:val="0"/>
          <w:sz w:val="22"/>
        </w:rPr>
        <w:t xml:space="preserve"> </w:t>
      </w:r>
      <w:r w:rsidR="006A6583" w:rsidRPr="00392614">
        <w:rPr>
          <w:rFonts w:ascii="Source Sans Pro" w:eastAsia="宋体" w:hAnsi="Source Sans Pro" w:cs="Calibri"/>
          <w:kern w:val="0"/>
          <w:sz w:val="22"/>
        </w:rPr>
        <w:t>features.</w:t>
      </w:r>
    </w:p>
    <w:p w14:paraId="62F76C41" w14:textId="682FCC9D" w:rsidR="005E6B88" w:rsidRPr="00DA16F0" w:rsidRDefault="005E6B88" w:rsidP="00AB5619">
      <w:pPr>
        <w:widowControl/>
        <w:spacing w:line="360" w:lineRule="auto"/>
        <w:jc w:val="left"/>
        <w:rPr>
          <w:rFonts w:ascii="Source Sans Pro" w:eastAsia="宋体" w:hAnsi="Source Sans Pro" w:cs="Calibri"/>
          <w:b/>
          <w:bCs/>
          <w:kern w:val="0"/>
          <w:sz w:val="22"/>
        </w:rPr>
      </w:pPr>
      <w:r w:rsidRPr="00DA16F0">
        <w:rPr>
          <w:rFonts w:ascii="Source Sans Pro" w:eastAsia="宋体" w:hAnsi="Source Sans Pro" w:cs="Calibri"/>
          <w:b/>
          <w:bCs/>
          <w:kern w:val="0"/>
          <w:sz w:val="22"/>
        </w:rPr>
        <w:lastRenderedPageBreak/>
        <w:t xml:space="preserve">Comprehensive analysis of immune characteristics </w:t>
      </w:r>
    </w:p>
    <w:p w14:paraId="0DA5F4E6" w14:textId="00A50583" w:rsidR="007D4C26" w:rsidRPr="00FF6FA0" w:rsidRDefault="00F26F39" w:rsidP="00AB5619">
      <w:pPr>
        <w:widowControl/>
        <w:spacing w:line="360" w:lineRule="auto"/>
        <w:jc w:val="left"/>
        <w:rPr>
          <w:rFonts w:ascii="Source Sans Pro" w:eastAsia="宋体" w:hAnsi="Source Sans Pro" w:cs="Calibri"/>
          <w:kern w:val="0"/>
          <w:sz w:val="22"/>
        </w:rPr>
      </w:pPr>
      <w:r>
        <w:rPr>
          <w:rFonts w:ascii="Source Sans Pro" w:eastAsia="宋体" w:hAnsi="Source Sans Pro" w:cs="Calibri"/>
          <w:kern w:val="0"/>
          <w:sz w:val="22"/>
        </w:rPr>
        <w:t>T</w:t>
      </w:r>
      <w:r w:rsidRPr="00F26F39">
        <w:rPr>
          <w:rFonts w:ascii="Source Sans Pro" w:eastAsia="宋体" w:hAnsi="Source Sans Pro" w:cs="Calibri"/>
          <w:kern w:val="0"/>
          <w:sz w:val="22"/>
        </w:rPr>
        <w:t>he "GSVA" package was employed for single-sample gene set enrichment analysis (ssGSEA) to compute infiltrating immune cell scores and evaluate immune-related pathways. The ESTIMATE algorithm was utilized to evaluate stromal status, immune status, and tumor purity for each sample. Furthermore, the Wilcoxon rank sum test was performed to compare immune infiltration levels between the high-</w:t>
      </w:r>
      <w:r>
        <w:rPr>
          <w:rFonts w:ascii="Source Sans Pro" w:eastAsia="宋体" w:hAnsi="Source Sans Pro" w:cs="Calibri"/>
          <w:kern w:val="0"/>
          <w:sz w:val="22"/>
        </w:rPr>
        <w:t xml:space="preserve"> </w:t>
      </w:r>
      <w:r w:rsidRPr="00F26F39">
        <w:rPr>
          <w:rFonts w:ascii="Source Sans Pro" w:eastAsia="宋体" w:hAnsi="Source Sans Pro" w:cs="Calibri"/>
          <w:kern w:val="0"/>
          <w:sz w:val="22"/>
        </w:rPr>
        <w:t xml:space="preserve">and low-DPS </w:t>
      </w:r>
      <w:r w:rsidR="00F4782A">
        <w:rPr>
          <w:rFonts w:ascii="Source Sans Pro" w:eastAsia="宋体" w:hAnsi="Source Sans Pro" w:cs="Calibri"/>
          <w:kern w:val="0"/>
          <w:sz w:val="22"/>
        </w:rPr>
        <w:t>subtypes</w:t>
      </w:r>
      <w:r w:rsidRPr="00F26F39">
        <w:rPr>
          <w:rFonts w:ascii="Source Sans Pro" w:eastAsia="宋体" w:hAnsi="Source Sans Pro" w:cs="Calibri"/>
          <w:kern w:val="0"/>
          <w:sz w:val="22"/>
        </w:rPr>
        <w:t>. Pearson correlation analysis was used to identify correlations among the stromal cell score, immune score, estimate score, and DPS.</w:t>
      </w:r>
      <w:r>
        <w:rPr>
          <w:rFonts w:ascii="Source Sans Pro" w:eastAsia="宋体" w:hAnsi="Source Sans Pro" w:cs="Calibri"/>
          <w:kern w:val="0"/>
          <w:sz w:val="22"/>
        </w:rPr>
        <w:t xml:space="preserve"> </w:t>
      </w:r>
    </w:p>
    <w:p w14:paraId="7ADF8232" w14:textId="0ED51B90" w:rsidR="005332F0" w:rsidRPr="00DA16F0" w:rsidRDefault="005E6B88" w:rsidP="00AB5619">
      <w:pPr>
        <w:spacing w:line="360" w:lineRule="auto"/>
        <w:jc w:val="left"/>
        <w:rPr>
          <w:rFonts w:ascii="Source Sans Pro" w:eastAsia="宋体" w:hAnsi="Source Sans Pro" w:cs="Calibri"/>
          <w:b/>
          <w:bCs/>
          <w:sz w:val="22"/>
        </w:rPr>
      </w:pPr>
      <w:r w:rsidRPr="00DA16F0">
        <w:rPr>
          <w:rFonts w:ascii="Source Sans Pro" w:eastAsia="宋体" w:hAnsi="Source Sans Pro" w:cs="Calibri"/>
          <w:b/>
          <w:bCs/>
          <w:sz w:val="22"/>
        </w:rPr>
        <w:t>Analysis of genomic variation between</w:t>
      </w:r>
      <w:r w:rsidR="00F75DE8" w:rsidRPr="00DA16F0">
        <w:rPr>
          <w:rFonts w:ascii="Source Sans Pro" w:eastAsia="宋体" w:hAnsi="Source Sans Pro" w:cs="Calibri"/>
          <w:b/>
          <w:bCs/>
          <w:sz w:val="22"/>
        </w:rPr>
        <w:t xml:space="preserve"> </w:t>
      </w:r>
      <w:r w:rsidR="007D4C26" w:rsidRPr="00DA16F0">
        <w:rPr>
          <w:rFonts w:ascii="Source Sans Pro" w:eastAsia="宋体" w:hAnsi="Source Sans Pro" w:cs="Calibri"/>
          <w:b/>
          <w:bCs/>
          <w:sz w:val="22"/>
        </w:rPr>
        <w:t>low- and high-DPS subtypes</w:t>
      </w:r>
    </w:p>
    <w:p w14:paraId="32F6CCA7" w14:textId="001FB572" w:rsidR="00FF6FA0" w:rsidRDefault="005E6B88" w:rsidP="00AB5619">
      <w:pPr>
        <w:spacing w:line="360" w:lineRule="auto"/>
        <w:jc w:val="left"/>
        <w:rPr>
          <w:rFonts w:ascii="Source Sans Pro" w:eastAsia="宋体" w:hAnsi="Source Sans Pro" w:cs="Calibri"/>
          <w:sz w:val="22"/>
        </w:rPr>
      </w:pPr>
      <w:r w:rsidRPr="00392614">
        <w:rPr>
          <w:rFonts w:ascii="Source Sans Pro" w:eastAsia="宋体" w:hAnsi="Source Sans Pro" w:cs="Calibri"/>
          <w:sz w:val="22"/>
        </w:rPr>
        <w:t xml:space="preserve">To investigate the somatic mutations associated with </w:t>
      </w:r>
      <w:r w:rsidR="009E60E7" w:rsidRPr="00392614">
        <w:rPr>
          <w:rFonts w:ascii="Source Sans Pro" w:eastAsia="宋体" w:hAnsi="Source Sans Pro" w:cs="Calibri"/>
          <w:sz w:val="22"/>
        </w:rPr>
        <w:t>DPS</w:t>
      </w:r>
      <w:r w:rsidRPr="00392614">
        <w:rPr>
          <w:rFonts w:ascii="Source Sans Pro" w:eastAsia="宋体" w:hAnsi="Source Sans Pro" w:cs="Calibri"/>
          <w:sz w:val="22"/>
        </w:rPr>
        <w:t>, we utilized the R package “maftools” to generate waterfall plots</w:t>
      </w:r>
      <w:r w:rsidR="00FF6FA0">
        <w:rPr>
          <w:rFonts w:ascii="Source Sans Pro" w:eastAsia="宋体" w:hAnsi="Source Sans Pro" w:cs="Calibri"/>
          <w:sz w:val="22"/>
        </w:rPr>
        <w:t xml:space="preserve">. </w:t>
      </w:r>
      <w:r w:rsidR="00FF6FA0" w:rsidRPr="00FF6FA0">
        <w:rPr>
          <w:rFonts w:ascii="Source Sans Pro" w:eastAsia="宋体" w:hAnsi="Source Sans Pro" w:cs="Calibri"/>
          <w:sz w:val="22"/>
        </w:rPr>
        <w:t xml:space="preserve">These plots illustrate the mutation patterns of </w:t>
      </w:r>
      <w:r w:rsidR="00AD6231">
        <w:rPr>
          <w:rFonts w:ascii="Source Sans Pro" w:eastAsia="宋体" w:hAnsi="Source Sans Pro" w:cs="Calibri"/>
          <w:sz w:val="22"/>
        </w:rPr>
        <w:t xml:space="preserve">the </w:t>
      </w:r>
      <w:r w:rsidR="00FF6FA0" w:rsidRPr="00FF6FA0">
        <w:rPr>
          <w:rFonts w:ascii="Source Sans Pro" w:eastAsia="宋体" w:hAnsi="Source Sans Pro" w:cs="Calibri"/>
          <w:sz w:val="22"/>
        </w:rPr>
        <w:t xml:space="preserve">TCGA patients in </w:t>
      </w:r>
      <w:r w:rsidR="00AD6231">
        <w:rPr>
          <w:rFonts w:ascii="Source Sans Pro" w:eastAsia="宋体" w:hAnsi="Source Sans Pro" w:cs="Calibri"/>
          <w:sz w:val="22"/>
        </w:rPr>
        <w:t xml:space="preserve">the </w:t>
      </w:r>
      <w:r w:rsidR="00FF6FA0" w:rsidRPr="00FF6FA0">
        <w:rPr>
          <w:rFonts w:ascii="Source Sans Pro" w:eastAsia="宋体" w:hAnsi="Source Sans Pro" w:cs="Calibri"/>
          <w:sz w:val="22"/>
        </w:rPr>
        <w:t xml:space="preserve">high- and low-DPS </w:t>
      </w:r>
      <w:r w:rsidR="00FF6FA0">
        <w:rPr>
          <w:rFonts w:ascii="Source Sans Pro" w:eastAsia="宋体" w:hAnsi="Source Sans Pro" w:cs="Calibri"/>
          <w:sz w:val="22"/>
        </w:rPr>
        <w:t>subtypes</w:t>
      </w:r>
      <w:r w:rsidR="00FF6FA0" w:rsidRPr="00FF6FA0">
        <w:rPr>
          <w:rFonts w:ascii="Source Sans Pro" w:eastAsia="宋体" w:hAnsi="Source Sans Pro" w:cs="Calibri"/>
          <w:sz w:val="22"/>
        </w:rPr>
        <w:t>. The "somaticInteractions" function was used to identify mutually exclusive and co-occurring mutations among the most frequent ones. The "tmb" function was utilized to calculate the mutation load of each sample.</w:t>
      </w:r>
    </w:p>
    <w:p w14:paraId="66BAACC3" w14:textId="013D97D7" w:rsidR="000A74C9" w:rsidRPr="00DA16F0" w:rsidRDefault="000A74C9" w:rsidP="00AB5619">
      <w:pPr>
        <w:spacing w:line="360" w:lineRule="auto"/>
        <w:jc w:val="left"/>
        <w:rPr>
          <w:rFonts w:ascii="Source Sans Pro" w:eastAsia="宋体" w:hAnsi="Source Sans Pro" w:cs="Calibri"/>
          <w:b/>
          <w:bCs/>
          <w:sz w:val="22"/>
        </w:rPr>
      </w:pPr>
      <w:r w:rsidRPr="00DA16F0">
        <w:rPr>
          <w:rFonts w:ascii="Source Sans Pro" w:eastAsia="宋体" w:hAnsi="Source Sans Pro" w:cs="Calibri"/>
          <w:b/>
          <w:bCs/>
          <w:sz w:val="22"/>
        </w:rPr>
        <w:t>Copy-number analysis</w:t>
      </w:r>
    </w:p>
    <w:p w14:paraId="349BDE17" w14:textId="4F70143A" w:rsidR="00BF6492" w:rsidRDefault="000A74C9" w:rsidP="00AB5619">
      <w:pPr>
        <w:spacing w:line="360" w:lineRule="auto"/>
        <w:jc w:val="left"/>
        <w:rPr>
          <w:rFonts w:ascii="Source Sans Pro" w:eastAsia="宋体" w:hAnsi="Source Sans Pro" w:cs="Calibri"/>
          <w:sz w:val="22"/>
        </w:rPr>
      </w:pPr>
      <w:r w:rsidRPr="00392614">
        <w:rPr>
          <w:rFonts w:ascii="Source Sans Pro" w:eastAsia="宋体" w:hAnsi="Source Sans Pro" w:cs="Calibri"/>
          <w:sz w:val="22"/>
        </w:rPr>
        <w:t xml:space="preserve">Publicly available copy-number alteration seg ﬁles were downloaded by “TCGA-biolinks”. Recurrent arm-level and focal-level SCNAs of each </w:t>
      </w:r>
      <w:r w:rsidR="00BF6492">
        <w:rPr>
          <w:rFonts w:ascii="Source Sans Pro" w:eastAsia="宋体" w:hAnsi="Source Sans Pro" w:cs="Calibri"/>
          <w:sz w:val="22"/>
        </w:rPr>
        <w:t>subtype</w:t>
      </w:r>
      <w:r w:rsidRPr="00392614">
        <w:rPr>
          <w:rFonts w:ascii="Source Sans Pro" w:eastAsia="宋体" w:hAnsi="Source Sans Pro" w:cs="Calibri"/>
          <w:sz w:val="22"/>
        </w:rPr>
        <w:t xml:space="preserve"> were identiﬁed using GISTIC 2.0 on </w:t>
      </w:r>
      <w:r w:rsidRPr="00392614">
        <w:rPr>
          <w:rFonts w:ascii="Source Sans Pro" w:eastAsia="Microsoft YaHei UI" w:hAnsi="Source Sans Pro" w:cs="Calibri"/>
          <w:spacing w:val="15"/>
          <w:sz w:val="22"/>
          <w:shd w:val="clear" w:color="auto" w:fill="FFFFFF"/>
        </w:rPr>
        <w:t>GenePattern</w:t>
      </w:r>
      <w:r w:rsidR="00644790" w:rsidRPr="00392614">
        <w:rPr>
          <w:rFonts w:ascii="Source Sans Pro" w:eastAsia="Microsoft YaHei UI" w:hAnsi="Source Sans Pro" w:cs="Calibri"/>
          <w:spacing w:val="15"/>
          <w:sz w:val="22"/>
          <w:shd w:val="clear" w:color="auto" w:fill="FFFFFF"/>
        </w:rPr>
        <w:t xml:space="preserve"> </w:t>
      </w:r>
      <w:r w:rsidRPr="00392614">
        <w:rPr>
          <w:rFonts w:ascii="Source Sans Pro" w:eastAsia="Microsoft YaHei UI" w:hAnsi="Source Sans Pro" w:cs="Calibri"/>
          <w:spacing w:val="15"/>
          <w:sz w:val="22"/>
          <w:shd w:val="clear" w:color="auto" w:fill="FFFFFF"/>
        </w:rPr>
        <w:t>(</w:t>
      </w:r>
      <w:hyperlink r:id="rId14" w:history="1">
        <w:r w:rsidRPr="00392614">
          <w:rPr>
            <w:rStyle w:val="a5"/>
            <w:rFonts w:ascii="Source Sans Pro" w:hAnsi="Source Sans Pro" w:cs="Calibri"/>
            <w:color w:val="auto"/>
            <w:sz w:val="22"/>
            <w:u w:val="none"/>
            <w:shd w:val="clear" w:color="auto" w:fill="FFFFFF"/>
          </w:rPr>
          <w:t>https://cloud.genepattern.org/gp</w:t>
        </w:r>
      </w:hyperlink>
      <w:r w:rsidRPr="00392614">
        <w:rPr>
          <w:rFonts w:ascii="Source Sans Pro" w:hAnsi="Source Sans Pro" w:cs="Calibri"/>
          <w:sz w:val="22"/>
        </w:rPr>
        <w:t>)</w:t>
      </w:r>
      <w:r w:rsidRPr="00392614">
        <w:rPr>
          <w:rFonts w:ascii="Source Sans Pro" w:eastAsia="宋体" w:hAnsi="Source Sans Pro" w:cs="Calibri"/>
          <w:sz w:val="22"/>
        </w:rPr>
        <w:t xml:space="preserve">. GISTIC2.0 was </w:t>
      </w:r>
      <w:r w:rsidR="00BF6492" w:rsidRPr="00BF6492">
        <w:rPr>
          <w:rFonts w:ascii="Source Sans Pro" w:eastAsia="宋体" w:hAnsi="Source Sans Pro" w:cs="Calibri"/>
          <w:sz w:val="22"/>
        </w:rPr>
        <w:t>executed</w:t>
      </w:r>
      <w:r w:rsidRPr="00392614">
        <w:rPr>
          <w:rFonts w:ascii="Source Sans Pro" w:eastAsia="宋体" w:hAnsi="Source Sans Pro" w:cs="Calibri"/>
          <w:sz w:val="22"/>
        </w:rPr>
        <w:t xml:space="preserve"> with the following parameters</w:t>
      </w:r>
      <w:r w:rsidR="00BF6492">
        <w:rPr>
          <w:rFonts w:ascii="Source Sans Pro" w:eastAsia="宋体" w:hAnsi="Source Sans Pro" w:cs="Calibri"/>
          <w:sz w:val="22"/>
        </w:rPr>
        <w:t xml:space="preserve">: </w:t>
      </w:r>
      <w:r w:rsidRPr="00392614">
        <w:rPr>
          <w:rFonts w:ascii="Source Sans Pro" w:eastAsia="宋体" w:hAnsi="Source Sans Pro" w:cs="Calibri"/>
          <w:sz w:val="22"/>
        </w:rPr>
        <w:t>confidence.level="0.90", run.broad.analysis="0", focal.length.cutoff</w:t>
      </w:r>
      <w:r w:rsidR="00BF6492">
        <w:rPr>
          <w:rFonts w:ascii="Source Sans Pro" w:eastAsia="宋体" w:hAnsi="Source Sans Pro" w:cs="Calibri"/>
          <w:sz w:val="22"/>
        </w:rPr>
        <w:t xml:space="preserve"> </w:t>
      </w:r>
      <w:r w:rsidRPr="00392614">
        <w:rPr>
          <w:rFonts w:ascii="Source Sans Pro" w:eastAsia="宋体" w:hAnsi="Source Sans Pro" w:cs="Calibri"/>
          <w:sz w:val="22"/>
        </w:rPr>
        <w:t xml:space="preserve">="0.50", arm.peel="0", gene.collapse.method="extreme". </w:t>
      </w:r>
      <w:r w:rsidR="00BF6492" w:rsidRPr="00BF6492">
        <w:rPr>
          <w:rFonts w:ascii="Source Sans Pro" w:eastAsia="宋体" w:hAnsi="Source Sans Pro" w:cs="Calibri"/>
          <w:sz w:val="22"/>
        </w:rPr>
        <w:t>Additionally</w:t>
      </w:r>
      <w:r w:rsidR="005E6B88" w:rsidRPr="00392614">
        <w:rPr>
          <w:rFonts w:ascii="Source Sans Pro" w:eastAsia="宋体" w:hAnsi="Source Sans Pro" w:cs="Calibri"/>
          <w:sz w:val="22"/>
        </w:rPr>
        <w:t xml:space="preserve">, </w:t>
      </w:r>
      <w:r w:rsidR="00BF6492" w:rsidRPr="00BF6492">
        <w:rPr>
          <w:rFonts w:ascii="Source Sans Pro" w:eastAsia="宋体" w:hAnsi="Source Sans Pro" w:cs="Calibri"/>
          <w:sz w:val="22"/>
        </w:rPr>
        <w:t xml:space="preserve">we performed copy number variation (CNV) analysis on the top 20 genes showing the greatest differences between the </w:t>
      </w:r>
      <w:r w:rsidR="00BF6492">
        <w:rPr>
          <w:rFonts w:ascii="Source Sans Pro" w:eastAsia="宋体" w:hAnsi="Source Sans Pro" w:cs="Calibri"/>
          <w:sz w:val="22"/>
        </w:rPr>
        <w:t>low</w:t>
      </w:r>
      <w:r w:rsidR="00BF6492" w:rsidRPr="00BF6492">
        <w:rPr>
          <w:rFonts w:ascii="Source Sans Pro" w:eastAsia="宋体" w:hAnsi="Source Sans Pro" w:cs="Calibri"/>
          <w:sz w:val="22"/>
        </w:rPr>
        <w:t xml:space="preserve">- and </w:t>
      </w:r>
      <w:r w:rsidR="00BF6492">
        <w:rPr>
          <w:rFonts w:ascii="Source Sans Pro" w:eastAsia="宋体" w:hAnsi="Source Sans Pro" w:cs="Calibri"/>
          <w:sz w:val="22"/>
        </w:rPr>
        <w:t>high</w:t>
      </w:r>
      <w:r w:rsidR="00BF6492" w:rsidRPr="00BF6492">
        <w:rPr>
          <w:rFonts w:ascii="Source Sans Pro" w:eastAsia="宋体" w:hAnsi="Source Sans Pro" w:cs="Calibri"/>
          <w:sz w:val="22"/>
        </w:rPr>
        <w:t xml:space="preserve">- DPS </w:t>
      </w:r>
      <w:r w:rsidR="00BF6492">
        <w:rPr>
          <w:rFonts w:ascii="Source Sans Pro" w:eastAsia="宋体" w:hAnsi="Source Sans Pro" w:cs="Calibri"/>
          <w:sz w:val="22"/>
        </w:rPr>
        <w:t>subtypes</w:t>
      </w:r>
      <w:r w:rsidR="00BF6492" w:rsidRPr="00BF6492">
        <w:rPr>
          <w:rFonts w:ascii="Source Sans Pro" w:eastAsia="宋体" w:hAnsi="Source Sans Pro" w:cs="Calibri"/>
          <w:sz w:val="22"/>
        </w:rPr>
        <w:t>.</w:t>
      </w:r>
    </w:p>
    <w:p w14:paraId="61C6251D" w14:textId="307A75BD" w:rsidR="004D3BE3" w:rsidRPr="00DA16F0" w:rsidRDefault="00A20D29" w:rsidP="00AB5619">
      <w:pPr>
        <w:spacing w:line="360" w:lineRule="auto"/>
        <w:jc w:val="left"/>
        <w:rPr>
          <w:rFonts w:ascii="Source Sans Pro" w:eastAsia="宋体" w:hAnsi="Source Sans Pro" w:cs="Calibri"/>
          <w:b/>
          <w:bCs/>
          <w:sz w:val="22"/>
        </w:rPr>
      </w:pPr>
      <w:r w:rsidRPr="00DA16F0">
        <w:rPr>
          <w:rFonts w:ascii="Source Sans Pro" w:eastAsia="宋体" w:hAnsi="Source Sans Pro" w:cs="Calibri"/>
          <w:b/>
          <w:bCs/>
          <w:sz w:val="22"/>
        </w:rPr>
        <w:t xml:space="preserve">Reverse </w:t>
      </w:r>
      <w:r w:rsidR="00D41EF1" w:rsidRPr="00DA16F0">
        <w:rPr>
          <w:rFonts w:ascii="Source Sans Pro" w:eastAsia="宋体" w:hAnsi="Source Sans Pro" w:cs="Calibri" w:hint="eastAsia"/>
          <w:b/>
          <w:bCs/>
          <w:sz w:val="22"/>
        </w:rPr>
        <w:t>p</w:t>
      </w:r>
      <w:r w:rsidRPr="00DA16F0">
        <w:rPr>
          <w:rFonts w:ascii="Source Sans Pro" w:eastAsia="宋体" w:hAnsi="Source Sans Pro" w:cs="Calibri"/>
          <w:b/>
          <w:bCs/>
          <w:sz w:val="22"/>
        </w:rPr>
        <w:t xml:space="preserve">hase </w:t>
      </w:r>
      <w:r w:rsidR="00D41EF1" w:rsidRPr="00DA16F0">
        <w:rPr>
          <w:rFonts w:ascii="Source Sans Pro" w:eastAsia="宋体" w:hAnsi="Source Sans Pro" w:cs="Calibri"/>
          <w:b/>
          <w:bCs/>
          <w:sz w:val="22"/>
        </w:rPr>
        <w:t>p</w:t>
      </w:r>
      <w:r w:rsidRPr="00DA16F0">
        <w:rPr>
          <w:rFonts w:ascii="Source Sans Pro" w:eastAsia="宋体" w:hAnsi="Source Sans Pro" w:cs="Calibri"/>
          <w:b/>
          <w:bCs/>
          <w:sz w:val="22"/>
        </w:rPr>
        <w:t xml:space="preserve">rotein </w:t>
      </w:r>
      <w:r w:rsidR="00D41EF1" w:rsidRPr="00DA16F0">
        <w:rPr>
          <w:rFonts w:ascii="Source Sans Pro" w:eastAsia="宋体" w:hAnsi="Source Sans Pro" w:cs="Calibri"/>
          <w:b/>
          <w:bCs/>
          <w:sz w:val="22"/>
        </w:rPr>
        <w:t>a</w:t>
      </w:r>
      <w:r w:rsidRPr="00DA16F0">
        <w:rPr>
          <w:rFonts w:ascii="Source Sans Pro" w:eastAsia="宋体" w:hAnsi="Source Sans Pro" w:cs="Calibri"/>
          <w:b/>
          <w:bCs/>
          <w:sz w:val="22"/>
        </w:rPr>
        <w:t>ssay analysis</w:t>
      </w:r>
    </w:p>
    <w:p w14:paraId="262AD819" w14:textId="12B0C861" w:rsidR="00DE739E" w:rsidRDefault="00A20D29" w:rsidP="00DE739E">
      <w:pPr>
        <w:spacing w:line="360" w:lineRule="auto"/>
        <w:jc w:val="left"/>
        <w:rPr>
          <w:rFonts w:ascii="Source Sans Pro" w:eastAsia="宋体" w:hAnsi="Source Sans Pro" w:cs="Calibri"/>
          <w:sz w:val="22"/>
        </w:rPr>
      </w:pPr>
      <w:r w:rsidRPr="00392614">
        <w:rPr>
          <w:rFonts w:ascii="Source Sans Pro" w:eastAsia="宋体" w:hAnsi="Source Sans Pro" w:cs="Calibri"/>
          <w:sz w:val="22"/>
        </w:rPr>
        <w:t xml:space="preserve">Reverse Phase Protein Assay (RPPA) data for the core TCGA samples were obtained from TCPA. </w:t>
      </w:r>
      <w:r w:rsidR="00DE739E" w:rsidRPr="00DE739E">
        <w:rPr>
          <w:rFonts w:ascii="Source Sans Pro" w:eastAsia="宋体" w:hAnsi="Source Sans Pro" w:cs="Calibri"/>
          <w:sz w:val="22"/>
        </w:rPr>
        <w:t xml:space="preserve">Standard experimental procedures for RPPA were followed, using validated antibodies as described in a previous </w:t>
      </w:r>
      <w:r w:rsidR="00DE739E">
        <w:rPr>
          <w:rFonts w:ascii="Source Sans Pro" w:eastAsia="宋体" w:hAnsi="Source Sans Pro" w:cs="Calibri"/>
          <w:sz w:val="22"/>
        </w:rPr>
        <w:t>study</w:t>
      </w:r>
      <w:r w:rsidR="000D58C8" w:rsidRPr="00392614">
        <w:rPr>
          <w:rFonts w:ascii="Source Sans Pro" w:eastAsia="宋体" w:hAnsi="Source Sans Pro" w:cs="Calibri"/>
          <w:sz w:val="22"/>
        </w:rPr>
        <w:fldChar w:fldCharType="begin"/>
      </w:r>
      <w:r w:rsidR="00722BE8">
        <w:rPr>
          <w:rFonts w:ascii="Source Sans Pro" w:eastAsia="宋体" w:hAnsi="Source Sans Pro" w:cs="Calibri"/>
          <w:sz w:val="22"/>
        </w:rPr>
        <w:instrText xml:space="preserve"> ADDIN ZOTERO_ITEM CSL_CITATION {"citationID":"Ex5TklLQ","properties":{"formattedCitation":"[18]","plainCitation":"[18]","noteIndex":0},"citationItems":[{"id":1479,"uris":["http://zotero.org/users/10132978/items/PVFZ3FTV"],"itemData":{"id":1479,"type":"article-journal","abstract":"&lt;h2&gt;Summary&lt;/h2&gt;&lt;p&gt;We describe the landscape of somatic genomic alterations based on multidimensional and comprehensive characterization of more than 500 glioblastoma tumors (GBMs). We identify several novel mutated genes as well as complex rearrangements of signature receptors, including &lt;i&gt;EGFR&lt;/i&gt; and &lt;i&gt;PDGFRA&lt;/i&gt;. &lt;i&gt;TERT&lt;/i&gt; promoter mutations are shown to correlate with elevated mRNA expression, supporting a role in telomerase reactivation. Correlative analyses confirm that the survival advantage of the proneural subtype is conferred by the G-CIMP phenotype, and &lt;i&gt;MGMT&lt;/i&gt; DNA methylation may be a predictive biomarker for treatment response only in classical subtype GBM. Integrative analysis of genomic and proteomic profiles challenges the notion of therapeutic inhibition of a pathway as an alternative to inhibition of the target itself. These data will facilitate the discovery of therapeutic and diagnostic target candidates, the validation of research and clinical observations and the generation of unanticipated hypotheses that can advance our molecular understanding of this lethal cancer.&lt;/p&gt;","container-title":"Cell","DOI":"10.1016/j.cell.2013.09.034","ISSN":"0092-8674, 1097-4172","issue":"2","journalAbbreviation":"Ce</w:instrText>
      </w:r>
      <w:r w:rsidR="00722BE8">
        <w:rPr>
          <w:rFonts w:ascii="Source Sans Pro" w:eastAsia="宋体" w:hAnsi="Source Sans Pro" w:cs="Calibri" w:hint="eastAsia"/>
          <w:sz w:val="22"/>
        </w:rPr>
        <w:instrText>ll","language":"en-US","note":"publisher: Elsevier\nPMID: 24120142\nJCR</w:instrText>
      </w:r>
      <w:r w:rsidR="00722BE8">
        <w:rPr>
          <w:rFonts w:ascii="Source Sans Pro" w:eastAsia="宋体" w:hAnsi="Source Sans Pro" w:cs="Calibri" w:hint="eastAsia"/>
          <w:sz w:val="22"/>
        </w:rPr>
        <w:instrText>分区</w:instrText>
      </w:r>
      <w:r w:rsidR="00722BE8">
        <w:rPr>
          <w:rFonts w:ascii="Source Sans Pro" w:eastAsia="宋体" w:hAnsi="Source Sans Pro" w:cs="Calibri" w:hint="eastAsia"/>
          <w:sz w:val="22"/>
        </w:rPr>
        <w:instrText>: Q1\n</w:instrText>
      </w:r>
      <w:r w:rsidR="00722BE8">
        <w:rPr>
          <w:rFonts w:ascii="Source Sans Pro" w:eastAsia="宋体" w:hAnsi="Source Sans Pro" w:cs="Calibri" w:hint="eastAsia"/>
          <w:sz w:val="22"/>
        </w:rPr>
        <w:instrText>中科院分区升级版</w:instrText>
      </w:r>
      <w:r w:rsidR="00722BE8">
        <w:rPr>
          <w:rFonts w:ascii="Source Sans Pro" w:eastAsia="宋体" w:hAnsi="Source Sans Pro" w:cs="Calibri" w:hint="eastAsia"/>
          <w:sz w:val="22"/>
        </w:rPr>
        <w:instrText xml:space="preserve">: </w:instrText>
      </w:r>
      <w:r w:rsidR="00722BE8">
        <w:rPr>
          <w:rFonts w:ascii="Source Sans Pro" w:eastAsia="宋体" w:hAnsi="Source Sans Pro" w:cs="Calibri" w:hint="eastAsia"/>
          <w:sz w:val="22"/>
        </w:rPr>
        <w:instrText>生物学</w:instrText>
      </w:r>
      <w:r w:rsidR="00722BE8">
        <w:rPr>
          <w:rFonts w:ascii="Source Sans Pro" w:eastAsia="宋体" w:hAnsi="Source Sans Pro" w:cs="Calibri" w:hint="eastAsia"/>
          <w:sz w:val="22"/>
        </w:rPr>
        <w:instrText>1</w:instrText>
      </w:r>
      <w:r w:rsidR="00722BE8">
        <w:rPr>
          <w:rFonts w:ascii="Source Sans Pro" w:eastAsia="宋体" w:hAnsi="Source Sans Pro" w:cs="Calibri" w:hint="eastAsia"/>
          <w:sz w:val="22"/>
        </w:rPr>
        <w:instrText>区</w:instrText>
      </w:r>
      <w:r w:rsidR="00722BE8">
        <w:rPr>
          <w:rFonts w:ascii="Source Sans Pro" w:eastAsia="宋体" w:hAnsi="Source Sans Pro" w:cs="Calibri" w:hint="eastAsia"/>
          <w:sz w:val="22"/>
        </w:rPr>
        <w:instrText>\n</w:instrText>
      </w:r>
      <w:r w:rsidR="00722BE8">
        <w:rPr>
          <w:rFonts w:ascii="Source Sans Pro" w:eastAsia="宋体" w:hAnsi="Source Sans Pro" w:cs="Calibri" w:hint="eastAsia"/>
          <w:sz w:val="22"/>
        </w:rPr>
        <w:instrText>影响因子</w:instrText>
      </w:r>
      <w:r w:rsidR="00722BE8">
        <w:rPr>
          <w:rFonts w:ascii="Source Sans Pro" w:eastAsia="宋体" w:hAnsi="Source Sans Pro" w:cs="Calibri" w:hint="eastAsia"/>
          <w:sz w:val="22"/>
        </w:rPr>
        <w:instrText>: 64.5\n5</w:instrText>
      </w:r>
      <w:r w:rsidR="00722BE8">
        <w:rPr>
          <w:rFonts w:ascii="Source Sans Pro" w:eastAsia="宋体" w:hAnsi="Source Sans Pro" w:cs="Calibri" w:hint="eastAsia"/>
          <w:sz w:val="22"/>
        </w:rPr>
        <w:instrText>年影响因子</w:instrText>
      </w:r>
      <w:r w:rsidR="00722BE8">
        <w:rPr>
          <w:rFonts w:ascii="Source Sans Pro" w:eastAsia="宋体" w:hAnsi="Source Sans Pro" w:cs="Calibri" w:hint="eastAsia"/>
          <w:sz w:val="22"/>
        </w:rPr>
        <w:instrText>: 57.5\nJCI: 8.94","page":"462-477","source":"www.cell.com","title":"The Somatic Genomic Landscape of Glioblastoma","volume":"155","author":[</w:instrText>
      </w:r>
      <w:r w:rsidR="00722BE8">
        <w:rPr>
          <w:rFonts w:ascii="Source Sans Pro" w:eastAsia="宋体" w:hAnsi="Source Sans Pro" w:cs="Calibri"/>
          <w:sz w:val="22"/>
        </w:rPr>
        <w:instrText xml:space="preserve">{"family":"Brennan","given":"Cameron W."},{"family":"Verhaak","given":"Roel G. W."},{"family":"McKenna","given":"Aaron"},{"family":"Campos","given":"Benito"},{"family":"Noushmehr","given":"Houtan"},{"family":"Salama","given":"Sofie R."},{"family":"Zheng","given":"Siyuan"},{"family":"Chakravarty","given":"Debyani"},{"family":"Sanborn","given":"J. Zachary"},{"family":"Berman","given":"Samuel H."},{"family":"Beroukhim","given":"Rameen"},{"family":"Bernard","given":"Brady"},{"family":"Wu","given":"Chang-Jiun"},{"family":"Genovese","given":"Giannicola"},{"family":"Shmulevich","given":"Ilya"},{"family":"Barnholtz-Sloan","given":"Jill"},{"family":"Zou","given":"Lihua"},{"family":"Vegesna","given":"Rahulsimham"},{"family":"Shukla","given":"Sachet A."},{"family":"Ciriello","given":"Giovanni"},{"family":"Yung","given":"W. K."},{"family":"Zhang","given":"Wei"},{"family":"Sougnez","given":"Carrie"},{"family":"Mikkelsen","given":"Tom"},{"family":"Aldape","given":"Kenneth"},{"family":"Bigner","given":"Darell D."},{"family":"Van Meir","given":"Erwin G."},{"family":"Prados","given":"Michael"},{"family":"Sloan","given":"Andrew"},{"family":"Black","given":"Keith L."},{"family":"Eschbacher","given":"Jennifer"},{"family":"Finocchiaro","given":"Gaetano"},{"family":"Friedman","given":"William"},{"family":"Andrews","given":"David W."},{"family":"Guha","given":"Abhijit"},{"family":"Iacocca","given":"Mary"},{"family":"O’Neill","given":"Brian P."},{"family":"Foltz","given":"Greg"},{"family":"Myers","given":"Jerome"},{"family":"Weisenberger","given":"Daniel J."},{"family":"Penny","given":"Robert"},{"family":"Kucherlapati","given":"Raju"},{"family":"Perou","given":"Charles M."},{"family":"Hayes","given":"D. Neil"},{"family":"Gibbs","given":"Richard"},{"family":"Marra","given":"Marco"},{"family":"Mills","given":"Gordon B."},{"family":"Lander","given":"Eric"},{"family":"Spellman","given":"Paul"},{"family":"Wilson","given":"Richard"},{"family":"Sander","given":"Chris"},{"family":"Weinstein","given":"John"},{"family":"Meyerson","given":"Matthew"},{"family":"Gabriel","given":"Stacey"},{"family":"Laird","given":"Peter W."},{"family":"Haussler","given":"David"},{"family":"Getz","given":"Gad"},{"family":"Chin","given":"Lynda"},{"family":"Benz","given":"Christopher"},{"family":"Barnholtz-Sloan","given":"Jill"},{"family":"Barrett","given":"Wendi"},{"family":"Ostrom","given":"Quinn"},{"family":"Wolinsky","given":"Yingli"},{"family":"Black","given":"Keith L."},{"family":"Bose","given":"Bikash"},{"family":"Boulos","given":"Paul T."},{"family":"Boulos","given":"Madgy"},{"family":"Brown","given":"Jenn"},{"family":"Czerinski","given":"Christine"},{"family":"Eppley","given":"Matthew"},{"family":"Iacocca","given":"Mary"},{"family":"Kempista","given":"Thelma"},{"family":"Kitko","given":"Teresa"},{"family":"Koyfman","given":"Yakov"},{"family":"Rabeno","given":"Brenda"},{"family":"Rastogi","given":"Pawan"},{"family":"Sugarman","given":"Michael"},{"family":"Swanson","given":"Patricia"},{"family":"Yalamanchii","given":"Kennedy"},{"family":"Otey","given":"Ilana P."},{"family":"Liu","given":"Yingchun Spring"},{"family":"Xiao","given":"Yonghong"},{"family":"Auman","given":"J. Todd"},{"family":"Chen","given":"Peng-Chieh"},{"family":"Hadjipanayis","given":"Angela"},{"family":"Lee","given":"Eunjung"},{"family":"Lee","given":"Semin"},{"family":"Park","given":"Peter J."},{"family":"Seidman","given":"Jonathan"},{"family":"Yang","given":"Lixing"},{"family":"Kucherlapati","given":"Raju"},{"family":"Kalkanis","given":"Steven"},{"family":"Mikkelsen","given":"Tom"},{"family":"Poisson","given":"Laila M."},{"family":"Raghunathan","given":"Aditya"},{"family":"Scarpace","given":"Lisa"},{"family":"Bernard","given":"Brady"},{"family":"Bressler","given":"Ryan"},{"family":"Eakin","given":"Andrea"},{"family":"Iype","given":"Lisa"},{"family":"Kreisberg","given":"Richard B."},{"family":"Leinonen","given":"Kalle"},{"family":"Reynolds","given":"Sheila"},{"family":"Rovira","given":"Hector"},{"family":"Thorsson","given":"Vesteinn"},{"family":"Shmulevich","given":"Ilya"},{"family":"Annala","given":"Matti J."},{"family":"Penny","given":"Robert"},{"family":"Paulauskis","given":"Joseph"},{"family":"Curley","given":"Erin"},{"family":"Hatfield","given":"Martha"},{"family":"Mallery","given":"David"},{"family":"Morris","given":"Scott"},{"family":"Shelton","given":"Troy"},{"family":"Shelton","given":"Candace"},{"family":"Sherman","given":"Mark"},{"family":"Yena","given":"Peggy"},{"family":"Cuppini","given":"Lucia"},{"family":"DiMeco","given":"Francesco"},{"family":"Eoli","given":"Marica"},{"family":"Finocchiaro","given":"Gaetano"},{"family":"Maderna","given":"Emanuela"},{"family":"Pollo","given":"Bianca"},{"family":"Saini","given":"Marco"},{"family":"Balu","given":"Saianand"},{"family":"Hoadley","given":"Katherine A."},{"family":"Li","given":"Ling"},{"family":"Miller","given":"C. Ryan"},{"family":"Shi","given":"Yan"},{"family":"Topal","given":"Michael D."},{"family":"Wu","given":"Junyuan"},{"family":"Dunn","given":"Gavin"},{"family":"Giannini","given":"Caterina"},{"family":"O'Neill","given":"Brian P."},{"family":"Aksoy","given":"B. Arman"},{"family":"Antipin","given":"Yevgeniy"},{"family":"Borsu","given":"Laetitia"},{"family":"Berman","given":"Samuel H."},{"family":"Brennan","given":"Cameron W."},{"family":"Cerami","given":"Ethan"},{"family":"Chakravarty","given":"Debyani"},{"family":"Ciriello","given":"Giovanni"},{"family":"Gao","given":"Jianjiong"},{"family":"Gross","given":"Benjamin"},{"family":"Jacobsen","given":"Anders"},{"family":"Ladanyi","given":"Marc"},{"family":"Lash","given":"Alex"},{"family":"Liang","given":"Yupu"},{"family":"Reva","given":"Boris"},{"family":"Sander","given":"Chris"},{"family":"Schultz","given":"Nikolaus"},{"family":"Shen","given":"Ronglai"},{"family":"Socci","given":"Nicholas D."},{"family":"Viale","given":"Agnes"},{"family":"Ferguson","given":"Martin L."},{"family":"Chen","given":"Qing-Rong"},{"family":"Demchok","given":"John A."},{"family":"Dillon","given":"Laura A. L."},{"family":"Shaw","given":"Kenna R. Mills"},{"family":"Sheth","given":"Margi"},{"family":"Tarnuzzer","given":"Roy"},{"family":"Wang","given":"Zhining"},{"family":"Yang","given":"Liming"},{"family":"Davidsen","given":"Tanja"},{"family":"Guyer","given":"Mark S."},{"family":"Ozenberger","given":"Bradley A."},{"family":"Sofia","given":"Heidi J."},{"family":"Bergsten","given":"Julie"},{"family":"Eckman","given":"John"},{"family":"Harr","given":"Jodi"},{"family":"Myers","given":"Jerome"},{"family":"Smith","given":"Christine"},{"family":"Tucker","given":"Kelly"},{"family":"Winemiller","given":"Cindy"},{"family":"Zach","given":"Leigh Anne"},{"family":"Ljubimova","given":"Julia Y."},{"family":"Eley","given":"Greg"},{"family":"Ayala","given":"Brenda"},{"family":"Jensen","given":"Mark A."},{"family":"Kahn","given":"Ari"},{"family":"Pihl","given":"Todd D."},{"family":"Pot","given":"David A."},{"family":"Wan","given":"Yunhu"},{"family":"Eschbacher","given":"Jennifer"},{"family":"Foltz","given":"Greg"},{"family":"Hansen","given":"Nathan"},{"family":"Hothi","given":"Parvi"},{"family":"Lin","given":"Biaoyang"},{"family":"Shah","given":"Nameeta"},{"family":"Yoon","given":"Jae-geun"},{"family":"Lau","given":"Ching"},{"family":"Berens","given":"Michael"},{"family":"Ardlie","given":"Kristin"},{"family":"Beroukhim","given":"Rameen"},{"family":"Carter","given":"Scott L."},{"family":"Cherniack","given":"Andrew D."},{"family":"Noble","given":"Mike"},{"family":"Cho","given":"Juok"},{"family":"Cibulskis","given":"Kristian"},{"family":"DiCara","given":"Daniel"},{"family":"Frazer","given":"Scott"},{"family":"Gabriel","given":"Stacey B."},{"family":"Gehlenborg","given":"Nils"},{"family":"Gentry","given":"Jeff"},{"family":"Heiman","given":"David"},{"family":"Kim","given":"Jaegil"},{"family":"Jing","given":"Rui"},{"family":"Lander","given":"Eric S."},{"family":"Lawrence","given":"Michael"},{"family":"Lin","given":"Pei"},{"family":"Mallard","given":"Will"},{"family":"Meyerson","given":"Matthew"},{"family":"Onofrio","given":"Robert C."},{"family":"Saksena","given":"Gordon"},{"family":"Schumacher","given":"Steve"},{"family":"Sougnez","given":"Carrie"},{"family":"Stojanov","given":"Petar"},{"family":"Tabak","given":"Barbara"},{"family":"Voet","given":"Doug"},{"family":"Zhang","given":"Hailei"},{"family":"Zou","given":"Lihua"},{"family":"Getz","given":"Gad"},{"family":"Dees","given":"Nathan N."},{"family":"Ding","given":"Li"},{"family":"Fulton","given":"Lucinda L."},{"family":"Fulton","given":"Robert S."},{"family":"Kanchi","given":"Krishna-Latha"},{"family":"Mardis","given":"Elaine R."},{"family":"Wilson","given":"Richard K."},{"family":"Baylin","given":"Stephen B."},{"family":"Andrews","given":"David W."},{"family":"Harshyne","given":"Larry"},{"family":"Cohen","given":"Mark L."},{"family":"Devine","given":"Karen"},{"family":"Sloan","given":"Andrew E."},{"family":"VandenBerg","given":"Scott R."},{"family":"Berger","given":"Mitchel S."},{"family":"Prados","given":"Michael"},{"family":"Carlin","given":"Daniel"},{"family":"Craft","given":"Brian"},{"family":"Ellrott","given":"Kyle"},{"family":"Goldman","given":"Mary"},{"family":"Goldstein","given":"Theodore"},{"family":"Grifford","given":"Mia"},{"family":"Haussler","given":"David"},{"family":"Ma","given":"Singer"},{"family":"Ng","given":"Sam"},{"family":"Salama","given":"Sofie R."},{"family":"Sanborn","given":"J. Zachary"},{"family":"Stuart","given":"Joshua"},{"family":"Swatloski","given":"Teresa"},{"family":"Waltman","given":"Peter"},{"family":"Zhu","given":"Jing"},{"family":"Foss","given":"Robin"},{"family":"Frentzen","given":"Barbara"},{"family":"Friedman","given":"William"},{"family":"McTiernan","given":"Raquel"},{"family":"Yachnis","given":"Anthony"},{"family":"Hayes","given":"D. Neil"},{"family":"Perou","given":"Charles M."},{"family":"Zheng","given":"Siyuan"},{"family":"Vegesna","given":"Rahulsimham"},{"family":"Mao","given":"Yong"},{"family":"Akbani","given":"Rehan"},{"family":"Aldape","given":"Kenneth"},{"family":"Bogler","given":"Oliver"},{"family":"Fuller","given":"Gregory N."},{"family":"Liu","given":"Wenbin"},{"family":"Liu","given":"Yuexin"},{"family":"Lu","given":"Yiling"},{"family":"Mills","given":"Gordon"},{"family":"Protopopov","given":"Alexei"},{"family":"Ren","given":"Xiaojia"},{"family":"Sun","given":"Youting"},{"family":"Wu","given":"Chang-Jiun"},{"family":"Yung","given":"W. K. Alfred"},{"family":"Zhang","given":"Wei"},{"family":"Zhang","given":"Jianhua"},{"family":"Chen","given":"Ken"},{"family":"Weinstein","given":"John N."},{"family":"Chin","given":"Lynda"},{"family":"Verhaak","given":"Roel G. W."},{"family":"Noushmehr","given":"Houtan"},{"family":"Weisenberger","given":"Daniel J."},{"family":"Bootwalla","given":"Moiz S."},{"family":"Lai","given":"Phillip H."},{"family":"Triche","given":"Timothy J."},{"family":"Van Den Berg","given":"David J."},{"family":"Laird","given":"Peter W."},{"family":"Gutmann","given":"David H."},{"family":"Lehman","given":"Norman L."},{"family":"VanMeir","given":"Erwin G."},{"family":"Brat","given":"Daniel"},{"family":"Olson","given":"Jeffrey J."},{"family":"Mastrogianakis","given":"Gena M."},{"family":"Devi","given":"Narra S."},{"family":"Zhang","given":"Zhaobin"},{"family":"Bigner","given":"Darell"},{"family":"Lipp","given":"Eric"},{"family":"McLendon","given":"Roger"}],"issued":{"date-parts":[["2013",10,10]]}}}],"schema":"https://github.com/citation-style-language/schema/raw/master/csl-citation.json"} </w:instrText>
      </w:r>
      <w:r w:rsidR="000D58C8" w:rsidRPr="00392614">
        <w:rPr>
          <w:rFonts w:ascii="Source Sans Pro" w:eastAsia="宋体" w:hAnsi="Source Sans Pro" w:cs="Calibri"/>
          <w:sz w:val="22"/>
        </w:rPr>
        <w:fldChar w:fldCharType="separate"/>
      </w:r>
      <w:r w:rsidR="00722BE8" w:rsidRPr="00722BE8">
        <w:rPr>
          <w:rFonts w:ascii="Source Sans Pro" w:hAnsi="Source Sans Pro"/>
          <w:sz w:val="22"/>
        </w:rPr>
        <w:t>[18]</w:t>
      </w:r>
      <w:r w:rsidR="000D58C8" w:rsidRPr="00392614">
        <w:rPr>
          <w:rFonts w:ascii="Source Sans Pro" w:eastAsia="宋体" w:hAnsi="Source Sans Pro" w:cs="Calibri"/>
          <w:sz w:val="22"/>
        </w:rPr>
        <w:fldChar w:fldCharType="end"/>
      </w:r>
      <w:r w:rsidR="000D58C8" w:rsidRPr="00392614">
        <w:rPr>
          <w:rFonts w:ascii="Source Sans Pro" w:eastAsia="宋体" w:hAnsi="Source Sans Pro" w:cs="Calibri"/>
          <w:sz w:val="22"/>
        </w:rPr>
        <w:t xml:space="preserve">. </w:t>
      </w:r>
      <w:r w:rsidR="00DE739E" w:rsidRPr="00DE739E">
        <w:rPr>
          <w:rFonts w:ascii="Source Sans Pro" w:eastAsia="宋体" w:hAnsi="Source Sans Pro" w:cs="Calibri"/>
          <w:sz w:val="22"/>
        </w:rPr>
        <w:t>In the case of GBMs, 171 primary antibodies were used, including 45 phospho-antibodies. For LGGs, 189 primary antibodies were used, including 51 phospho-antibodies.</w:t>
      </w:r>
      <w:r w:rsidR="000D58C8" w:rsidRPr="00392614">
        <w:rPr>
          <w:rFonts w:ascii="Source Sans Pro" w:eastAsia="宋体" w:hAnsi="Source Sans Pro" w:cs="Calibri"/>
          <w:sz w:val="22"/>
        </w:rPr>
        <w:t xml:space="preserve"> </w:t>
      </w:r>
      <w:r w:rsidR="00DE739E" w:rsidRPr="00DE739E">
        <w:rPr>
          <w:rFonts w:ascii="Source Sans Pro" w:eastAsia="宋体" w:hAnsi="Source Sans Pro" w:cs="Calibri"/>
          <w:sz w:val="22"/>
        </w:rPr>
        <w:t>There were 141 protein antibodies that overlapped between the two arrays.</w:t>
      </w:r>
      <w:r w:rsidR="000D58C8" w:rsidRPr="00392614">
        <w:rPr>
          <w:rFonts w:ascii="Source Sans Pro" w:eastAsia="宋体" w:hAnsi="Source Sans Pro" w:cs="Calibri"/>
          <w:sz w:val="22"/>
        </w:rPr>
        <w:t xml:space="preserve"> </w:t>
      </w:r>
      <w:r w:rsidR="00DE739E" w:rsidRPr="00DE739E">
        <w:rPr>
          <w:rFonts w:ascii="Source Sans Pro" w:eastAsia="宋体" w:hAnsi="Source Sans Pro" w:cs="Calibri"/>
          <w:sz w:val="22"/>
        </w:rPr>
        <w:t xml:space="preserve">Differential expression analysis between the two DPS </w:t>
      </w:r>
      <w:r w:rsidR="00DE739E" w:rsidRPr="00DE739E">
        <w:rPr>
          <w:rFonts w:ascii="Source Sans Pro" w:eastAsia="宋体" w:hAnsi="Source Sans Pro" w:cs="Calibri"/>
          <w:sz w:val="22"/>
        </w:rPr>
        <w:lastRenderedPageBreak/>
        <w:t xml:space="preserve">subtypes was performed using the R package limma v3.52.2, with a false discovery rate (FDR) of 0.05 and a fold change (FC) cutoff of 0.4. The resulting heatmap illustrates the differences in expression patterns between the two DPS subtypes. </w:t>
      </w:r>
      <w:r w:rsidR="00DE739E">
        <w:rPr>
          <w:rFonts w:ascii="Source Sans Pro" w:eastAsia="宋体" w:hAnsi="Source Sans Pro" w:cs="Calibri"/>
          <w:sz w:val="22"/>
        </w:rPr>
        <w:t xml:space="preserve"> </w:t>
      </w:r>
    </w:p>
    <w:p w14:paraId="70A4706F" w14:textId="7246BEDD" w:rsidR="00A20C25" w:rsidRPr="00DA16F0" w:rsidRDefault="00767CA3" w:rsidP="00DE739E">
      <w:pPr>
        <w:spacing w:line="360" w:lineRule="auto"/>
        <w:jc w:val="left"/>
        <w:rPr>
          <w:rFonts w:ascii="Source Sans Pro" w:eastAsia="宋体" w:hAnsi="Source Sans Pro" w:cs="Calibri"/>
          <w:b/>
          <w:bCs/>
          <w:kern w:val="0"/>
          <w:sz w:val="22"/>
        </w:rPr>
      </w:pPr>
      <w:r w:rsidRPr="00DA16F0">
        <w:rPr>
          <w:rFonts w:ascii="Source Sans Pro" w:eastAsia="宋体" w:hAnsi="Source Sans Pro" w:cs="Calibri"/>
          <w:b/>
          <w:bCs/>
          <w:kern w:val="0"/>
          <w:sz w:val="22"/>
        </w:rPr>
        <w:t>Identification of</w:t>
      </w:r>
      <w:r w:rsidR="00A20C25" w:rsidRPr="00DA16F0">
        <w:rPr>
          <w:rFonts w:ascii="Source Sans Pro" w:eastAsia="宋体" w:hAnsi="Source Sans Pro" w:cs="Calibri"/>
          <w:b/>
          <w:bCs/>
          <w:kern w:val="0"/>
          <w:sz w:val="22"/>
        </w:rPr>
        <w:t xml:space="preserve"> </w:t>
      </w:r>
      <w:r w:rsidR="00AC40EC" w:rsidRPr="00DA16F0">
        <w:rPr>
          <w:rFonts w:ascii="Source Sans Pro" w:eastAsia="宋体" w:hAnsi="Source Sans Pro" w:cs="Calibri"/>
          <w:b/>
          <w:bCs/>
          <w:kern w:val="0"/>
          <w:sz w:val="22"/>
        </w:rPr>
        <w:t>p</w:t>
      </w:r>
      <w:r w:rsidR="00A20C25" w:rsidRPr="00DA16F0">
        <w:rPr>
          <w:rFonts w:ascii="Source Sans Pro" w:eastAsia="宋体" w:hAnsi="Source Sans Pro" w:cs="Calibri"/>
          <w:b/>
          <w:bCs/>
          <w:kern w:val="0"/>
          <w:sz w:val="22"/>
        </w:rPr>
        <w:t xml:space="preserve">otential </w:t>
      </w:r>
      <w:r w:rsidR="00AC40EC" w:rsidRPr="00DA16F0">
        <w:rPr>
          <w:rFonts w:ascii="Source Sans Pro" w:eastAsia="宋体" w:hAnsi="Source Sans Pro" w:cs="Calibri"/>
          <w:b/>
          <w:bCs/>
          <w:kern w:val="0"/>
          <w:sz w:val="22"/>
        </w:rPr>
        <w:t>targeted drugs</w:t>
      </w:r>
      <w:r w:rsidR="0045764F" w:rsidRPr="00DA16F0">
        <w:rPr>
          <w:rFonts w:ascii="Source Sans Pro" w:eastAsia="宋体" w:hAnsi="Source Sans Pro" w:cs="Calibri"/>
          <w:b/>
          <w:bCs/>
          <w:kern w:val="0"/>
          <w:sz w:val="22"/>
        </w:rPr>
        <w:t xml:space="preserve"> </w:t>
      </w:r>
    </w:p>
    <w:p w14:paraId="0BF73E3E" w14:textId="385F3DDC" w:rsidR="00741C6A" w:rsidRPr="00392614" w:rsidRDefault="0045764F" w:rsidP="00AB5619">
      <w:pPr>
        <w:spacing w:line="360" w:lineRule="auto"/>
        <w:jc w:val="left"/>
        <w:rPr>
          <w:rFonts w:ascii="Source Sans Pro" w:eastAsia="宋体" w:hAnsi="Source Sans Pro" w:cs="Calibri"/>
          <w:sz w:val="22"/>
        </w:rPr>
      </w:pPr>
      <w:r w:rsidRPr="0045764F">
        <w:rPr>
          <w:rFonts w:ascii="Source Sans Pro" w:eastAsia="宋体" w:hAnsi="Source Sans Pro" w:cs="Calibri"/>
          <w:sz w:val="22"/>
        </w:rPr>
        <w:t>The Genomics of Drug Sensitivity in Cancer (GDSC) is a publicly available dataset that provides information on drug sensitivity in cancer cells and molecular markers of drug response</w:t>
      </w:r>
      <w:r w:rsidR="004277DE" w:rsidRPr="00392614">
        <w:rPr>
          <w:rFonts w:ascii="Source Sans Pro" w:eastAsia="宋体" w:hAnsi="Source Sans Pro" w:cs="Calibri"/>
          <w:sz w:val="22"/>
        </w:rPr>
        <w:fldChar w:fldCharType="begin"/>
      </w:r>
      <w:r w:rsidR="00722BE8">
        <w:rPr>
          <w:rFonts w:ascii="Source Sans Pro" w:eastAsia="宋体" w:hAnsi="Source Sans Pro" w:cs="Calibri"/>
          <w:sz w:val="22"/>
        </w:rPr>
        <w:instrText xml:space="preserve"> ADDIN ZOTERO_ITEM CSL_CITATION {"citationID":"KnKPLbO3","properties":{"formattedCitation":"[19]","plainCitation":"[19]","noteIndex":0},"citationItems":[{"id":5653,"uris":["http://zotero.org/users/10132978/items/7JE6ACWW"],"itemData":{"id":5653,"type":"article-journal","abstract":"Cell line drug screening datasets can be utilized for a range of different drug discovery applications from drug biomarker discovery to building translational models of drug response. Previously, we described three separate methodologies to (1) correct for general levels of drug sensitivity to enable drug-specific biomarker discovery, (2) predict clinical drug response in patients and (3) associate these predictions with clinical features to perform in vivo drug biomarker discovery. Here, we unite and update these methodologies into one R package (oncoPredict) to facilitate the development and adoption of these tools. This new OncoPredict R package can be applied to various in vitro and in vivo contexts for drug and biomarker di</w:instrText>
      </w:r>
      <w:r w:rsidR="00722BE8">
        <w:rPr>
          <w:rFonts w:ascii="Source Sans Pro" w:eastAsia="宋体" w:hAnsi="Source Sans Pro" w:cs="Calibri" w:hint="eastAsia"/>
          <w:sz w:val="22"/>
        </w:rPr>
        <w:instrText>scovery.","container-title":"Briefings in Bioinformatics","DOI":"10.1093/bib/bbab260","ISSN":"1477-4054","issue":"6","journalAbbreviation":"Brief. Bioinform.","language":"eng","note":"PMID: 34260682\nPMCID: PMC8574972\nJCR</w:instrText>
      </w:r>
      <w:r w:rsidR="00722BE8">
        <w:rPr>
          <w:rFonts w:ascii="Source Sans Pro" w:eastAsia="宋体" w:hAnsi="Source Sans Pro" w:cs="Calibri" w:hint="eastAsia"/>
          <w:sz w:val="22"/>
        </w:rPr>
        <w:instrText>分区</w:instrText>
      </w:r>
      <w:r w:rsidR="00722BE8">
        <w:rPr>
          <w:rFonts w:ascii="Source Sans Pro" w:eastAsia="宋体" w:hAnsi="Source Sans Pro" w:cs="Calibri" w:hint="eastAsia"/>
          <w:sz w:val="22"/>
        </w:rPr>
        <w:instrText>: Q1\n</w:instrText>
      </w:r>
      <w:r w:rsidR="00722BE8">
        <w:rPr>
          <w:rFonts w:ascii="Source Sans Pro" w:eastAsia="宋体" w:hAnsi="Source Sans Pro" w:cs="Calibri" w:hint="eastAsia"/>
          <w:sz w:val="22"/>
        </w:rPr>
        <w:instrText>中科院分区升级版</w:instrText>
      </w:r>
      <w:r w:rsidR="00722BE8">
        <w:rPr>
          <w:rFonts w:ascii="Source Sans Pro" w:eastAsia="宋体" w:hAnsi="Source Sans Pro" w:cs="Calibri" w:hint="eastAsia"/>
          <w:sz w:val="22"/>
        </w:rPr>
        <w:instrText xml:space="preserve">: </w:instrText>
      </w:r>
      <w:r w:rsidR="00722BE8">
        <w:rPr>
          <w:rFonts w:ascii="Source Sans Pro" w:eastAsia="宋体" w:hAnsi="Source Sans Pro" w:cs="Calibri" w:hint="eastAsia"/>
          <w:sz w:val="22"/>
        </w:rPr>
        <w:instrText>生物学</w:instrText>
      </w:r>
      <w:r w:rsidR="00722BE8">
        <w:rPr>
          <w:rFonts w:ascii="Source Sans Pro" w:eastAsia="宋体" w:hAnsi="Source Sans Pro" w:cs="Calibri" w:hint="eastAsia"/>
          <w:sz w:val="22"/>
        </w:rPr>
        <w:instrText>2</w:instrText>
      </w:r>
      <w:r w:rsidR="00722BE8">
        <w:rPr>
          <w:rFonts w:ascii="Source Sans Pro" w:eastAsia="宋体" w:hAnsi="Source Sans Pro" w:cs="Calibri" w:hint="eastAsia"/>
          <w:sz w:val="22"/>
        </w:rPr>
        <w:instrText>区</w:instrText>
      </w:r>
      <w:r w:rsidR="00722BE8">
        <w:rPr>
          <w:rFonts w:ascii="Source Sans Pro" w:eastAsia="宋体" w:hAnsi="Source Sans Pro" w:cs="Calibri" w:hint="eastAsia"/>
          <w:sz w:val="22"/>
        </w:rPr>
        <w:instrText>\n</w:instrText>
      </w:r>
      <w:r w:rsidR="00722BE8">
        <w:rPr>
          <w:rFonts w:ascii="Source Sans Pro" w:eastAsia="宋体" w:hAnsi="Source Sans Pro" w:cs="Calibri" w:hint="eastAsia"/>
          <w:sz w:val="22"/>
        </w:rPr>
        <w:instrText>影响因子</w:instrText>
      </w:r>
      <w:r w:rsidR="00722BE8">
        <w:rPr>
          <w:rFonts w:ascii="Source Sans Pro" w:eastAsia="宋体" w:hAnsi="Source Sans Pro" w:cs="Calibri" w:hint="eastAsia"/>
          <w:sz w:val="22"/>
        </w:rPr>
        <w:instrText>: 9.5\n5</w:instrText>
      </w:r>
      <w:r w:rsidR="00722BE8">
        <w:rPr>
          <w:rFonts w:ascii="Source Sans Pro" w:eastAsia="宋体" w:hAnsi="Source Sans Pro" w:cs="Calibri" w:hint="eastAsia"/>
          <w:sz w:val="22"/>
        </w:rPr>
        <w:instrText>年影响因子</w:instrText>
      </w:r>
      <w:r w:rsidR="00722BE8">
        <w:rPr>
          <w:rFonts w:ascii="Source Sans Pro" w:eastAsia="宋体" w:hAnsi="Source Sans Pro" w:cs="Calibri" w:hint="eastAsia"/>
          <w:sz w:val="22"/>
        </w:rPr>
        <w:instrText>: 10.6","page":"bbab260","source":"PubMed","title":"oncoPredict: an R package for predicting in vivo or cancer patient drug response and biomarkers from cell line screening data","title-short":"oncoPredict","volume":"22","author":[{"family":"Maes</w:instrText>
      </w:r>
      <w:r w:rsidR="00722BE8">
        <w:rPr>
          <w:rFonts w:ascii="Source Sans Pro" w:eastAsia="宋体" w:hAnsi="Source Sans Pro" w:cs="Calibri"/>
          <w:sz w:val="22"/>
        </w:rPr>
        <w:instrText xml:space="preserve">er","given":"Danielle"},{"family":"Gruener","given":"Robert F."},{"family":"Huang","given":"Rong Stephanie"}],"issued":{"date-parts":[["2021",11,5]]}}}],"schema":"https://github.com/citation-style-language/schema/raw/master/csl-citation.json"} </w:instrText>
      </w:r>
      <w:r w:rsidR="004277DE" w:rsidRPr="00392614">
        <w:rPr>
          <w:rFonts w:ascii="Source Sans Pro" w:eastAsia="宋体" w:hAnsi="Source Sans Pro" w:cs="Calibri"/>
          <w:sz w:val="22"/>
        </w:rPr>
        <w:fldChar w:fldCharType="separate"/>
      </w:r>
      <w:r w:rsidR="00722BE8" w:rsidRPr="00722BE8">
        <w:rPr>
          <w:rFonts w:ascii="Source Sans Pro" w:hAnsi="Source Sans Pro"/>
          <w:sz w:val="22"/>
        </w:rPr>
        <w:t>[19]</w:t>
      </w:r>
      <w:r w:rsidR="004277DE" w:rsidRPr="00392614">
        <w:rPr>
          <w:rFonts w:ascii="Source Sans Pro" w:eastAsia="宋体" w:hAnsi="Source Sans Pro" w:cs="Calibri"/>
          <w:sz w:val="22"/>
        </w:rPr>
        <w:fldChar w:fldCharType="end"/>
      </w:r>
      <w:r w:rsidR="00A20C25" w:rsidRPr="00392614">
        <w:rPr>
          <w:rFonts w:ascii="Source Sans Pro" w:eastAsia="宋体" w:hAnsi="Source Sans Pro" w:cs="Calibri"/>
          <w:sz w:val="22"/>
        </w:rPr>
        <w:t>, GDSC2 gene expression profile and corresponding drug response information were downloaded to generate a ridge regression model that c</w:t>
      </w:r>
      <w:r w:rsidR="00EE5EFF">
        <w:rPr>
          <w:rFonts w:ascii="Source Sans Pro" w:eastAsia="宋体" w:hAnsi="Source Sans Pro" w:cs="Calibri"/>
          <w:sz w:val="22"/>
        </w:rPr>
        <w:t>ould</w:t>
      </w:r>
      <w:r w:rsidR="00A20C25" w:rsidRPr="00392614">
        <w:rPr>
          <w:rFonts w:ascii="Source Sans Pro" w:eastAsia="宋体" w:hAnsi="Source Sans Pro" w:cs="Calibri"/>
          <w:sz w:val="22"/>
        </w:rPr>
        <w:t xml:space="preserve"> be applied to glioma transcriptomic data. Then the sensitivity scores were yielded to predict the half-maximal inhibitory concentration</w:t>
      </w:r>
      <w:r w:rsidR="00B51E91">
        <w:rPr>
          <w:rFonts w:ascii="Source Sans Pro" w:eastAsia="宋体" w:hAnsi="Source Sans Pro" w:cs="Calibri" w:hint="eastAsia"/>
          <w:sz w:val="22"/>
        </w:rPr>
        <w:t xml:space="preserve"> </w:t>
      </w:r>
      <w:r w:rsidR="00A20C25" w:rsidRPr="00392614">
        <w:rPr>
          <w:rFonts w:ascii="Source Sans Pro" w:eastAsia="宋体" w:hAnsi="Source Sans Pro" w:cs="Calibri"/>
          <w:sz w:val="22"/>
        </w:rPr>
        <w:t>(IC50) of all drugs in glioma patients.</w:t>
      </w:r>
      <w:r w:rsidR="00AB5619" w:rsidRPr="00392614">
        <w:rPr>
          <w:rFonts w:ascii="Source Sans Pro" w:eastAsia="宋体" w:hAnsi="Source Sans Pro" w:cs="Calibri"/>
          <w:sz w:val="22"/>
        </w:rPr>
        <w:t xml:space="preserve"> </w:t>
      </w:r>
    </w:p>
    <w:p w14:paraId="08FF7BC5" w14:textId="77777777" w:rsidR="005C1729" w:rsidRPr="00392614" w:rsidRDefault="005C1729" w:rsidP="00AB5619">
      <w:pPr>
        <w:spacing w:line="360" w:lineRule="auto"/>
        <w:jc w:val="left"/>
        <w:rPr>
          <w:rFonts w:ascii="Source Sans Pro" w:eastAsia="宋体" w:hAnsi="Source Sans Pro" w:cs="Calibri"/>
          <w:sz w:val="22"/>
        </w:rPr>
      </w:pPr>
    </w:p>
    <w:p w14:paraId="3044CB0D" w14:textId="4AA62037" w:rsidR="004B6751" w:rsidRPr="00392614" w:rsidRDefault="004B6751" w:rsidP="00AB5619">
      <w:pPr>
        <w:spacing w:line="360" w:lineRule="auto"/>
        <w:jc w:val="left"/>
        <w:rPr>
          <w:rFonts w:ascii="Source Sans Pro" w:eastAsia="宋体" w:hAnsi="Source Sans Pro" w:cs="Calibri"/>
          <w:sz w:val="22"/>
        </w:rPr>
      </w:pPr>
      <w:r w:rsidRPr="00392614">
        <w:rPr>
          <w:rFonts w:ascii="Source Sans Pro" w:eastAsia="宋体" w:hAnsi="Source Sans Pro" w:cs="Calibri"/>
          <w:sz w:val="22"/>
        </w:rPr>
        <w:br w:type="page"/>
      </w:r>
    </w:p>
    <w:p w14:paraId="4F1577BE" w14:textId="4B6D8B75" w:rsidR="00AD6508" w:rsidRPr="00C215EA" w:rsidRDefault="00793791" w:rsidP="00AD4A37">
      <w:pPr>
        <w:widowControl/>
        <w:spacing w:line="360" w:lineRule="auto"/>
        <w:jc w:val="left"/>
        <w:rPr>
          <w:rFonts w:ascii="Source Sans Pro" w:eastAsia="宋体" w:hAnsi="Source Sans Pro" w:cs="Calibri"/>
          <w:b/>
          <w:bCs/>
          <w:sz w:val="22"/>
        </w:rPr>
      </w:pPr>
      <w:r>
        <w:rPr>
          <w:noProof/>
        </w:rPr>
        <w:lastRenderedPageBreak/>
        <w:drawing>
          <wp:anchor distT="0" distB="0" distL="114300" distR="114300" simplePos="0" relativeHeight="251659264" behindDoc="0" locked="0" layoutInCell="1" allowOverlap="1" wp14:anchorId="62C65358" wp14:editId="339A8F05">
            <wp:simplePos x="0" y="0"/>
            <wp:positionH relativeFrom="column">
              <wp:posOffset>76982</wp:posOffset>
            </wp:positionH>
            <wp:positionV relativeFrom="paragraph">
              <wp:posOffset>119576</wp:posOffset>
            </wp:positionV>
            <wp:extent cx="5015230" cy="4947920"/>
            <wp:effectExtent l="0" t="0" r="0" b="5080"/>
            <wp:wrapTopAndBottom/>
            <wp:docPr id="1599413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805" t="3060" r="2097" b="3107"/>
                    <a:stretch/>
                  </pic:blipFill>
                  <pic:spPr bwMode="auto">
                    <a:xfrm>
                      <a:off x="0" y="0"/>
                      <a:ext cx="5015230" cy="4947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846DF" w:rsidRPr="00392614">
        <w:rPr>
          <w:rFonts w:ascii="Source Sans Pro" w:eastAsia="宋体" w:hAnsi="Source Sans Pro" w:cs="Calibri"/>
          <w:b/>
          <w:bCs/>
          <w:sz w:val="22"/>
        </w:rPr>
        <w:t xml:space="preserve">Figure S1. </w:t>
      </w:r>
      <w:r w:rsidR="000D6814" w:rsidRPr="00392614">
        <w:rPr>
          <w:rFonts w:ascii="Source Sans Pro" w:eastAsia="宋体" w:hAnsi="Source Sans Pro" w:cs="Calibri"/>
          <w:b/>
          <w:bCs/>
          <w:sz w:val="22"/>
        </w:rPr>
        <w:t>Boxplot shows Dice scores for all cohorts.</w:t>
      </w:r>
      <w:r w:rsidR="000D6814" w:rsidRPr="00392614">
        <w:rPr>
          <w:rFonts w:ascii="Source Sans Pro" w:eastAsia="宋体" w:hAnsi="Source Sans Pro" w:cs="Calibri"/>
          <w:sz w:val="22"/>
        </w:rPr>
        <w:t xml:space="preserve"> </w:t>
      </w:r>
      <w:bookmarkStart w:id="2" w:name="OLE_LINK2"/>
      <w:r w:rsidR="000D6814" w:rsidRPr="00392614">
        <w:rPr>
          <w:rFonts w:ascii="Source Sans Pro" w:eastAsia="宋体" w:hAnsi="Source Sans Pro" w:cs="Calibri"/>
          <w:sz w:val="22"/>
        </w:rPr>
        <w:t xml:space="preserve">The line that divides the box into </w:t>
      </w:r>
      <w:r w:rsidR="00E71F4D">
        <w:rPr>
          <w:rFonts w:ascii="Source Sans Pro" w:eastAsia="宋体" w:hAnsi="Source Sans Pro" w:cs="Calibri"/>
          <w:sz w:val="22"/>
        </w:rPr>
        <w:t>two</w:t>
      </w:r>
      <w:r w:rsidR="000D6814" w:rsidRPr="00392614">
        <w:rPr>
          <w:rFonts w:ascii="Source Sans Pro" w:eastAsia="宋体" w:hAnsi="Source Sans Pro" w:cs="Calibri"/>
          <w:sz w:val="22"/>
        </w:rPr>
        <w:t xml:space="preserve"> parts represents the median of the data. The ends of the box shows the upper (Q3) and lower (Q1) quartiles. The </w:t>
      </w:r>
      <w:r w:rsidR="00E92ECE" w:rsidRPr="00E92ECE">
        <w:rPr>
          <w:rFonts w:ascii="Source Sans Pro" w:eastAsia="宋体" w:hAnsi="Source Sans Pro" w:cs="Calibri"/>
          <w:sz w:val="22"/>
        </w:rPr>
        <w:t>extreme line</w:t>
      </w:r>
      <w:r w:rsidR="000D6814" w:rsidRPr="00392614">
        <w:rPr>
          <w:rFonts w:ascii="Source Sans Pro" w:eastAsia="宋体" w:hAnsi="Source Sans Pro" w:cs="Calibri"/>
          <w:sz w:val="22"/>
        </w:rPr>
        <w:t xml:space="preserve"> show</w:t>
      </w:r>
      <w:r w:rsidR="00E92ECE">
        <w:rPr>
          <w:rFonts w:ascii="Source Sans Pro" w:eastAsia="宋体" w:hAnsi="Source Sans Pro" w:cs="Calibri"/>
          <w:sz w:val="22"/>
        </w:rPr>
        <w:t>s</w:t>
      </w:r>
      <w:r w:rsidR="00E71F4D">
        <w:rPr>
          <w:rFonts w:ascii="Source Sans Pro" w:eastAsia="宋体" w:hAnsi="Source Sans Pro" w:cs="Calibri"/>
          <w:sz w:val="22"/>
        </w:rPr>
        <w:t xml:space="preserve"> </w:t>
      </w:r>
      <w:r w:rsidR="000D6814" w:rsidRPr="00392614">
        <w:rPr>
          <w:rFonts w:ascii="Source Sans Pro" w:eastAsia="宋体" w:hAnsi="Source Sans Pro" w:cs="Calibri"/>
          <w:sz w:val="22"/>
        </w:rPr>
        <w:t>the highest and lowest value</w:t>
      </w:r>
      <w:r w:rsidR="00E71F4D">
        <w:rPr>
          <w:rFonts w:ascii="Source Sans Pro" w:eastAsia="宋体" w:hAnsi="Source Sans Pro" w:cs="Calibri"/>
          <w:sz w:val="22"/>
        </w:rPr>
        <w:t xml:space="preserve">s, </w:t>
      </w:r>
      <w:r w:rsidR="000D6814" w:rsidRPr="00392614">
        <w:rPr>
          <w:rFonts w:ascii="Source Sans Pro" w:eastAsia="宋体" w:hAnsi="Source Sans Pro" w:cs="Calibri"/>
          <w:sz w:val="22"/>
        </w:rPr>
        <w:t xml:space="preserve">excluding outliers. </w:t>
      </w:r>
      <w:bookmarkEnd w:id="2"/>
      <w:r w:rsidR="00D459F2" w:rsidRPr="00D459F2">
        <w:rPr>
          <w:rFonts w:ascii="Source Sans Pro" w:eastAsia="宋体" w:hAnsi="Source Sans Pro" w:cs="Calibri"/>
          <w:sz w:val="22"/>
        </w:rPr>
        <w:t xml:space="preserve">Dots beyond the </w:t>
      </w:r>
      <w:r w:rsidR="00E92ECE" w:rsidRPr="00E92ECE">
        <w:rPr>
          <w:rFonts w:ascii="Source Sans Pro" w:eastAsia="宋体" w:hAnsi="Source Sans Pro" w:cs="Calibri"/>
          <w:sz w:val="22"/>
        </w:rPr>
        <w:t>extreme line</w:t>
      </w:r>
      <w:r w:rsidR="00D459F2" w:rsidRPr="00D459F2">
        <w:rPr>
          <w:rFonts w:ascii="Source Sans Pro" w:eastAsia="宋体" w:hAnsi="Source Sans Pro" w:cs="Calibri"/>
          <w:sz w:val="22"/>
        </w:rPr>
        <w:t xml:space="preserve"> indicate potential outliers.</w:t>
      </w:r>
    </w:p>
    <w:p w14:paraId="34DB8013" w14:textId="77777777" w:rsidR="00AD6508" w:rsidRDefault="00AD6508" w:rsidP="00AD4A37">
      <w:pPr>
        <w:widowControl/>
        <w:spacing w:line="360" w:lineRule="auto"/>
        <w:jc w:val="left"/>
        <w:rPr>
          <w:rFonts w:ascii="Source Sans Pro" w:eastAsia="宋体" w:hAnsi="Source Sans Pro" w:cs="Calibri"/>
          <w:b/>
          <w:bCs/>
          <w:sz w:val="22"/>
        </w:rPr>
      </w:pPr>
    </w:p>
    <w:p w14:paraId="3A4E0EA5" w14:textId="38248421" w:rsidR="00EB37DC" w:rsidRPr="00392614" w:rsidRDefault="00EB37DC" w:rsidP="00EB37DC">
      <w:pPr>
        <w:widowControl/>
        <w:spacing w:line="360" w:lineRule="auto"/>
        <w:jc w:val="left"/>
        <w:rPr>
          <w:rFonts w:ascii="Source Sans Pro" w:eastAsia="宋体" w:hAnsi="Source Sans Pro" w:cs="Calibri"/>
          <w:sz w:val="22"/>
        </w:rPr>
      </w:pPr>
      <w:r>
        <w:rPr>
          <w:noProof/>
        </w:rPr>
        <w:lastRenderedPageBreak/>
        <w:drawing>
          <wp:anchor distT="0" distB="0" distL="114300" distR="114300" simplePos="0" relativeHeight="251681792" behindDoc="0" locked="0" layoutInCell="1" allowOverlap="1" wp14:anchorId="5F94B099" wp14:editId="6647C38F">
            <wp:simplePos x="0" y="0"/>
            <wp:positionH relativeFrom="column">
              <wp:posOffset>0</wp:posOffset>
            </wp:positionH>
            <wp:positionV relativeFrom="paragraph">
              <wp:posOffset>174476</wp:posOffset>
            </wp:positionV>
            <wp:extent cx="5274310" cy="4087495"/>
            <wp:effectExtent l="0" t="0" r="2540" b="8255"/>
            <wp:wrapTopAndBottom/>
            <wp:docPr id="17337025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2493" b="10001"/>
                    <a:stretch/>
                  </pic:blipFill>
                  <pic:spPr bwMode="auto">
                    <a:xfrm>
                      <a:off x="0" y="0"/>
                      <a:ext cx="5274310" cy="4087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92614">
        <w:rPr>
          <w:rFonts w:ascii="Source Sans Pro" w:eastAsia="宋体" w:hAnsi="Source Sans Pro" w:cs="Calibri"/>
          <w:b/>
          <w:bCs/>
          <w:sz w:val="22"/>
        </w:rPr>
        <w:t>Figure S</w:t>
      </w:r>
      <w:r>
        <w:rPr>
          <w:rFonts w:ascii="Source Sans Pro" w:eastAsia="宋体" w:hAnsi="Source Sans Pro" w:cs="Calibri"/>
          <w:b/>
          <w:bCs/>
          <w:sz w:val="22"/>
        </w:rPr>
        <w:t>2</w:t>
      </w:r>
      <w:r w:rsidRPr="00392614">
        <w:rPr>
          <w:rFonts w:ascii="Source Sans Pro" w:eastAsia="宋体" w:hAnsi="Source Sans Pro" w:cs="Calibri"/>
          <w:b/>
          <w:bCs/>
          <w:sz w:val="22"/>
        </w:rPr>
        <w:t>.</w:t>
      </w:r>
      <w:r w:rsidRPr="00392614">
        <w:rPr>
          <w:rFonts w:ascii="Source Sans Pro" w:eastAsia="宋体" w:hAnsi="Source Sans Pro" w:cs="Calibri"/>
          <w:sz w:val="22"/>
        </w:rPr>
        <w:t xml:space="preserve"> </w:t>
      </w:r>
      <w:r w:rsidRPr="00EB37DC">
        <w:rPr>
          <w:rFonts w:ascii="Source Sans Pro" w:eastAsia="宋体" w:hAnsi="Source Sans Pro" w:cs="Calibri"/>
          <w:sz w:val="22"/>
        </w:rPr>
        <w:t>The differences in molecular pathology and deep prognosis features between patients with low-DPS and high-DPS subtypes are displayed in heatmaps.</w:t>
      </w:r>
    </w:p>
    <w:p w14:paraId="28A6122E" w14:textId="77777777" w:rsidR="000D0977" w:rsidRDefault="000D0977" w:rsidP="00AD4A37">
      <w:pPr>
        <w:widowControl/>
        <w:spacing w:line="360" w:lineRule="auto"/>
        <w:jc w:val="left"/>
        <w:rPr>
          <w:rFonts w:ascii="Source Sans Pro" w:eastAsia="宋体" w:hAnsi="Source Sans Pro" w:cs="Calibri"/>
          <w:b/>
          <w:bCs/>
          <w:sz w:val="22"/>
        </w:rPr>
      </w:pPr>
    </w:p>
    <w:p w14:paraId="54B14EF5" w14:textId="77777777" w:rsidR="00EB37DC" w:rsidRDefault="00EB37DC" w:rsidP="00AD4A37">
      <w:pPr>
        <w:widowControl/>
        <w:spacing w:line="360" w:lineRule="auto"/>
        <w:jc w:val="left"/>
        <w:rPr>
          <w:rFonts w:ascii="Source Sans Pro" w:eastAsia="宋体" w:hAnsi="Source Sans Pro" w:cs="Calibri"/>
          <w:b/>
          <w:bCs/>
          <w:sz w:val="22"/>
        </w:rPr>
      </w:pPr>
    </w:p>
    <w:p w14:paraId="70F5CBA5" w14:textId="77777777" w:rsidR="00EB37DC" w:rsidRPr="00F00B5F" w:rsidRDefault="00EB37DC" w:rsidP="00AD4A37">
      <w:pPr>
        <w:widowControl/>
        <w:spacing w:line="360" w:lineRule="auto"/>
        <w:jc w:val="left"/>
        <w:rPr>
          <w:rFonts w:ascii="Source Sans Pro" w:eastAsia="宋体" w:hAnsi="Source Sans Pro" w:cs="Calibri"/>
          <w:b/>
          <w:bCs/>
          <w:sz w:val="22"/>
        </w:rPr>
      </w:pPr>
    </w:p>
    <w:p w14:paraId="2C194AD1" w14:textId="77777777" w:rsidR="00EB37DC" w:rsidRDefault="00EB37DC" w:rsidP="00AD4A37">
      <w:pPr>
        <w:widowControl/>
        <w:spacing w:line="360" w:lineRule="auto"/>
        <w:jc w:val="left"/>
        <w:rPr>
          <w:rFonts w:ascii="Source Sans Pro" w:eastAsia="宋体" w:hAnsi="Source Sans Pro" w:cs="Calibri"/>
          <w:b/>
          <w:bCs/>
          <w:sz w:val="22"/>
        </w:rPr>
      </w:pPr>
    </w:p>
    <w:p w14:paraId="073DAA99" w14:textId="77777777" w:rsidR="00EB37DC" w:rsidRDefault="00EB37DC" w:rsidP="00AD4A37">
      <w:pPr>
        <w:widowControl/>
        <w:spacing w:line="360" w:lineRule="auto"/>
        <w:jc w:val="left"/>
        <w:rPr>
          <w:rFonts w:ascii="Source Sans Pro" w:eastAsia="宋体" w:hAnsi="Source Sans Pro" w:cs="Calibri"/>
          <w:b/>
          <w:bCs/>
          <w:sz w:val="22"/>
        </w:rPr>
      </w:pPr>
    </w:p>
    <w:p w14:paraId="4DC75D21" w14:textId="77777777" w:rsidR="00EB37DC" w:rsidRPr="00EB37DC" w:rsidRDefault="00EB37DC" w:rsidP="00AD4A37">
      <w:pPr>
        <w:widowControl/>
        <w:spacing w:line="360" w:lineRule="auto"/>
        <w:jc w:val="left"/>
        <w:rPr>
          <w:rFonts w:ascii="Source Sans Pro" w:eastAsia="宋体" w:hAnsi="Source Sans Pro" w:cs="Calibri"/>
          <w:b/>
          <w:bCs/>
          <w:sz w:val="22"/>
        </w:rPr>
      </w:pPr>
    </w:p>
    <w:p w14:paraId="34E880B3" w14:textId="36B14C80" w:rsidR="000D0977" w:rsidRPr="00392614" w:rsidRDefault="000D0977" w:rsidP="000D0977">
      <w:pPr>
        <w:widowControl/>
        <w:spacing w:line="360" w:lineRule="auto"/>
        <w:jc w:val="left"/>
        <w:rPr>
          <w:rFonts w:ascii="Source Sans Pro" w:eastAsia="宋体" w:hAnsi="Source Sans Pro" w:cs="Calibri"/>
          <w:b/>
          <w:bCs/>
          <w:sz w:val="22"/>
        </w:rPr>
      </w:pPr>
      <w:r>
        <w:rPr>
          <w:noProof/>
        </w:rPr>
        <w:lastRenderedPageBreak/>
        <w:drawing>
          <wp:anchor distT="0" distB="0" distL="114300" distR="114300" simplePos="0" relativeHeight="251677696" behindDoc="0" locked="0" layoutInCell="1" allowOverlap="1" wp14:anchorId="569E290B" wp14:editId="0C9978EB">
            <wp:simplePos x="0" y="0"/>
            <wp:positionH relativeFrom="column">
              <wp:posOffset>0</wp:posOffset>
            </wp:positionH>
            <wp:positionV relativeFrom="paragraph">
              <wp:posOffset>197436</wp:posOffset>
            </wp:positionV>
            <wp:extent cx="5274310" cy="1718310"/>
            <wp:effectExtent l="0" t="0" r="2540" b="0"/>
            <wp:wrapTopAndBottom/>
            <wp:docPr id="10087911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1718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2614">
        <w:rPr>
          <w:rFonts w:ascii="Source Sans Pro" w:eastAsia="宋体" w:hAnsi="Source Sans Pro" w:cs="Calibri"/>
          <w:b/>
          <w:bCs/>
          <w:sz w:val="22"/>
        </w:rPr>
        <w:t>Figure S</w:t>
      </w:r>
      <w:r w:rsidR="00F00B5F">
        <w:rPr>
          <w:rFonts w:ascii="Source Sans Pro" w:eastAsia="宋体" w:hAnsi="Source Sans Pro" w:cs="Calibri"/>
          <w:b/>
          <w:bCs/>
          <w:sz w:val="22"/>
        </w:rPr>
        <w:t>3</w:t>
      </w:r>
      <w:r w:rsidRPr="00392614">
        <w:rPr>
          <w:rFonts w:ascii="Source Sans Pro" w:eastAsia="宋体" w:hAnsi="Source Sans Pro" w:cs="Calibri"/>
          <w:b/>
          <w:bCs/>
          <w:sz w:val="22"/>
        </w:rPr>
        <w:t xml:space="preserve">. </w:t>
      </w:r>
      <w:r w:rsidRPr="00863891">
        <w:rPr>
          <w:rFonts w:ascii="Source Sans Pro" w:eastAsia="宋体" w:hAnsi="Source Sans Pro" w:cs="Calibri"/>
          <w:b/>
          <w:bCs/>
          <w:sz w:val="22"/>
        </w:rPr>
        <w:t>Kaplan-Meier analyses of progression-free survival (PFS) in patients with glioma.</w:t>
      </w:r>
      <w:r w:rsidRPr="00392614">
        <w:rPr>
          <w:rFonts w:ascii="Source Sans Pro" w:eastAsia="宋体" w:hAnsi="Source Sans Pro" w:cs="Calibri"/>
          <w:sz w:val="22"/>
        </w:rPr>
        <w:t xml:space="preserve"> DPS separated patients into two </w:t>
      </w:r>
      <w:r>
        <w:rPr>
          <w:rFonts w:ascii="Source Sans Pro" w:eastAsia="宋体" w:hAnsi="Source Sans Pro" w:cs="Calibri"/>
          <w:sz w:val="22"/>
        </w:rPr>
        <w:t>sub</w:t>
      </w:r>
      <w:r w:rsidRPr="00392614">
        <w:rPr>
          <w:rFonts w:ascii="Source Sans Pro" w:eastAsia="宋体" w:hAnsi="Source Sans Pro" w:cs="Calibri"/>
          <w:sz w:val="22"/>
        </w:rPr>
        <w:t>groups with different PFS. Comparisons of the survival curves were performed with a two-sided log-rank test.</w:t>
      </w:r>
    </w:p>
    <w:p w14:paraId="511F32B1" w14:textId="77777777" w:rsidR="000D0977" w:rsidRDefault="000D0977" w:rsidP="00AD4A37">
      <w:pPr>
        <w:widowControl/>
        <w:spacing w:line="360" w:lineRule="auto"/>
        <w:jc w:val="left"/>
        <w:rPr>
          <w:rFonts w:ascii="Source Sans Pro" w:eastAsia="宋体" w:hAnsi="Source Sans Pro" w:cs="Calibri"/>
          <w:b/>
          <w:bCs/>
          <w:sz w:val="22"/>
        </w:rPr>
      </w:pPr>
    </w:p>
    <w:p w14:paraId="55179198" w14:textId="77777777" w:rsidR="000D0977" w:rsidRDefault="000D0977" w:rsidP="00AD4A37">
      <w:pPr>
        <w:widowControl/>
        <w:spacing w:line="360" w:lineRule="auto"/>
        <w:jc w:val="left"/>
        <w:rPr>
          <w:rFonts w:ascii="Source Sans Pro" w:eastAsia="宋体" w:hAnsi="Source Sans Pro" w:cs="Calibri"/>
          <w:b/>
          <w:bCs/>
          <w:sz w:val="22"/>
        </w:rPr>
      </w:pPr>
    </w:p>
    <w:p w14:paraId="2746122C" w14:textId="77777777" w:rsidR="000D0977" w:rsidRDefault="000D0977" w:rsidP="00AD4A37">
      <w:pPr>
        <w:widowControl/>
        <w:spacing w:line="360" w:lineRule="auto"/>
        <w:jc w:val="left"/>
        <w:rPr>
          <w:rFonts w:ascii="Source Sans Pro" w:eastAsia="宋体" w:hAnsi="Source Sans Pro" w:cs="Calibri"/>
          <w:b/>
          <w:bCs/>
          <w:sz w:val="22"/>
        </w:rPr>
      </w:pPr>
    </w:p>
    <w:p w14:paraId="50EF3ABE" w14:textId="77777777" w:rsidR="000D0977" w:rsidRDefault="000D0977" w:rsidP="00AD4A37">
      <w:pPr>
        <w:widowControl/>
        <w:spacing w:line="360" w:lineRule="auto"/>
        <w:jc w:val="left"/>
        <w:rPr>
          <w:rFonts w:ascii="Source Sans Pro" w:eastAsia="宋体" w:hAnsi="Source Sans Pro" w:cs="Calibri"/>
          <w:b/>
          <w:bCs/>
          <w:sz w:val="22"/>
        </w:rPr>
      </w:pPr>
    </w:p>
    <w:p w14:paraId="09A493BD" w14:textId="77777777" w:rsidR="000D0977" w:rsidRPr="000D0977" w:rsidRDefault="000D0977" w:rsidP="00AD4A37">
      <w:pPr>
        <w:widowControl/>
        <w:spacing w:line="360" w:lineRule="auto"/>
        <w:jc w:val="left"/>
        <w:rPr>
          <w:rFonts w:ascii="Source Sans Pro" w:eastAsia="宋体" w:hAnsi="Source Sans Pro" w:cs="Calibri"/>
          <w:b/>
          <w:bCs/>
          <w:sz w:val="22"/>
        </w:rPr>
      </w:pPr>
    </w:p>
    <w:p w14:paraId="6F5AA954" w14:textId="02823375" w:rsidR="008A513B" w:rsidRDefault="00EB6F12" w:rsidP="00D23A92">
      <w:pPr>
        <w:widowControl/>
        <w:spacing w:line="360" w:lineRule="auto"/>
        <w:jc w:val="left"/>
        <w:rPr>
          <w:rFonts w:ascii="Source Sans Pro" w:eastAsia="宋体" w:hAnsi="Source Sans Pro" w:cs="Calibri"/>
          <w:b/>
          <w:bCs/>
          <w:sz w:val="22"/>
        </w:rPr>
      </w:pPr>
      <w:r w:rsidRPr="00EB6F12">
        <w:rPr>
          <w:rFonts w:ascii="Source Sans Pro" w:eastAsia="宋体" w:hAnsi="Source Sans Pro" w:cs="Calibri"/>
          <w:b/>
          <w:bCs/>
          <w:noProof/>
          <w:sz w:val="22"/>
        </w:rPr>
        <w:lastRenderedPageBreak/>
        <w:drawing>
          <wp:anchor distT="0" distB="0" distL="114300" distR="114300" simplePos="0" relativeHeight="251675648" behindDoc="0" locked="0" layoutInCell="1" allowOverlap="1" wp14:anchorId="5212E90D" wp14:editId="18DFF6ED">
            <wp:simplePos x="0" y="0"/>
            <wp:positionH relativeFrom="column">
              <wp:posOffset>0</wp:posOffset>
            </wp:positionH>
            <wp:positionV relativeFrom="paragraph">
              <wp:posOffset>140530</wp:posOffset>
            </wp:positionV>
            <wp:extent cx="5274310" cy="4164965"/>
            <wp:effectExtent l="0" t="0" r="0" b="6985"/>
            <wp:wrapTopAndBottom/>
            <wp:docPr id="1560260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4164965"/>
                    </a:xfrm>
                    <a:prstGeom prst="rect">
                      <a:avLst/>
                    </a:prstGeom>
                    <a:noFill/>
                    <a:ln>
                      <a:noFill/>
                    </a:ln>
                  </pic:spPr>
                </pic:pic>
              </a:graphicData>
            </a:graphic>
            <wp14:sizeRelH relativeFrom="page">
              <wp14:pctWidth>0</wp14:pctWidth>
            </wp14:sizeRelH>
            <wp14:sizeRelV relativeFrom="page">
              <wp14:pctHeight>0</wp14:pctHeight>
            </wp14:sizeRelV>
          </wp:anchor>
        </w:drawing>
      </w:r>
      <w:r w:rsidR="00C215EA">
        <w:rPr>
          <w:rFonts w:ascii="Source Sans Pro" w:eastAsia="宋体" w:hAnsi="Source Sans Pro" w:cs="Calibri"/>
          <w:b/>
          <w:bCs/>
          <w:sz w:val="22"/>
        </w:rPr>
        <w:t>Figure S</w:t>
      </w:r>
      <w:r w:rsidR="00F00B5F">
        <w:rPr>
          <w:rFonts w:ascii="Source Sans Pro" w:eastAsia="宋体" w:hAnsi="Source Sans Pro" w:cs="Calibri"/>
          <w:b/>
          <w:bCs/>
          <w:sz w:val="22"/>
        </w:rPr>
        <w:t>4</w:t>
      </w:r>
      <w:r w:rsidR="00C215EA">
        <w:rPr>
          <w:rFonts w:ascii="Source Sans Pro" w:eastAsia="宋体" w:hAnsi="Source Sans Pro" w:cs="Calibri"/>
          <w:b/>
          <w:bCs/>
          <w:sz w:val="22"/>
        </w:rPr>
        <w:t xml:space="preserve">. </w:t>
      </w:r>
      <w:r w:rsidR="007E4526">
        <w:rPr>
          <w:rFonts w:ascii="Source Sans Pro" w:eastAsia="宋体" w:hAnsi="Source Sans Pro" w:cs="Calibri"/>
          <w:b/>
          <w:bCs/>
          <w:sz w:val="22"/>
        </w:rPr>
        <w:t>V</w:t>
      </w:r>
      <w:r w:rsidR="007E4526" w:rsidRPr="007E4526">
        <w:rPr>
          <w:rFonts w:ascii="Source Sans Pro" w:eastAsia="宋体" w:hAnsi="Source Sans Pro" w:cs="Calibri"/>
          <w:b/>
          <w:bCs/>
          <w:sz w:val="22"/>
        </w:rPr>
        <w:t>isualization</w:t>
      </w:r>
      <w:r w:rsidR="007E4526">
        <w:rPr>
          <w:rFonts w:ascii="Source Sans Pro" w:eastAsia="宋体" w:hAnsi="Source Sans Pro" w:cs="Calibri"/>
          <w:b/>
          <w:bCs/>
          <w:sz w:val="22"/>
        </w:rPr>
        <w:t xml:space="preserve"> </w:t>
      </w:r>
      <w:r w:rsidR="003D72E7">
        <w:rPr>
          <w:rFonts w:ascii="Source Sans Pro" w:eastAsia="宋体" w:hAnsi="Source Sans Pro" w:cs="Calibri" w:hint="eastAsia"/>
          <w:b/>
          <w:bCs/>
          <w:sz w:val="22"/>
        </w:rPr>
        <w:t>o</w:t>
      </w:r>
      <w:r w:rsidR="003D72E7">
        <w:rPr>
          <w:rFonts w:ascii="Source Sans Pro" w:eastAsia="宋体" w:hAnsi="Source Sans Pro" w:cs="Calibri"/>
          <w:b/>
          <w:bCs/>
          <w:sz w:val="22"/>
        </w:rPr>
        <w:t xml:space="preserve">f the model prediction for </w:t>
      </w:r>
      <w:r w:rsidR="003D72E7" w:rsidRPr="003D72E7">
        <w:rPr>
          <w:rFonts w:ascii="Source Sans Pro" w:eastAsia="宋体" w:hAnsi="Source Sans Pro" w:cs="Calibri"/>
          <w:b/>
          <w:bCs/>
          <w:sz w:val="22"/>
        </w:rPr>
        <w:t>representative cases.</w:t>
      </w:r>
      <w:r w:rsidR="003D72E7">
        <w:rPr>
          <w:rFonts w:ascii="Source Sans Pro" w:eastAsia="宋体" w:hAnsi="Source Sans Pro" w:cs="Calibri"/>
          <w:b/>
          <w:bCs/>
          <w:sz w:val="22"/>
        </w:rPr>
        <w:t xml:space="preserve"> </w:t>
      </w:r>
    </w:p>
    <w:p w14:paraId="2B28A749" w14:textId="3F2CF8D4" w:rsidR="00EB6F12" w:rsidRPr="00D23A92" w:rsidRDefault="00D23A92" w:rsidP="00D23A92">
      <w:pPr>
        <w:widowControl/>
        <w:spacing w:line="360" w:lineRule="auto"/>
        <w:jc w:val="left"/>
        <w:rPr>
          <w:rFonts w:ascii="Source Sans Pro" w:eastAsia="宋体" w:hAnsi="Source Sans Pro" w:cs="Calibri"/>
          <w:sz w:val="22"/>
        </w:rPr>
      </w:pPr>
      <w:r w:rsidRPr="00D23A92">
        <w:rPr>
          <w:rFonts w:ascii="Source Sans Pro" w:eastAsia="宋体" w:hAnsi="Source Sans Pro" w:cs="Calibri"/>
          <w:sz w:val="22"/>
        </w:rPr>
        <w:t>MRI images and corresponding feature maps along with the predicted molecular alterations</w:t>
      </w:r>
      <w:r w:rsidR="008A513B">
        <w:rPr>
          <w:rFonts w:ascii="Source Sans Pro" w:eastAsia="宋体" w:hAnsi="Source Sans Pro" w:cs="Calibri"/>
          <w:sz w:val="22"/>
        </w:rPr>
        <w:t xml:space="preserve">, </w:t>
      </w:r>
      <w:r w:rsidRPr="00D23A92">
        <w:rPr>
          <w:rFonts w:ascii="Source Sans Pro" w:eastAsia="宋体" w:hAnsi="Source Sans Pro" w:cs="Calibri"/>
          <w:sz w:val="22"/>
        </w:rPr>
        <w:t>histological grade</w:t>
      </w:r>
      <w:r w:rsidR="008A513B">
        <w:rPr>
          <w:rFonts w:ascii="Source Sans Pro" w:eastAsia="宋体" w:hAnsi="Source Sans Pro" w:cs="Calibri"/>
          <w:sz w:val="22"/>
        </w:rPr>
        <w:t xml:space="preserve">, and </w:t>
      </w:r>
      <w:r w:rsidRPr="00D23A92">
        <w:rPr>
          <w:rFonts w:ascii="Source Sans Pro" w:eastAsia="宋体" w:hAnsi="Source Sans Pro" w:cs="Calibri"/>
          <w:sz w:val="22"/>
        </w:rPr>
        <w:t>DPS for four representative cases. IDH mutation</w:t>
      </w:r>
      <w:r>
        <w:rPr>
          <w:rFonts w:ascii="Source Sans Pro" w:eastAsia="宋体" w:hAnsi="Source Sans Pro" w:cs="Calibri"/>
          <w:sz w:val="22"/>
        </w:rPr>
        <w:t xml:space="preserve"> status, </w:t>
      </w:r>
      <w:r w:rsidRPr="00D23A92">
        <w:rPr>
          <w:rFonts w:ascii="Source Sans Pro" w:eastAsia="宋体" w:hAnsi="Source Sans Pro" w:cs="Calibri"/>
          <w:sz w:val="22"/>
        </w:rPr>
        <w:t>1p/19q co-deletion status</w:t>
      </w:r>
      <w:r>
        <w:rPr>
          <w:rFonts w:ascii="Source Sans Pro" w:eastAsia="宋体" w:hAnsi="Source Sans Pro" w:cs="Calibri"/>
          <w:sz w:val="22"/>
        </w:rPr>
        <w:t xml:space="preserve">, </w:t>
      </w:r>
      <w:r w:rsidRPr="00D23A92">
        <w:rPr>
          <w:rFonts w:ascii="Source Sans Pro" w:eastAsia="宋体" w:hAnsi="Source Sans Pro" w:cs="Calibri"/>
          <w:sz w:val="22"/>
        </w:rPr>
        <w:t>and histological grade were</w:t>
      </w:r>
      <w:r w:rsidRPr="00D23A92">
        <w:rPr>
          <w:rFonts w:ascii="Source Sans Pro" w:eastAsia="宋体" w:hAnsi="Source Sans Pro" w:cs="Calibri" w:hint="eastAsia"/>
          <w:sz w:val="22"/>
        </w:rPr>
        <w:t xml:space="preserve"> </w:t>
      </w:r>
      <w:r w:rsidR="00717598">
        <w:rPr>
          <w:rFonts w:ascii="Source Sans Pro" w:eastAsia="宋体" w:hAnsi="Source Sans Pro" w:cs="Calibri"/>
          <w:sz w:val="22"/>
        </w:rPr>
        <w:t xml:space="preserve">alomost </w:t>
      </w:r>
      <w:r w:rsidRPr="00D23A92">
        <w:rPr>
          <w:rFonts w:ascii="Source Sans Pro" w:eastAsia="宋体" w:hAnsi="Source Sans Pro" w:cs="Calibri"/>
          <w:sz w:val="22"/>
        </w:rPr>
        <w:t xml:space="preserve">correctly predicted for all four cases; predicted </w:t>
      </w:r>
      <w:r w:rsidR="00DD4CCA">
        <w:rPr>
          <w:rFonts w:ascii="Source Sans Pro" w:eastAsia="宋体" w:hAnsi="Source Sans Pro" w:cs="Calibri"/>
          <w:sz w:val="22"/>
        </w:rPr>
        <w:t xml:space="preserve">prognosis </w:t>
      </w:r>
      <w:r w:rsidRPr="00D23A92">
        <w:rPr>
          <w:rFonts w:ascii="Source Sans Pro" w:eastAsia="宋体" w:hAnsi="Source Sans Pro" w:cs="Calibri"/>
          <w:sz w:val="22"/>
        </w:rPr>
        <w:t>scores were also consistent</w:t>
      </w:r>
      <w:r w:rsidRPr="00D23A92">
        <w:rPr>
          <w:rFonts w:ascii="Source Sans Pro" w:eastAsia="宋体" w:hAnsi="Source Sans Pro" w:cs="Calibri" w:hint="eastAsia"/>
          <w:sz w:val="22"/>
        </w:rPr>
        <w:t xml:space="preserve"> </w:t>
      </w:r>
      <w:r w:rsidRPr="00D23A92">
        <w:rPr>
          <w:rFonts w:ascii="Source Sans Pro" w:eastAsia="宋体" w:hAnsi="Source Sans Pro" w:cs="Calibri"/>
          <w:sz w:val="22"/>
        </w:rPr>
        <w:t>with the actual patient outcome.</w:t>
      </w:r>
      <w:r w:rsidR="00BE7A84">
        <w:rPr>
          <w:rFonts w:ascii="Source Sans Pro" w:eastAsia="宋体" w:hAnsi="Source Sans Pro" w:cs="Calibri"/>
          <w:sz w:val="22"/>
        </w:rPr>
        <w:t xml:space="preserve"> DPS, deep prognosis score</w:t>
      </w:r>
      <w:r w:rsidR="00384AFB">
        <w:rPr>
          <w:rFonts w:ascii="Source Sans Pro" w:eastAsia="宋体" w:hAnsi="Source Sans Pro" w:cs="Calibri"/>
          <w:sz w:val="22"/>
        </w:rPr>
        <w:t xml:space="preserve">; CE-T1WI, </w:t>
      </w:r>
      <w:r w:rsidR="00384AFB" w:rsidRPr="00384AFB">
        <w:rPr>
          <w:rFonts w:ascii="Source Sans Pro" w:eastAsia="宋体" w:hAnsi="Source Sans Pro" w:cs="Calibri"/>
          <w:sz w:val="22"/>
        </w:rPr>
        <w:t xml:space="preserve">contrast-enhanced T1-weighted </w:t>
      </w:r>
      <w:r w:rsidR="00384AFB">
        <w:rPr>
          <w:rFonts w:ascii="Source Sans Pro" w:eastAsia="宋体" w:hAnsi="Source Sans Pro" w:cs="Calibri"/>
          <w:sz w:val="22"/>
        </w:rPr>
        <w:t xml:space="preserve">imaging; T2-FLAIR, </w:t>
      </w:r>
      <w:r w:rsidR="00384AFB" w:rsidRPr="00384AFB">
        <w:rPr>
          <w:rFonts w:ascii="Source Sans Pro" w:eastAsia="宋体" w:hAnsi="Source Sans Pro" w:cs="Calibri"/>
          <w:sz w:val="22"/>
        </w:rPr>
        <w:t>T2-fluid attenuated inversion recovery</w:t>
      </w:r>
      <w:r w:rsidR="00384AFB">
        <w:rPr>
          <w:rFonts w:ascii="Source Sans Pro" w:eastAsia="宋体" w:hAnsi="Source Sans Pro" w:cs="Calibri"/>
          <w:sz w:val="22"/>
        </w:rPr>
        <w:t xml:space="preserve">. </w:t>
      </w:r>
    </w:p>
    <w:p w14:paraId="79098D72" w14:textId="77777777" w:rsidR="00C215EA" w:rsidRDefault="00C215EA" w:rsidP="00AD4A37">
      <w:pPr>
        <w:widowControl/>
        <w:spacing w:line="360" w:lineRule="auto"/>
        <w:jc w:val="left"/>
        <w:rPr>
          <w:rFonts w:ascii="Source Sans Pro" w:eastAsia="宋体" w:hAnsi="Source Sans Pro" w:cs="Calibri"/>
          <w:b/>
          <w:bCs/>
          <w:sz w:val="22"/>
        </w:rPr>
      </w:pPr>
    </w:p>
    <w:p w14:paraId="339B02CD" w14:textId="77777777" w:rsidR="00C215EA" w:rsidRDefault="00C215EA" w:rsidP="00AD4A37">
      <w:pPr>
        <w:widowControl/>
        <w:spacing w:line="360" w:lineRule="auto"/>
        <w:jc w:val="left"/>
        <w:rPr>
          <w:rFonts w:ascii="Source Sans Pro" w:eastAsia="宋体" w:hAnsi="Source Sans Pro" w:cs="Calibri"/>
          <w:b/>
          <w:bCs/>
          <w:sz w:val="22"/>
        </w:rPr>
      </w:pPr>
    </w:p>
    <w:p w14:paraId="62AB030C" w14:textId="77777777" w:rsidR="00C215EA" w:rsidRDefault="00C215EA" w:rsidP="00AD4A37">
      <w:pPr>
        <w:widowControl/>
        <w:spacing w:line="360" w:lineRule="auto"/>
        <w:jc w:val="left"/>
        <w:rPr>
          <w:rFonts w:ascii="Source Sans Pro" w:eastAsia="宋体" w:hAnsi="Source Sans Pro" w:cs="Calibri"/>
          <w:b/>
          <w:bCs/>
          <w:sz w:val="22"/>
        </w:rPr>
      </w:pPr>
    </w:p>
    <w:p w14:paraId="1395530C" w14:textId="77777777" w:rsidR="00C215EA" w:rsidRDefault="00C215EA" w:rsidP="00AD4A37">
      <w:pPr>
        <w:widowControl/>
        <w:spacing w:line="360" w:lineRule="auto"/>
        <w:jc w:val="left"/>
        <w:rPr>
          <w:rFonts w:ascii="Source Sans Pro" w:eastAsia="宋体" w:hAnsi="Source Sans Pro" w:cs="Calibri"/>
          <w:b/>
          <w:bCs/>
          <w:sz w:val="22"/>
        </w:rPr>
      </w:pPr>
    </w:p>
    <w:p w14:paraId="212F38A9" w14:textId="77777777" w:rsidR="00C215EA" w:rsidRDefault="00C215EA" w:rsidP="00AD4A37">
      <w:pPr>
        <w:widowControl/>
        <w:spacing w:line="360" w:lineRule="auto"/>
        <w:jc w:val="left"/>
        <w:rPr>
          <w:rFonts w:ascii="Source Sans Pro" w:eastAsia="宋体" w:hAnsi="Source Sans Pro" w:cs="Calibri"/>
          <w:b/>
          <w:bCs/>
          <w:sz w:val="22"/>
        </w:rPr>
      </w:pPr>
    </w:p>
    <w:p w14:paraId="4F53226D" w14:textId="77777777" w:rsidR="00C215EA" w:rsidRDefault="00C215EA" w:rsidP="00AD4A37">
      <w:pPr>
        <w:widowControl/>
        <w:spacing w:line="360" w:lineRule="auto"/>
        <w:jc w:val="left"/>
        <w:rPr>
          <w:rFonts w:ascii="Source Sans Pro" w:eastAsia="宋体" w:hAnsi="Source Sans Pro" w:cs="Calibri"/>
          <w:b/>
          <w:bCs/>
          <w:sz w:val="22"/>
        </w:rPr>
      </w:pPr>
    </w:p>
    <w:p w14:paraId="5139B9A3" w14:textId="77777777" w:rsidR="00AD6508" w:rsidRPr="00392614" w:rsidRDefault="00AD6508" w:rsidP="00AD4A37">
      <w:pPr>
        <w:widowControl/>
        <w:spacing w:line="360" w:lineRule="auto"/>
        <w:jc w:val="left"/>
        <w:rPr>
          <w:rFonts w:ascii="Source Sans Pro" w:eastAsia="宋体" w:hAnsi="Source Sans Pro" w:cs="Calibri"/>
          <w:b/>
          <w:bCs/>
          <w:sz w:val="22"/>
        </w:rPr>
      </w:pPr>
    </w:p>
    <w:p w14:paraId="5B83F90A" w14:textId="0C5B34A8" w:rsidR="00AD6508" w:rsidRPr="00392614" w:rsidRDefault="00AD6508" w:rsidP="00AD4A37">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br w:type="page"/>
      </w:r>
    </w:p>
    <w:p w14:paraId="4FA63ED8" w14:textId="037F9891" w:rsidR="00AD6508" w:rsidRPr="00392614" w:rsidRDefault="00793791" w:rsidP="00AD4A37">
      <w:pPr>
        <w:widowControl/>
        <w:spacing w:line="360" w:lineRule="auto"/>
        <w:jc w:val="left"/>
        <w:rPr>
          <w:rFonts w:ascii="Source Sans Pro" w:eastAsia="宋体" w:hAnsi="Source Sans Pro" w:cs="Calibri"/>
          <w:b/>
          <w:bCs/>
          <w:sz w:val="22"/>
        </w:rPr>
      </w:pPr>
      <w:r>
        <w:rPr>
          <w:noProof/>
        </w:rPr>
        <w:lastRenderedPageBreak/>
        <w:drawing>
          <wp:anchor distT="0" distB="0" distL="114300" distR="114300" simplePos="0" relativeHeight="251663360" behindDoc="0" locked="0" layoutInCell="1" allowOverlap="1" wp14:anchorId="1196DEA3" wp14:editId="014285E8">
            <wp:simplePos x="0" y="0"/>
            <wp:positionH relativeFrom="column">
              <wp:posOffset>0</wp:posOffset>
            </wp:positionH>
            <wp:positionV relativeFrom="paragraph">
              <wp:posOffset>295910</wp:posOffset>
            </wp:positionV>
            <wp:extent cx="5274310" cy="7042785"/>
            <wp:effectExtent l="0" t="0" r="2540" b="5715"/>
            <wp:wrapTopAndBottom/>
            <wp:docPr id="3301202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7042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5F62AD" w14:textId="04A3122A" w:rsidR="00AD6508" w:rsidRPr="00A65753" w:rsidRDefault="003C3327" w:rsidP="00AD4A37">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t>Figure S</w:t>
      </w:r>
      <w:r w:rsidR="00F00B5F">
        <w:rPr>
          <w:rFonts w:ascii="Source Sans Pro" w:eastAsia="宋体" w:hAnsi="Source Sans Pro" w:cs="Calibri"/>
          <w:b/>
          <w:bCs/>
          <w:sz w:val="22"/>
        </w:rPr>
        <w:t>5</w:t>
      </w:r>
      <w:r w:rsidRPr="00392614">
        <w:rPr>
          <w:rFonts w:ascii="Source Sans Pro" w:eastAsia="宋体" w:hAnsi="Source Sans Pro" w:cs="Calibri"/>
          <w:b/>
          <w:bCs/>
          <w:sz w:val="22"/>
        </w:rPr>
        <w:t xml:space="preserve">. </w:t>
      </w:r>
      <w:r w:rsidR="000D6814" w:rsidRPr="00484BD0">
        <w:rPr>
          <w:rFonts w:ascii="Source Sans Pro" w:eastAsia="宋体" w:hAnsi="Source Sans Pro" w:cs="Calibri"/>
          <w:b/>
          <w:bCs/>
          <w:sz w:val="22"/>
        </w:rPr>
        <w:t xml:space="preserve">Kaplan-Meier survival </w:t>
      </w:r>
      <w:r w:rsidR="00484BD0">
        <w:rPr>
          <w:rFonts w:ascii="Source Sans Pro" w:eastAsia="宋体" w:hAnsi="Source Sans Pro" w:cs="Calibri"/>
          <w:b/>
          <w:bCs/>
          <w:sz w:val="22"/>
        </w:rPr>
        <w:t xml:space="preserve">analysis </w:t>
      </w:r>
      <w:r w:rsidR="000D6814" w:rsidRPr="00484BD0">
        <w:rPr>
          <w:rFonts w:ascii="Source Sans Pro" w:eastAsia="宋体" w:hAnsi="Source Sans Pro" w:cs="Calibri"/>
          <w:b/>
          <w:bCs/>
          <w:sz w:val="22"/>
        </w:rPr>
        <w:t xml:space="preserve">of overall survival for patients </w:t>
      </w:r>
      <w:r w:rsidR="00A65753" w:rsidRPr="00A65753">
        <w:rPr>
          <w:rFonts w:ascii="Source Sans Pro" w:eastAsia="宋体" w:hAnsi="Source Sans Pro" w:cs="Calibri"/>
          <w:b/>
          <w:bCs/>
          <w:sz w:val="22"/>
        </w:rPr>
        <w:t>stratified</w:t>
      </w:r>
      <w:r w:rsidR="00A65753">
        <w:rPr>
          <w:rFonts w:ascii="Source Sans Pro" w:eastAsia="宋体" w:hAnsi="Source Sans Pro" w:cs="Calibri"/>
          <w:b/>
          <w:bCs/>
          <w:sz w:val="22"/>
        </w:rPr>
        <w:t xml:space="preserve"> by DPS subtypes plus </w:t>
      </w:r>
      <w:r w:rsidR="000D6814" w:rsidRPr="00484BD0">
        <w:rPr>
          <w:rFonts w:ascii="Source Sans Pro" w:eastAsia="宋体" w:hAnsi="Source Sans Pro" w:cs="Calibri"/>
          <w:b/>
          <w:bCs/>
          <w:sz w:val="22"/>
        </w:rPr>
        <w:t>IDH mutation status,</w:t>
      </w:r>
      <w:r w:rsidR="00A65753">
        <w:rPr>
          <w:rFonts w:ascii="Source Sans Pro" w:eastAsia="宋体" w:hAnsi="Source Sans Pro" w:cs="Calibri"/>
          <w:b/>
          <w:bCs/>
          <w:sz w:val="22"/>
        </w:rPr>
        <w:t xml:space="preserve"> </w:t>
      </w:r>
      <w:r w:rsidR="000D6814" w:rsidRPr="00484BD0">
        <w:rPr>
          <w:rFonts w:ascii="Source Sans Pro" w:eastAsia="宋体" w:hAnsi="Source Sans Pro" w:cs="Calibri"/>
          <w:b/>
          <w:bCs/>
          <w:sz w:val="22"/>
        </w:rPr>
        <w:t>1p/19q codeletion status</w:t>
      </w:r>
      <w:r w:rsidR="00484BD0">
        <w:rPr>
          <w:rFonts w:ascii="Source Sans Pro" w:eastAsia="宋体" w:hAnsi="Source Sans Pro" w:cs="Calibri"/>
          <w:b/>
          <w:bCs/>
          <w:sz w:val="22"/>
        </w:rPr>
        <w:t>,</w:t>
      </w:r>
      <w:r w:rsidR="000D6814" w:rsidRPr="00484BD0">
        <w:rPr>
          <w:rFonts w:ascii="Source Sans Pro" w:eastAsia="宋体" w:hAnsi="Source Sans Pro" w:cs="Calibri"/>
          <w:b/>
          <w:bCs/>
          <w:sz w:val="22"/>
        </w:rPr>
        <w:t xml:space="preserve"> </w:t>
      </w:r>
      <w:r w:rsidR="00A65753">
        <w:rPr>
          <w:rFonts w:ascii="Source Sans Pro" w:eastAsia="宋体" w:hAnsi="Source Sans Pro" w:cs="Calibri"/>
          <w:b/>
          <w:bCs/>
          <w:sz w:val="22"/>
        </w:rPr>
        <w:t xml:space="preserve">or </w:t>
      </w:r>
      <w:r w:rsidR="000D6814" w:rsidRPr="00484BD0">
        <w:rPr>
          <w:rFonts w:ascii="Source Sans Pro" w:eastAsia="宋体" w:hAnsi="Source Sans Pro" w:cs="Calibri"/>
          <w:b/>
          <w:bCs/>
          <w:sz w:val="22"/>
        </w:rPr>
        <w:t xml:space="preserve">tumor grade. </w:t>
      </w:r>
      <w:r w:rsidR="000D6814" w:rsidRPr="00392614">
        <w:rPr>
          <w:rFonts w:ascii="Source Sans Pro" w:eastAsia="宋体" w:hAnsi="Source Sans Pro" w:cs="Calibri"/>
          <w:sz w:val="22"/>
        </w:rPr>
        <w:t>Comparisons of the survival curves were performed with a two-sided log-rank test.</w:t>
      </w:r>
    </w:p>
    <w:p w14:paraId="392A1FFB" w14:textId="510C91FF" w:rsidR="00AD6508" w:rsidRPr="00392614" w:rsidRDefault="00AD6508" w:rsidP="00AD4A37">
      <w:pPr>
        <w:widowControl/>
        <w:spacing w:line="360" w:lineRule="auto"/>
        <w:jc w:val="left"/>
        <w:rPr>
          <w:rFonts w:ascii="Source Sans Pro" w:eastAsia="宋体" w:hAnsi="Source Sans Pro" w:cs="Calibri"/>
          <w:b/>
          <w:bCs/>
          <w:sz w:val="22"/>
        </w:rPr>
      </w:pPr>
    </w:p>
    <w:p w14:paraId="24350E91" w14:textId="1C9A7441" w:rsidR="00AD6508" w:rsidRPr="00392614" w:rsidRDefault="00AD6508" w:rsidP="00AD4A37">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br w:type="page"/>
      </w:r>
    </w:p>
    <w:p w14:paraId="121EED39" w14:textId="7EFC8535" w:rsidR="00AD6508" w:rsidRPr="00392614" w:rsidRDefault="00AD6508" w:rsidP="00AD4A37">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lastRenderedPageBreak/>
        <w:br w:type="page"/>
      </w:r>
      <w:r w:rsidR="00771DD3">
        <w:rPr>
          <w:noProof/>
        </w:rPr>
        <w:drawing>
          <wp:anchor distT="0" distB="0" distL="114300" distR="114300" simplePos="0" relativeHeight="251669504" behindDoc="0" locked="0" layoutInCell="1" allowOverlap="1" wp14:anchorId="42D7F45F" wp14:editId="02DBA4C8">
            <wp:simplePos x="0" y="0"/>
            <wp:positionH relativeFrom="column">
              <wp:posOffset>0</wp:posOffset>
            </wp:positionH>
            <wp:positionV relativeFrom="paragraph">
              <wp:posOffset>295910</wp:posOffset>
            </wp:positionV>
            <wp:extent cx="5274310" cy="4047490"/>
            <wp:effectExtent l="0" t="0" r="2540" b="0"/>
            <wp:wrapTopAndBottom/>
            <wp:docPr id="125193960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4047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C7FA2F" w14:textId="65B199A2" w:rsidR="000D6814" w:rsidRPr="00392614" w:rsidRDefault="003C3327" w:rsidP="000D6814">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lastRenderedPageBreak/>
        <w:t>Figure S</w:t>
      </w:r>
      <w:r w:rsidR="00F00B5F">
        <w:rPr>
          <w:rFonts w:ascii="Source Sans Pro" w:eastAsia="宋体" w:hAnsi="Source Sans Pro" w:cs="Calibri"/>
          <w:b/>
          <w:bCs/>
          <w:sz w:val="22"/>
        </w:rPr>
        <w:t>6</w:t>
      </w:r>
      <w:r w:rsidRPr="00392614">
        <w:rPr>
          <w:rFonts w:ascii="Source Sans Pro" w:eastAsia="宋体" w:hAnsi="Source Sans Pro" w:cs="Calibri"/>
          <w:b/>
          <w:bCs/>
          <w:sz w:val="22"/>
        </w:rPr>
        <w:t xml:space="preserve">. </w:t>
      </w:r>
      <w:r w:rsidR="00240C3A" w:rsidRPr="00392614">
        <w:rPr>
          <w:rFonts w:ascii="Source Sans Pro" w:eastAsia="宋体" w:hAnsi="Source Sans Pro" w:cs="Calibri"/>
          <w:b/>
          <w:bCs/>
          <w:sz w:val="22"/>
        </w:rPr>
        <w:t xml:space="preserve">The </w:t>
      </w:r>
      <w:r w:rsidR="00BA4EEA">
        <w:rPr>
          <w:rFonts w:ascii="Source Sans Pro" w:eastAsia="宋体" w:hAnsi="Source Sans Pro" w:cs="Calibri"/>
          <w:b/>
          <w:bCs/>
          <w:sz w:val="22"/>
        </w:rPr>
        <w:t xml:space="preserve">ratios of </w:t>
      </w:r>
      <w:bookmarkStart w:id="3" w:name="_Hlk155309973"/>
      <w:r w:rsidR="000D6814" w:rsidRPr="00392614">
        <w:rPr>
          <w:rFonts w:ascii="Source Sans Pro" w:eastAsia="宋体" w:hAnsi="Source Sans Pro" w:cs="Calibri"/>
          <w:b/>
          <w:bCs/>
          <w:sz w:val="22"/>
        </w:rPr>
        <w:t>tumor-stroma</w:t>
      </w:r>
      <w:bookmarkEnd w:id="3"/>
      <w:r w:rsidR="000D6814" w:rsidRPr="00392614">
        <w:rPr>
          <w:rFonts w:ascii="Source Sans Pro" w:eastAsia="宋体" w:hAnsi="Source Sans Pro" w:cs="Calibri"/>
          <w:b/>
          <w:bCs/>
          <w:sz w:val="22"/>
        </w:rPr>
        <w:t>, tumor-</w:t>
      </w:r>
      <w:r w:rsidR="00BA4EEA" w:rsidRPr="00BA4EEA">
        <w:rPr>
          <w:rFonts w:ascii="Source Sans Pro" w:eastAsia="宋体" w:hAnsi="Source Sans Pro" w:cs="Calibri"/>
          <w:b/>
          <w:bCs/>
          <w:sz w:val="22"/>
        </w:rPr>
        <w:t>necrosis</w:t>
      </w:r>
      <w:r w:rsidR="00BA4EEA">
        <w:rPr>
          <w:rFonts w:ascii="Source Sans Pro" w:eastAsia="宋体" w:hAnsi="Source Sans Pro" w:cs="Calibri"/>
          <w:b/>
          <w:bCs/>
          <w:sz w:val="22"/>
        </w:rPr>
        <w:t xml:space="preserve">, </w:t>
      </w:r>
      <w:r w:rsidR="000D6814" w:rsidRPr="00392614">
        <w:rPr>
          <w:rFonts w:ascii="Source Sans Pro" w:eastAsia="宋体" w:hAnsi="Source Sans Pro" w:cs="Calibri"/>
          <w:b/>
          <w:bCs/>
          <w:sz w:val="22"/>
        </w:rPr>
        <w:t xml:space="preserve">and tumor-inflammation </w:t>
      </w:r>
      <w:r w:rsidR="00BA4EEA">
        <w:rPr>
          <w:rFonts w:ascii="Source Sans Pro" w:eastAsia="宋体" w:hAnsi="Source Sans Pro" w:cs="Calibri"/>
          <w:b/>
          <w:bCs/>
          <w:sz w:val="22"/>
        </w:rPr>
        <w:t xml:space="preserve">between the two DPS subtypes, and their correlations with </w:t>
      </w:r>
      <w:r w:rsidR="00FF7726">
        <w:rPr>
          <w:rFonts w:ascii="Source Sans Pro" w:eastAsia="宋体" w:hAnsi="Source Sans Pro" w:cs="Calibri"/>
          <w:b/>
          <w:bCs/>
          <w:sz w:val="22"/>
        </w:rPr>
        <w:t>DPS</w:t>
      </w:r>
      <w:r w:rsidR="00BA4EEA">
        <w:rPr>
          <w:rFonts w:ascii="Source Sans Pro" w:eastAsia="宋体" w:hAnsi="Source Sans Pro" w:cs="Calibri"/>
          <w:b/>
          <w:bCs/>
          <w:sz w:val="22"/>
        </w:rPr>
        <w:t xml:space="preserve">. </w:t>
      </w:r>
    </w:p>
    <w:p w14:paraId="571EABE5" w14:textId="6A6EE285" w:rsidR="009D228F" w:rsidRDefault="009D228F"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w:t>
      </w:r>
      <w:r>
        <w:rPr>
          <w:rFonts w:ascii="Source Sans Pro" w:eastAsia="宋体" w:hAnsi="Source Sans Pro" w:cs="Calibri"/>
          <w:sz w:val="22"/>
        </w:rPr>
        <w:t>A</w:t>
      </w:r>
      <w:r w:rsidRPr="00392614">
        <w:rPr>
          <w:rFonts w:ascii="Source Sans Pro" w:eastAsia="宋体" w:hAnsi="Source Sans Pro" w:cs="Calibri"/>
          <w:sz w:val="22"/>
        </w:rPr>
        <w:t>)</w:t>
      </w:r>
      <w:r>
        <w:rPr>
          <w:rFonts w:ascii="Source Sans Pro" w:eastAsia="宋体" w:hAnsi="Source Sans Pro" w:cs="Calibri"/>
          <w:sz w:val="22"/>
        </w:rPr>
        <w:t xml:space="preserve">. </w:t>
      </w:r>
      <w:r w:rsidRPr="009D228F">
        <w:rPr>
          <w:rFonts w:ascii="Source Sans Pro" w:eastAsia="宋体" w:hAnsi="Source Sans Pro" w:cs="Calibri"/>
          <w:sz w:val="22"/>
        </w:rPr>
        <w:t xml:space="preserve">A boxplot was used to compare the tumor-stroma ratio, tumor-necrosis ratio, and tumor-inflammation ratio between </w:t>
      </w:r>
      <w:r>
        <w:rPr>
          <w:rFonts w:ascii="Source Sans Pro" w:eastAsia="宋体" w:hAnsi="Source Sans Pro" w:cs="Calibri"/>
          <w:sz w:val="22"/>
        </w:rPr>
        <w:t xml:space="preserve">the </w:t>
      </w:r>
      <w:r w:rsidRPr="009D228F">
        <w:rPr>
          <w:rFonts w:ascii="Source Sans Pro" w:eastAsia="宋体" w:hAnsi="Source Sans Pro" w:cs="Calibri"/>
          <w:sz w:val="22"/>
        </w:rPr>
        <w:t>high</w:t>
      </w:r>
      <w:r>
        <w:rPr>
          <w:rFonts w:ascii="Source Sans Pro" w:eastAsia="宋体" w:hAnsi="Source Sans Pro" w:cs="Calibri"/>
          <w:sz w:val="22"/>
        </w:rPr>
        <w:t>-</w:t>
      </w:r>
      <w:r w:rsidRPr="009D228F">
        <w:rPr>
          <w:rFonts w:ascii="Source Sans Pro" w:eastAsia="宋体" w:hAnsi="Source Sans Pro" w:cs="Calibri"/>
          <w:sz w:val="22"/>
        </w:rPr>
        <w:t xml:space="preserve"> and low</w:t>
      </w:r>
      <w:r>
        <w:rPr>
          <w:rFonts w:ascii="Source Sans Pro" w:eastAsia="宋体" w:hAnsi="Source Sans Pro" w:cs="Calibri"/>
          <w:sz w:val="22"/>
        </w:rPr>
        <w:t>-</w:t>
      </w:r>
      <w:r w:rsidRPr="009D228F">
        <w:rPr>
          <w:rFonts w:ascii="Source Sans Pro" w:eastAsia="宋体" w:hAnsi="Source Sans Pro" w:cs="Calibri"/>
          <w:sz w:val="22"/>
        </w:rPr>
        <w:t xml:space="preserve">DPS </w:t>
      </w:r>
      <w:r>
        <w:rPr>
          <w:rFonts w:ascii="Source Sans Pro" w:eastAsia="宋体" w:hAnsi="Source Sans Pro" w:cs="Calibri"/>
          <w:sz w:val="22"/>
        </w:rPr>
        <w:t>subtypes</w:t>
      </w:r>
      <w:r w:rsidRPr="009D228F">
        <w:rPr>
          <w:rFonts w:ascii="Source Sans Pro" w:eastAsia="宋体" w:hAnsi="Source Sans Pro" w:cs="Calibri"/>
          <w:sz w:val="22"/>
        </w:rPr>
        <w:t>. The boxplot indicates a significant difference in the tumor-stroma ratio between DPS sub</w:t>
      </w:r>
      <w:r>
        <w:rPr>
          <w:rFonts w:ascii="Source Sans Pro" w:eastAsia="宋体" w:hAnsi="Source Sans Pro" w:cs="Calibri"/>
          <w:sz w:val="22"/>
        </w:rPr>
        <w:t xml:space="preserve">types. Note: </w:t>
      </w:r>
      <w:r w:rsidRPr="009D228F">
        <w:rPr>
          <w:rFonts w:ascii="Source Sans Pro" w:eastAsia="宋体" w:hAnsi="Source Sans Pro" w:cs="Calibri"/>
          <w:sz w:val="22"/>
        </w:rPr>
        <w:t>**, p &lt; 0.01; ns, p &gt; 0.05</w:t>
      </w:r>
      <w:r>
        <w:rPr>
          <w:rFonts w:ascii="Source Sans Pro" w:eastAsia="宋体" w:hAnsi="Source Sans Pro" w:cs="Calibri"/>
          <w:sz w:val="22"/>
        </w:rPr>
        <w:t xml:space="preserve">. </w:t>
      </w:r>
    </w:p>
    <w:p w14:paraId="00A169AE" w14:textId="4C93A49B" w:rsidR="002E32CF" w:rsidRDefault="00240C3A"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w:t>
      </w:r>
      <w:r w:rsidR="009D228F">
        <w:rPr>
          <w:rFonts w:ascii="Source Sans Pro" w:eastAsia="宋体" w:hAnsi="Source Sans Pro" w:cs="Calibri"/>
          <w:sz w:val="22"/>
        </w:rPr>
        <w:t>B</w:t>
      </w:r>
      <w:r w:rsidRPr="00392614">
        <w:rPr>
          <w:rFonts w:ascii="Source Sans Pro" w:eastAsia="宋体" w:hAnsi="Source Sans Pro" w:cs="Calibri"/>
          <w:sz w:val="22"/>
        </w:rPr>
        <w:t>)</w:t>
      </w:r>
      <w:r w:rsidR="002C7C5C">
        <w:rPr>
          <w:rFonts w:ascii="Source Sans Pro" w:eastAsia="宋体" w:hAnsi="Source Sans Pro" w:cs="Calibri"/>
          <w:sz w:val="22"/>
        </w:rPr>
        <w:t>.</w:t>
      </w:r>
      <w:r w:rsidRPr="00392614">
        <w:rPr>
          <w:rFonts w:ascii="Source Sans Pro" w:eastAsia="宋体" w:hAnsi="Source Sans Pro" w:cs="Calibri"/>
          <w:sz w:val="22"/>
        </w:rPr>
        <w:t xml:space="preserve"> </w:t>
      </w:r>
      <w:r w:rsidR="000D6814" w:rsidRPr="00392614">
        <w:rPr>
          <w:rFonts w:ascii="Source Sans Pro" w:eastAsia="宋体" w:hAnsi="Source Sans Pro" w:cs="Calibri"/>
          <w:sz w:val="22"/>
        </w:rPr>
        <w:t>A linear trend was added to a scatter plot</w:t>
      </w:r>
      <w:r w:rsidR="00794E5B">
        <w:rPr>
          <w:rFonts w:ascii="Source Sans Pro" w:eastAsia="宋体" w:hAnsi="Source Sans Pro" w:cs="Calibri"/>
          <w:sz w:val="22"/>
        </w:rPr>
        <w:t xml:space="preserve">, </w:t>
      </w:r>
      <w:r w:rsidR="00794E5B" w:rsidRPr="00794E5B">
        <w:rPr>
          <w:rFonts w:ascii="Source Sans Pro" w:eastAsia="宋体" w:hAnsi="Source Sans Pro" w:cs="Calibri"/>
          <w:sz w:val="22"/>
        </w:rPr>
        <w:t>with marginal histograms illustrating the distribution of variables on each axis</w:t>
      </w:r>
      <w:r w:rsidR="000D6814" w:rsidRPr="00392614">
        <w:rPr>
          <w:rFonts w:ascii="Source Sans Pro" w:eastAsia="宋体" w:hAnsi="Source Sans Pro" w:cs="Calibri"/>
          <w:sz w:val="22"/>
        </w:rPr>
        <w:t xml:space="preserve">. </w:t>
      </w:r>
      <w:r w:rsidR="00FF7726" w:rsidRPr="00FF7726">
        <w:rPr>
          <w:rFonts w:ascii="Source Sans Pro" w:eastAsia="宋体" w:hAnsi="Source Sans Pro" w:cs="Calibri"/>
          <w:sz w:val="22"/>
        </w:rPr>
        <w:t xml:space="preserve">Pearson's correlation analysis revealed a negative correlation between the tumor-stroma ratio and DPS (r = -0.3, P = 0.00059). </w:t>
      </w:r>
    </w:p>
    <w:p w14:paraId="5CD41D63" w14:textId="77777777" w:rsidR="002B5E19" w:rsidRPr="00392614" w:rsidRDefault="002B5E19" w:rsidP="00AD4A37">
      <w:pPr>
        <w:widowControl/>
        <w:spacing w:line="360" w:lineRule="auto"/>
        <w:jc w:val="left"/>
        <w:rPr>
          <w:rFonts w:ascii="Source Sans Pro" w:eastAsia="宋体" w:hAnsi="Source Sans Pro" w:cs="Calibri"/>
          <w:b/>
          <w:bCs/>
          <w:sz w:val="22"/>
        </w:rPr>
      </w:pPr>
    </w:p>
    <w:p w14:paraId="410A19A7" w14:textId="29D554AC" w:rsidR="000D6814" w:rsidRPr="00392614" w:rsidRDefault="00AD6508" w:rsidP="000D6814">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br w:type="page"/>
      </w:r>
      <w:r w:rsidR="009C4C1E">
        <w:rPr>
          <w:noProof/>
        </w:rPr>
        <w:lastRenderedPageBreak/>
        <w:drawing>
          <wp:anchor distT="0" distB="0" distL="114300" distR="114300" simplePos="0" relativeHeight="251671552" behindDoc="0" locked="0" layoutInCell="1" allowOverlap="1" wp14:anchorId="15B9EF9A" wp14:editId="50028341">
            <wp:simplePos x="0" y="0"/>
            <wp:positionH relativeFrom="column">
              <wp:posOffset>0</wp:posOffset>
            </wp:positionH>
            <wp:positionV relativeFrom="paragraph">
              <wp:posOffset>147320</wp:posOffset>
            </wp:positionV>
            <wp:extent cx="5274310" cy="6333490"/>
            <wp:effectExtent l="0" t="0" r="2540" b="0"/>
            <wp:wrapTopAndBottom/>
            <wp:docPr id="11280639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5360"/>
                    <a:stretch/>
                  </pic:blipFill>
                  <pic:spPr bwMode="auto">
                    <a:xfrm>
                      <a:off x="0" y="0"/>
                      <a:ext cx="5274310" cy="6333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3327" w:rsidRPr="00392614">
        <w:rPr>
          <w:rFonts w:ascii="Source Sans Pro" w:eastAsia="宋体" w:hAnsi="Source Sans Pro" w:cs="Calibri"/>
          <w:b/>
          <w:bCs/>
          <w:sz w:val="22"/>
        </w:rPr>
        <w:t>Figure S</w:t>
      </w:r>
      <w:r w:rsidR="00076EF0">
        <w:rPr>
          <w:rFonts w:ascii="Source Sans Pro" w:eastAsia="宋体" w:hAnsi="Source Sans Pro" w:cs="Calibri"/>
          <w:b/>
          <w:bCs/>
          <w:sz w:val="22"/>
        </w:rPr>
        <w:t>7</w:t>
      </w:r>
      <w:r w:rsidR="003C3327" w:rsidRPr="00392614">
        <w:rPr>
          <w:rFonts w:ascii="Source Sans Pro" w:eastAsia="宋体" w:hAnsi="Source Sans Pro" w:cs="Calibri"/>
          <w:b/>
          <w:bCs/>
          <w:sz w:val="22"/>
        </w:rPr>
        <w:t xml:space="preserve">. </w:t>
      </w:r>
      <w:r w:rsidR="000D6814" w:rsidRPr="00392614">
        <w:rPr>
          <w:rFonts w:ascii="Source Sans Pro" w:eastAsia="宋体" w:hAnsi="Source Sans Pro" w:cs="Calibri"/>
          <w:b/>
          <w:bCs/>
          <w:sz w:val="22"/>
        </w:rPr>
        <w:t xml:space="preserve">Genomic alterations in </w:t>
      </w:r>
      <w:r w:rsidR="00031E00">
        <w:rPr>
          <w:rFonts w:ascii="Source Sans Pro" w:eastAsia="宋体" w:hAnsi="Source Sans Pro" w:cs="Calibri"/>
          <w:b/>
          <w:bCs/>
          <w:sz w:val="22"/>
        </w:rPr>
        <w:t xml:space="preserve">the </w:t>
      </w:r>
      <w:r w:rsidR="000D6814" w:rsidRPr="00392614">
        <w:rPr>
          <w:rFonts w:ascii="Source Sans Pro" w:eastAsia="宋体" w:hAnsi="Source Sans Pro" w:cs="Calibri"/>
          <w:b/>
          <w:bCs/>
          <w:sz w:val="22"/>
        </w:rPr>
        <w:t xml:space="preserve">two </w:t>
      </w:r>
      <w:r w:rsidR="00592565">
        <w:rPr>
          <w:rFonts w:ascii="Source Sans Pro" w:eastAsia="宋体" w:hAnsi="Source Sans Pro" w:cs="Calibri"/>
          <w:b/>
          <w:bCs/>
          <w:sz w:val="22"/>
        </w:rPr>
        <w:t>DPS</w:t>
      </w:r>
      <w:r w:rsidR="000D6814" w:rsidRPr="00392614">
        <w:rPr>
          <w:rFonts w:ascii="Source Sans Pro" w:eastAsia="宋体" w:hAnsi="Source Sans Pro" w:cs="Calibri"/>
          <w:b/>
          <w:bCs/>
          <w:sz w:val="22"/>
        </w:rPr>
        <w:t xml:space="preserve"> subtypes. </w:t>
      </w:r>
    </w:p>
    <w:p w14:paraId="3B86F44F" w14:textId="1F56D4C9" w:rsidR="000D6814" w:rsidRPr="00392614" w:rsidRDefault="00B414C9"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w:t>
      </w:r>
      <w:r w:rsidR="000D6814" w:rsidRPr="00392614">
        <w:rPr>
          <w:rFonts w:ascii="Source Sans Pro" w:eastAsia="宋体" w:hAnsi="Source Sans Pro" w:cs="Calibri"/>
          <w:sz w:val="22"/>
        </w:rPr>
        <w:t>A-B</w:t>
      </w:r>
      <w:r w:rsidRPr="00392614">
        <w:rPr>
          <w:rFonts w:ascii="Source Sans Pro" w:eastAsia="宋体" w:hAnsi="Source Sans Pro" w:cs="Calibri"/>
          <w:sz w:val="22"/>
        </w:rPr>
        <w:t>)</w:t>
      </w:r>
      <w:r w:rsidR="000D6814" w:rsidRPr="00392614">
        <w:rPr>
          <w:rFonts w:ascii="Source Sans Pro" w:eastAsia="宋体" w:hAnsi="Source Sans Pro" w:cs="Calibri"/>
          <w:sz w:val="22"/>
        </w:rPr>
        <w:t xml:space="preserve">. </w:t>
      </w:r>
      <w:r w:rsidR="00031E00" w:rsidRPr="00031E00">
        <w:rPr>
          <w:rFonts w:ascii="Source Sans Pro" w:eastAsia="宋体" w:hAnsi="Source Sans Pro" w:cs="Calibri"/>
          <w:sz w:val="22"/>
        </w:rPr>
        <w:t>The oncoplot displays the 20 most frequently mutated genes and their mutation types within each sub</w:t>
      </w:r>
      <w:r w:rsidR="00D33273">
        <w:rPr>
          <w:rFonts w:ascii="Source Sans Pro" w:eastAsia="宋体" w:hAnsi="Source Sans Pro" w:cs="Calibri"/>
          <w:sz w:val="22"/>
        </w:rPr>
        <w:t>type</w:t>
      </w:r>
      <w:r w:rsidR="00031E00" w:rsidRPr="00031E00">
        <w:rPr>
          <w:rFonts w:ascii="Source Sans Pro" w:eastAsia="宋体" w:hAnsi="Source Sans Pro" w:cs="Calibri"/>
          <w:sz w:val="22"/>
        </w:rPr>
        <w:t xml:space="preserve"> of DPS. Different colors represent different mutation types, and the paragraph provides the percentage of patients affected.</w:t>
      </w:r>
    </w:p>
    <w:p w14:paraId="43574FF8" w14:textId="2F3AE52B" w:rsidR="000D6814" w:rsidRPr="00392614" w:rsidRDefault="00B414C9"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w:t>
      </w:r>
      <w:r w:rsidR="000D6814" w:rsidRPr="00392614">
        <w:rPr>
          <w:rFonts w:ascii="Source Sans Pro" w:eastAsia="宋体" w:hAnsi="Source Sans Pro" w:cs="Calibri"/>
          <w:sz w:val="22"/>
        </w:rPr>
        <w:t>C-D</w:t>
      </w:r>
      <w:r w:rsidRPr="00392614">
        <w:rPr>
          <w:rFonts w:ascii="Source Sans Pro" w:eastAsia="宋体" w:hAnsi="Source Sans Pro" w:cs="Calibri"/>
          <w:sz w:val="22"/>
        </w:rPr>
        <w:t>)</w:t>
      </w:r>
      <w:r w:rsidR="000D6814" w:rsidRPr="00392614">
        <w:rPr>
          <w:rFonts w:ascii="Source Sans Pro" w:eastAsia="宋体" w:hAnsi="Source Sans Pro" w:cs="Calibri"/>
          <w:sz w:val="22"/>
        </w:rPr>
        <w:t>. Mutual exclusion and synergistic heatmaps of mutated genes in high-DPS (left</w:t>
      </w:r>
      <w:r w:rsidR="007C240F">
        <w:rPr>
          <w:rFonts w:ascii="Source Sans Pro" w:eastAsia="宋体" w:hAnsi="Source Sans Pro" w:cs="Calibri"/>
          <w:sz w:val="22"/>
        </w:rPr>
        <w:t xml:space="preserve"> </w:t>
      </w:r>
      <w:r w:rsidR="007C240F" w:rsidRPr="007C240F">
        <w:rPr>
          <w:rFonts w:ascii="Source Sans Pro" w:eastAsia="宋体" w:hAnsi="Source Sans Pro" w:cs="Calibri"/>
          <w:sz w:val="22"/>
        </w:rPr>
        <w:t>panel</w:t>
      </w:r>
      <w:r w:rsidR="000D6814" w:rsidRPr="00392614">
        <w:rPr>
          <w:rFonts w:ascii="Source Sans Pro" w:eastAsia="宋体" w:hAnsi="Source Sans Pro" w:cs="Calibri"/>
          <w:sz w:val="22"/>
        </w:rPr>
        <w:t>) and low-DPS (right</w:t>
      </w:r>
      <w:r w:rsidR="007C240F">
        <w:rPr>
          <w:rFonts w:ascii="Source Sans Pro" w:eastAsia="宋体" w:hAnsi="Source Sans Pro" w:cs="Calibri"/>
          <w:sz w:val="22"/>
        </w:rPr>
        <w:t xml:space="preserve"> </w:t>
      </w:r>
      <w:r w:rsidR="007C240F" w:rsidRPr="007C240F">
        <w:rPr>
          <w:rFonts w:ascii="Source Sans Pro" w:eastAsia="宋体" w:hAnsi="Source Sans Pro" w:cs="Calibri"/>
          <w:sz w:val="22"/>
        </w:rPr>
        <w:t>panel</w:t>
      </w:r>
      <w:r w:rsidR="000D6814" w:rsidRPr="00392614">
        <w:rPr>
          <w:rFonts w:ascii="Source Sans Pro" w:eastAsia="宋体" w:hAnsi="Source Sans Pro" w:cs="Calibri"/>
          <w:sz w:val="22"/>
        </w:rPr>
        <w:t xml:space="preserve">) </w:t>
      </w:r>
      <w:r w:rsidR="00D33273">
        <w:rPr>
          <w:rFonts w:ascii="Source Sans Pro" w:eastAsia="宋体" w:hAnsi="Source Sans Pro" w:cs="Calibri"/>
          <w:sz w:val="22"/>
        </w:rPr>
        <w:t>subtype</w:t>
      </w:r>
      <w:r w:rsidR="000D6814" w:rsidRPr="00392614">
        <w:rPr>
          <w:rFonts w:ascii="Source Sans Pro" w:eastAsia="宋体" w:hAnsi="Source Sans Pro" w:cs="Calibri"/>
          <w:sz w:val="22"/>
        </w:rPr>
        <w:t xml:space="preserve">s. </w:t>
      </w:r>
    </w:p>
    <w:p w14:paraId="07A3ABB3" w14:textId="66025657" w:rsidR="000D6814" w:rsidRPr="00392614" w:rsidRDefault="00B414C9"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w:t>
      </w:r>
      <w:r w:rsidR="000D6814" w:rsidRPr="00392614">
        <w:rPr>
          <w:rFonts w:ascii="Source Sans Pro" w:eastAsia="宋体" w:hAnsi="Source Sans Pro" w:cs="Calibri"/>
          <w:sz w:val="22"/>
        </w:rPr>
        <w:t>E-F</w:t>
      </w:r>
      <w:r w:rsidRPr="00392614">
        <w:rPr>
          <w:rFonts w:ascii="Source Sans Pro" w:eastAsia="宋体" w:hAnsi="Source Sans Pro" w:cs="Calibri"/>
          <w:sz w:val="22"/>
        </w:rPr>
        <w:t>)</w:t>
      </w:r>
      <w:r w:rsidR="000D6814" w:rsidRPr="00392614">
        <w:rPr>
          <w:rFonts w:ascii="Source Sans Pro" w:eastAsia="宋体" w:hAnsi="Source Sans Pro" w:cs="Calibri"/>
          <w:sz w:val="22"/>
        </w:rPr>
        <w:t xml:space="preserve">. </w:t>
      </w:r>
      <w:r w:rsidR="0077082C" w:rsidRPr="0077082C">
        <w:rPr>
          <w:rFonts w:ascii="Source Sans Pro" w:eastAsia="宋体" w:hAnsi="Source Sans Pro" w:cs="Calibri"/>
          <w:sz w:val="22"/>
        </w:rPr>
        <w:t>Composite copy number profiles depict gains (in red) and losses (in blue) in the high- and low-DPS subtypes</w:t>
      </w:r>
      <w:r w:rsidR="0077082C">
        <w:rPr>
          <w:rFonts w:ascii="Source Sans Pro" w:eastAsia="宋体" w:hAnsi="Source Sans Pro" w:cs="Calibri"/>
          <w:sz w:val="22"/>
        </w:rPr>
        <w:t>. G</w:t>
      </w:r>
      <w:r w:rsidR="000D6814" w:rsidRPr="00392614">
        <w:rPr>
          <w:rFonts w:ascii="Source Sans Pro" w:eastAsia="宋体" w:hAnsi="Source Sans Pro" w:cs="Calibri"/>
          <w:sz w:val="22"/>
        </w:rPr>
        <w:t xml:space="preserve">rey </w:t>
      </w:r>
      <w:r w:rsidR="0077082C">
        <w:rPr>
          <w:rFonts w:ascii="Source Sans Pro" w:eastAsia="宋体" w:hAnsi="Source Sans Pro" w:cs="Calibri"/>
          <w:sz w:val="22"/>
        </w:rPr>
        <w:t xml:space="preserve">regions </w:t>
      </w:r>
      <w:r w:rsidR="000D6814" w:rsidRPr="00392614">
        <w:rPr>
          <w:rFonts w:ascii="Source Sans Pro" w:eastAsia="宋体" w:hAnsi="Source Sans Pro" w:cs="Calibri"/>
          <w:sz w:val="22"/>
        </w:rPr>
        <w:t xml:space="preserve">highlight </w:t>
      </w:r>
      <w:r w:rsidR="0077082C">
        <w:rPr>
          <w:rFonts w:ascii="Source Sans Pro" w:eastAsia="宋体" w:hAnsi="Source Sans Pro" w:cs="Calibri"/>
          <w:sz w:val="22"/>
        </w:rPr>
        <w:t xml:space="preserve">the </w:t>
      </w:r>
      <w:r w:rsidR="000D6814" w:rsidRPr="00392614">
        <w:rPr>
          <w:rFonts w:ascii="Source Sans Pro" w:eastAsia="宋体" w:hAnsi="Source Sans Pro" w:cs="Calibri"/>
          <w:sz w:val="22"/>
        </w:rPr>
        <w:t xml:space="preserve">differences between </w:t>
      </w:r>
      <w:r w:rsidR="0077082C">
        <w:rPr>
          <w:rFonts w:ascii="Source Sans Pro" w:eastAsia="宋体" w:hAnsi="Source Sans Pro" w:cs="Calibri"/>
          <w:sz w:val="22"/>
        </w:rPr>
        <w:t xml:space="preserve">the </w:t>
      </w:r>
      <w:r w:rsidR="000D6814" w:rsidRPr="00392614">
        <w:rPr>
          <w:rFonts w:ascii="Source Sans Pro" w:eastAsia="宋体" w:hAnsi="Source Sans Pro" w:cs="Calibri"/>
          <w:sz w:val="22"/>
        </w:rPr>
        <w:t>two sub</w:t>
      </w:r>
      <w:r w:rsidR="00370C72">
        <w:rPr>
          <w:rFonts w:ascii="Source Sans Pro" w:eastAsia="宋体" w:hAnsi="Source Sans Pro" w:cs="Calibri"/>
          <w:sz w:val="22"/>
        </w:rPr>
        <w:t>types</w:t>
      </w:r>
      <w:r w:rsidR="000D6814" w:rsidRPr="00392614">
        <w:rPr>
          <w:rFonts w:ascii="Source Sans Pro" w:eastAsia="宋体" w:hAnsi="Source Sans Pro" w:cs="Calibri"/>
          <w:sz w:val="22"/>
        </w:rPr>
        <w:t>.</w:t>
      </w:r>
      <w:r w:rsidR="0077082C">
        <w:rPr>
          <w:rFonts w:ascii="Source Sans Pro" w:eastAsia="宋体" w:hAnsi="Source Sans Pro" w:cs="Calibri"/>
          <w:sz w:val="22"/>
        </w:rPr>
        <w:t xml:space="preserve"> </w:t>
      </w:r>
    </w:p>
    <w:p w14:paraId="74B9FA59" w14:textId="06688F54" w:rsidR="00FA7A42" w:rsidRPr="00392614" w:rsidRDefault="00B414C9" w:rsidP="00AD4A37">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sz w:val="22"/>
        </w:rPr>
        <w:lastRenderedPageBreak/>
        <w:t>(</w:t>
      </w:r>
      <w:r w:rsidR="000D6814" w:rsidRPr="00392614">
        <w:rPr>
          <w:rFonts w:ascii="Source Sans Pro" w:eastAsia="宋体" w:hAnsi="Source Sans Pro" w:cs="Calibri"/>
          <w:sz w:val="22"/>
        </w:rPr>
        <w:t>G</w:t>
      </w:r>
      <w:r w:rsidRPr="00392614">
        <w:rPr>
          <w:rFonts w:ascii="Source Sans Pro" w:eastAsia="宋体" w:hAnsi="Source Sans Pro" w:cs="Calibri"/>
          <w:sz w:val="22"/>
        </w:rPr>
        <w:t>)</w:t>
      </w:r>
      <w:r w:rsidR="000D6814" w:rsidRPr="00392614">
        <w:rPr>
          <w:rFonts w:ascii="Source Sans Pro" w:eastAsia="宋体" w:hAnsi="Source Sans Pro" w:cs="Calibri"/>
          <w:sz w:val="22"/>
        </w:rPr>
        <w:t>. Comparison of somatic copy number variations between the high</w:t>
      </w:r>
      <w:r w:rsidR="00370C72">
        <w:rPr>
          <w:rFonts w:ascii="Source Sans Pro" w:eastAsia="宋体" w:hAnsi="Source Sans Pro" w:cs="Calibri"/>
          <w:sz w:val="22"/>
        </w:rPr>
        <w:t xml:space="preserve">- </w:t>
      </w:r>
      <w:r w:rsidR="000D6814" w:rsidRPr="00392614">
        <w:rPr>
          <w:rFonts w:ascii="Source Sans Pro" w:eastAsia="宋体" w:hAnsi="Source Sans Pro" w:cs="Calibri"/>
          <w:sz w:val="22"/>
        </w:rPr>
        <w:t>and low</w:t>
      </w:r>
      <w:r w:rsidR="00370C72">
        <w:rPr>
          <w:rFonts w:ascii="Source Sans Pro" w:eastAsia="宋体" w:hAnsi="Source Sans Pro" w:cs="Calibri"/>
          <w:sz w:val="22"/>
        </w:rPr>
        <w:t>-</w:t>
      </w:r>
      <w:r w:rsidR="000D6814" w:rsidRPr="00392614">
        <w:rPr>
          <w:rFonts w:ascii="Source Sans Pro" w:eastAsia="宋体" w:hAnsi="Source Sans Pro" w:cs="Calibri"/>
          <w:sz w:val="22"/>
        </w:rPr>
        <w:t xml:space="preserve">DPS </w:t>
      </w:r>
      <w:r w:rsidR="00370C72">
        <w:rPr>
          <w:rFonts w:ascii="Source Sans Pro" w:eastAsia="宋体" w:hAnsi="Source Sans Pro" w:cs="Calibri"/>
          <w:sz w:val="22"/>
        </w:rPr>
        <w:t>subtype</w:t>
      </w:r>
      <w:r w:rsidR="000D6814" w:rsidRPr="00392614">
        <w:rPr>
          <w:rFonts w:ascii="Source Sans Pro" w:eastAsia="宋体" w:hAnsi="Source Sans Pro" w:cs="Calibri"/>
          <w:sz w:val="22"/>
        </w:rPr>
        <w:t>s</w:t>
      </w:r>
      <w:r w:rsidR="00734E00">
        <w:rPr>
          <w:rFonts w:ascii="Source Sans Pro" w:eastAsia="宋体" w:hAnsi="Source Sans Pro" w:cs="Calibri"/>
          <w:sz w:val="22"/>
        </w:rPr>
        <w:t>,</w:t>
      </w:r>
      <w:r w:rsidR="000D6814" w:rsidRPr="00392614">
        <w:rPr>
          <w:rFonts w:ascii="Source Sans Pro" w:eastAsia="宋体" w:hAnsi="Source Sans Pro" w:cs="Calibri"/>
          <w:sz w:val="22"/>
        </w:rPr>
        <w:t xml:space="preserve"> </w:t>
      </w:r>
      <w:r w:rsidR="00734E00" w:rsidRPr="00734E00">
        <w:rPr>
          <w:rFonts w:ascii="Source Sans Pro" w:eastAsia="宋体" w:hAnsi="Source Sans Pro" w:cs="Calibri"/>
          <w:sz w:val="22"/>
        </w:rPr>
        <w:t>indicating the frequency of gene amplification (dark red) and deletion (dark blue) in each subtype.</w:t>
      </w:r>
    </w:p>
    <w:p w14:paraId="2EE30B9D" w14:textId="77777777" w:rsidR="002B5E19" w:rsidRPr="00392614" w:rsidRDefault="002B5E19" w:rsidP="00AD4A37">
      <w:pPr>
        <w:widowControl/>
        <w:spacing w:line="360" w:lineRule="auto"/>
        <w:jc w:val="left"/>
        <w:rPr>
          <w:rFonts w:ascii="Source Sans Pro" w:eastAsia="宋体" w:hAnsi="Source Sans Pro" w:cs="Calibri"/>
          <w:b/>
          <w:bCs/>
          <w:sz w:val="22"/>
        </w:rPr>
      </w:pPr>
    </w:p>
    <w:p w14:paraId="797159E0" w14:textId="5F718870" w:rsidR="00AD6508" w:rsidRPr="00392614" w:rsidRDefault="00AD6508" w:rsidP="00AD4A37">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br w:type="page"/>
      </w:r>
    </w:p>
    <w:p w14:paraId="4F82A9E2" w14:textId="2FB3B522" w:rsidR="00AD4A37" w:rsidRPr="00392614" w:rsidRDefault="00413682" w:rsidP="00AD4A37">
      <w:pPr>
        <w:widowControl/>
        <w:spacing w:line="360" w:lineRule="auto"/>
        <w:jc w:val="left"/>
        <w:rPr>
          <w:rFonts w:ascii="Source Sans Pro" w:eastAsia="宋体" w:hAnsi="Source Sans Pro" w:cs="Calibri"/>
          <w:b/>
          <w:bCs/>
          <w:sz w:val="22"/>
        </w:rPr>
      </w:pPr>
      <w:r>
        <w:rPr>
          <w:noProof/>
        </w:rPr>
        <w:lastRenderedPageBreak/>
        <w:drawing>
          <wp:anchor distT="0" distB="0" distL="114300" distR="114300" simplePos="0" relativeHeight="251673600" behindDoc="0" locked="0" layoutInCell="1" allowOverlap="1" wp14:anchorId="20209026" wp14:editId="1C3897D8">
            <wp:simplePos x="0" y="0"/>
            <wp:positionH relativeFrom="column">
              <wp:posOffset>0</wp:posOffset>
            </wp:positionH>
            <wp:positionV relativeFrom="paragraph">
              <wp:posOffset>295910</wp:posOffset>
            </wp:positionV>
            <wp:extent cx="5274310" cy="3768725"/>
            <wp:effectExtent l="0" t="0" r="2540" b="3175"/>
            <wp:wrapTopAndBottom/>
            <wp:docPr id="1900231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376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A90DAF" w14:textId="345F189D" w:rsidR="000D6814" w:rsidRPr="00392614" w:rsidRDefault="003C3327" w:rsidP="000D6814">
      <w:pPr>
        <w:widowControl/>
        <w:spacing w:line="360" w:lineRule="auto"/>
        <w:jc w:val="left"/>
        <w:rPr>
          <w:rFonts w:ascii="Source Sans Pro" w:eastAsia="宋体" w:hAnsi="Source Sans Pro" w:cs="Calibri"/>
          <w:b/>
          <w:bCs/>
          <w:sz w:val="22"/>
        </w:rPr>
      </w:pPr>
      <w:r w:rsidRPr="00392614">
        <w:rPr>
          <w:rFonts w:ascii="Source Sans Pro" w:eastAsia="宋体" w:hAnsi="Source Sans Pro" w:cs="Calibri"/>
          <w:b/>
          <w:bCs/>
          <w:sz w:val="22"/>
        </w:rPr>
        <w:t>Figure S</w:t>
      </w:r>
      <w:r w:rsidR="00076EF0">
        <w:rPr>
          <w:rFonts w:ascii="Source Sans Pro" w:eastAsia="宋体" w:hAnsi="Source Sans Pro" w:cs="Calibri"/>
          <w:b/>
          <w:bCs/>
          <w:sz w:val="22"/>
        </w:rPr>
        <w:t>8</w:t>
      </w:r>
      <w:r w:rsidRPr="00392614">
        <w:rPr>
          <w:rFonts w:ascii="Source Sans Pro" w:eastAsia="宋体" w:hAnsi="Source Sans Pro" w:cs="Calibri"/>
          <w:b/>
          <w:bCs/>
          <w:sz w:val="22"/>
        </w:rPr>
        <w:t xml:space="preserve">. </w:t>
      </w:r>
      <w:r w:rsidR="000D6814" w:rsidRPr="00392614">
        <w:rPr>
          <w:rFonts w:ascii="Source Sans Pro" w:eastAsia="宋体" w:hAnsi="Source Sans Pro" w:cs="Calibri"/>
          <w:b/>
          <w:bCs/>
          <w:sz w:val="22"/>
        </w:rPr>
        <w:t xml:space="preserve">DPS subtypes guided </w:t>
      </w:r>
      <w:r w:rsidR="005358ED">
        <w:rPr>
          <w:rFonts w:ascii="Source Sans Pro" w:eastAsia="宋体" w:hAnsi="Source Sans Pro" w:cs="Calibri"/>
          <w:b/>
          <w:bCs/>
          <w:sz w:val="22"/>
        </w:rPr>
        <w:t>targeted</w:t>
      </w:r>
      <w:r w:rsidR="000D6814" w:rsidRPr="00392614">
        <w:rPr>
          <w:rFonts w:ascii="Source Sans Pro" w:eastAsia="宋体" w:hAnsi="Source Sans Pro" w:cs="Calibri"/>
          <w:b/>
          <w:bCs/>
          <w:sz w:val="22"/>
        </w:rPr>
        <w:t xml:space="preserve"> strategies.</w:t>
      </w:r>
    </w:p>
    <w:p w14:paraId="147EE7FD" w14:textId="70A90FA1" w:rsidR="000D6814" w:rsidRPr="00392614" w:rsidRDefault="000D6814"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 xml:space="preserve">(A-F) Predicted sensitivity scores of Selumetinib, ULK1_4989, Lapatinib, NVP-ADW742, and Vorinostat, which were candidate </w:t>
      </w:r>
      <w:r w:rsidR="001C6E9A">
        <w:rPr>
          <w:rFonts w:ascii="Source Sans Pro" w:eastAsia="宋体" w:hAnsi="Source Sans Pro" w:cs="Calibri"/>
          <w:sz w:val="22"/>
        </w:rPr>
        <w:t xml:space="preserve">targeted </w:t>
      </w:r>
      <w:r w:rsidRPr="00392614">
        <w:rPr>
          <w:rFonts w:ascii="Source Sans Pro" w:eastAsia="宋体" w:hAnsi="Source Sans Pro" w:cs="Calibri"/>
          <w:sz w:val="22"/>
        </w:rPr>
        <w:t xml:space="preserve">drug options for </w:t>
      </w:r>
      <w:r w:rsidR="001C6E9A">
        <w:rPr>
          <w:rFonts w:ascii="Source Sans Pro" w:eastAsia="宋体" w:hAnsi="Source Sans Pro" w:cs="Calibri"/>
          <w:sz w:val="22"/>
        </w:rPr>
        <w:t xml:space="preserve">the two </w:t>
      </w:r>
      <w:r w:rsidRPr="00392614">
        <w:rPr>
          <w:rFonts w:ascii="Source Sans Pro" w:eastAsia="宋体" w:hAnsi="Source Sans Pro" w:cs="Calibri"/>
          <w:sz w:val="22"/>
        </w:rPr>
        <w:t>DP</w:t>
      </w:r>
      <w:r w:rsidR="001C6E9A">
        <w:rPr>
          <w:rFonts w:ascii="Source Sans Pro" w:eastAsia="宋体" w:hAnsi="Source Sans Pro" w:cs="Calibri"/>
          <w:sz w:val="22"/>
        </w:rPr>
        <w:t>S subtypes</w:t>
      </w:r>
      <w:r w:rsidRPr="00392614">
        <w:rPr>
          <w:rFonts w:ascii="Source Sans Pro" w:eastAsia="宋体" w:hAnsi="Source Sans Pro" w:cs="Calibri"/>
          <w:sz w:val="22"/>
        </w:rPr>
        <w:t>.</w:t>
      </w:r>
    </w:p>
    <w:p w14:paraId="6396A0A9" w14:textId="77777777" w:rsidR="000D6814" w:rsidRPr="00392614" w:rsidRDefault="000D6814" w:rsidP="000D6814">
      <w:pPr>
        <w:widowControl/>
        <w:spacing w:line="360" w:lineRule="auto"/>
        <w:jc w:val="left"/>
        <w:rPr>
          <w:rFonts w:ascii="Source Sans Pro" w:eastAsia="宋体" w:hAnsi="Source Sans Pro" w:cs="Calibri"/>
          <w:sz w:val="22"/>
        </w:rPr>
      </w:pPr>
      <w:r w:rsidRPr="00392614">
        <w:rPr>
          <w:rFonts w:ascii="Source Sans Pro" w:eastAsia="宋体" w:hAnsi="Source Sans Pro" w:cs="Calibri"/>
          <w:sz w:val="22"/>
        </w:rPr>
        <w:t xml:space="preserve"> *p &lt; 0.05; **p &lt; 0.01; ****p &lt; 0.0001.</w:t>
      </w:r>
    </w:p>
    <w:p w14:paraId="0D9598D9" w14:textId="77777777" w:rsidR="005A0D2E" w:rsidRDefault="005A0D2E" w:rsidP="000D6814">
      <w:pPr>
        <w:widowControl/>
        <w:spacing w:line="360" w:lineRule="auto"/>
        <w:jc w:val="left"/>
        <w:rPr>
          <w:rFonts w:ascii="Source Sans Pro" w:eastAsia="宋体" w:hAnsi="Source Sans Pro" w:cs="Calibri"/>
          <w:sz w:val="22"/>
        </w:rPr>
      </w:pPr>
    </w:p>
    <w:p w14:paraId="044F24ED" w14:textId="77777777" w:rsidR="00251176" w:rsidRDefault="00251176" w:rsidP="000D6814">
      <w:pPr>
        <w:widowControl/>
        <w:spacing w:line="360" w:lineRule="auto"/>
        <w:jc w:val="left"/>
        <w:rPr>
          <w:rFonts w:ascii="Source Sans Pro" w:eastAsia="宋体" w:hAnsi="Source Sans Pro" w:cs="Calibri"/>
          <w:sz w:val="22"/>
        </w:rPr>
      </w:pPr>
    </w:p>
    <w:p w14:paraId="34E84C0E" w14:textId="6E8511B8" w:rsidR="00251176" w:rsidRDefault="00251176" w:rsidP="000D6814">
      <w:pPr>
        <w:widowControl/>
        <w:spacing w:line="360" w:lineRule="auto"/>
        <w:jc w:val="left"/>
        <w:rPr>
          <w:rFonts w:ascii="Source Sans Pro" w:eastAsia="宋体" w:hAnsi="Source Sans Pro" w:cs="Calibri"/>
          <w:sz w:val="22"/>
        </w:rPr>
      </w:pPr>
      <w:r>
        <w:rPr>
          <w:rFonts w:ascii="Source Sans Pro" w:eastAsia="宋体" w:hAnsi="Source Sans Pro" w:cs="Calibri"/>
          <w:sz w:val="22"/>
        </w:rPr>
        <w:br w:type="page"/>
      </w:r>
    </w:p>
    <w:p w14:paraId="0205A48D" w14:textId="5B01EF9B" w:rsidR="00251176" w:rsidRPr="00F729BC" w:rsidRDefault="00251176" w:rsidP="000D6814">
      <w:pPr>
        <w:widowControl/>
        <w:spacing w:line="360" w:lineRule="auto"/>
        <w:jc w:val="left"/>
        <w:rPr>
          <w:rFonts w:ascii="Source Sans Pro" w:eastAsia="宋体" w:hAnsi="Source Sans Pro" w:cs="Calibri"/>
          <w:b/>
          <w:bCs/>
          <w:kern w:val="0"/>
          <w:sz w:val="22"/>
        </w:rPr>
      </w:pPr>
      <w:r w:rsidRPr="00F729BC">
        <w:rPr>
          <w:rFonts w:ascii="Source Sans Pro" w:eastAsia="宋体" w:hAnsi="Source Sans Pro" w:cs="Calibri"/>
          <w:b/>
          <w:bCs/>
          <w:kern w:val="0"/>
          <w:sz w:val="22"/>
        </w:rPr>
        <w:lastRenderedPageBreak/>
        <w:t>Legends for Tables S1 to S</w:t>
      </w:r>
      <w:r w:rsidR="00994B88">
        <w:rPr>
          <w:rFonts w:ascii="Source Sans Pro" w:eastAsia="宋体" w:hAnsi="Source Sans Pro" w:cs="Calibri"/>
          <w:b/>
          <w:bCs/>
          <w:kern w:val="0"/>
          <w:sz w:val="22"/>
        </w:rPr>
        <w:t>1</w:t>
      </w:r>
      <w:r w:rsidRPr="00F729BC">
        <w:rPr>
          <w:rFonts w:ascii="Source Sans Pro" w:eastAsia="宋体" w:hAnsi="Source Sans Pro" w:cs="Calibri"/>
          <w:b/>
          <w:bCs/>
          <w:kern w:val="0"/>
          <w:sz w:val="22"/>
        </w:rPr>
        <w:t>3</w:t>
      </w:r>
    </w:p>
    <w:p w14:paraId="03EDD933" w14:textId="50474412" w:rsidR="00251176" w:rsidRPr="00F729BC" w:rsidRDefault="00251176" w:rsidP="00251176">
      <w:pPr>
        <w:spacing w:line="360" w:lineRule="auto"/>
        <w:jc w:val="left"/>
        <w:rPr>
          <w:rFonts w:ascii="Source Sans Pro" w:eastAsia="宋体" w:hAnsi="Source Sans Pro"/>
          <w:sz w:val="22"/>
        </w:rPr>
      </w:pPr>
      <w:r w:rsidRPr="003C5C82">
        <w:rPr>
          <w:rFonts w:ascii="Source Sans Pro" w:eastAsia="宋体" w:hAnsi="Source Sans Pro"/>
          <w:b/>
          <w:bCs/>
          <w:sz w:val="22"/>
        </w:rPr>
        <w:t>Table S1</w:t>
      </w:r>
      <w:r w:rsidR="00664513" w:rsidRPr="003C5C82">
        <w:rPr>
          <w:rFonts w:ascii="Source Sans Pro" w:eastAsia="宋体" w:hAnsi="Source Sans Pro"/>
          <w:b/>
          <w:bCs/>
          <w:sz w:val="22"/>
        </w:rPr>
        <w:t>.</w:t>
      </w:r>
      <w:r>
        <w:rPr>
          <w:rFonts w:ascii="Source Sans Pro" w:eastAsia="宋体" w:hAnsi="Source Sans Pro"/>
          <w:sz w:val="22"/>
        </w:rPr>
        <w:t xml:space="preserve"> </w:t>
      </w:r>
      <w:r w:rsidR="00664513" w:rsidRPr="00664513">
        <w:rPr>
          <w:rFonts w:ascii="Source Sans Pro" w:eastAsia="宋体" w:hAnsi="Source Sans Pro"/>
          <w:sz w:val="22"/>
        </w:rPr>
        <w:t>Scanning parameters</w:t>
      </w:r>
      <w:r w:rsidR="00CA52E6">
        <w:rPr>
          <w:rFonts w:ascii="Source Sans Pro" w:eastAsia="宋体" w:hAnsi="Source Sans Pro"/>
          <w:sz w:val="22"/>
        </w:rPr>
        <w:t xml:space="preserve"> of </w:t>
      </w:r>
      <w:r w:rsidR="009C0EB3">
        <w:rPr>
          <w:rFonts w:ascii="Source Sans Pro" w:eastAsia="宋体" w:hAnsi="Source Sans Pro"/>
          <w:sz w:val="22"/>
        </w:rPr>
        <w:t xml:space="preserve">the </w:t>
      </w:r>
      <w:r w:rsidR="00CA52E6" w:rsidRPr="00392614">
        <w:rPr>
          <w:rFonts w:ascii="Source Sans Pro" w:eastAsia="宋体" w:hAnsi="Source Sans Pro" w:cs="Calibri"/>
          <w:kern w:val="0"/>
          <w:sz w:val="22"/>
        </w:rPr>
        <w:t xml:space="preserve">FAHZU </w:t>
      </w:r>
      <w:r w:rsidR="00CA52E6" w:rsidRPr="00392614">
        <w:rPr>
          <w:rFonts w:ascii="Source Sans Pro" w:eastAsia="宋体" w:hAnsi="Source Sans Pro" w:cs="Calibri" w:hint="eastAsia"/>
          <w:kern w:val="0"/>
          <w:sz w:val="22"/>
        </w:rPr>
        <w:t>da</w:t>
      </w:r>
      <w:r w:rsidR="00CA52E6" w:rsidRPr="00392614">
        <w:rPr>
          <w:rFonts w:ascii="Source Sans Pro" w:eastAsia="宋体" w:hAnsi="Source Sans Pro" w:cs="Calibri"/>
          <w:kern w:val="0"/>
          <w:sz w:val="22"/>
        </w:rPr>
        <w:t>taset</w:t>
      </w:r>
      <w:r w:rsidR="00CA52E6">
        <w:rPr>
          <w:rFonts w:ascii="Source Sans Pro" w:eastAsia="宋体" w:hAnsi="Source Sans Pro" w:cs="Calibri"/>
          <w:kern w:val="0"/>
          <w:sz w:val="22"/>
        </w:rPr>
        <w:t>.</w:t>
      </w:r>
    </w:p>
    <w:p w14:paraId="56B21EB1" w14:textId="6B075C34" w:rsidR="00251176" w:rsidRPr="00F729BC" w:rsidRDefault="00251176" w:rsidP="00251176">
      <w:pPr>
        <w:spacing w:line="360" w:lineRule="auto"/>
        <w:jc w:val="left"/>
        <w:rPr>
          <w:rFonts w:ascii="Source Sans Pro" w:eastAsia="宋体" w:hAnsi="Source Sans Pro"/>
          <w:sz w:val="22"/>
        </w:rPr>
      </w:pPr>
      <w:r w:rsidRPr="003C5C82">
        <w:rPr>
          <w:rFonts w:ascii="Source Sans Pro" w:eastAsia="宋体" w:hAnsi="Source Sans Pro"/>
          <w:b/>
          <w:bCs/>
          <w:sz w:val="22"/>
        </w:rPr>
        <w:t>Table S2</w:t>
      </w:r>
      <w:r w:rsidR="00664513" w:rsidRPr="003C5C82">
        <w:rPr>
          <w:rFonts w:ascii="Source Sans Pro" w:eastAsia="宋体" w:hAnsi="Source Sans Pro"/>
          <w:b/>
          <w:bCs/>
          <w:sz w:val="22"/>
        </w:rPr>
        <w:t>.</w:t>
      </w:r>
      <w:r w:rsidR="00664513">
        <w:rPr>
          <w:rFonts w:ascii="Source Sans Pro" w:eastAsia="宋体" w:hAnsi="Source Sans Pro"/>
          <w:sz w:val="22"/>
        </w:rPr>
        <w:t xml:space="preserve"> </w:t>
      </w:r>
      <w:r w:rsidR="00CA52E6" w:rsidRPr="00664513">
        <w:rPr>
          <w:rFonts w:ascii="Source Sans Pro" w:eastAsia="宋体" w:hAnsi="Source Sans Pro"/>
          <w:sz w:val="22"/>
        </w:rPr>
        <w:t>Scanning parameters</w:t>
      </w:r>
      <w:r w:rsidR="00CA52E6">
        <w:rPr>
          <w:rFonts w:ascii="Source Sans Pro" w:eastAsia="宋体" w:hAnsi="Source Sans Pro"/>
          <w:sz w:val="22"/>
        </w:rPr>
        <w:t xml:space="preserve"> of </w:t>
      </w:r>
      <w:r w:rsidR="009C0EB3">
        <w:rPr>
          <w:rFonts w:ascii="Source Sans Pro" w:eastAsia="宋体" w:hAnsi="Source Sans Pro"/>
          <w:sz w:val="22"/>
        </w:rPr>
        <w:t xml:space="preserve">the </w:t>
      </w:r>
      <w:r w:rsidR="00CA52E6">
        <w:rPr>
          <w:rFonts w:ascii="Source Sans Pro" w:eastAsia="宋体" w:hAnsi="Source Sans Pro" w:cs="Calibri"/>
          <w:kern w:val="0"/>
          <w:sz w:val="22"/>
        </w:rPr>
        <w:t>HNPH</w:t>
      </w:r>
      <w:r w:rsidR="00CA52E6" w:rsidRPr="00392614">
        <w:rPr>
          <w:rFonts w:ascii="Source Sans Pro" w:eastAsia="宋体" w:hAnsi="Source Sans Pro" w:cs="Calibri"/>
          <w:kern w:val="0"/>
          <w:sz w:val="22"/>
        </w:rPr>
        <w:t xml:space="preserve"> </w:t>
      </w:r>
      <w:r w:rsidR="00CA52E6" w:rsidRPr="00392614">
        <w:rPr>
          <w:rFonts w:ascii="Source Sans Pro" w:eastAsia="宋体" w:hAnsi="Source Sans Pro" w:cs="Calibri" w:hint="eastAsia"/>
          <w:kern w:val="0"/>
          <w:sz w:val="22"/>
        </w:rPr>
        <w:t>da</w:t>
      </w:r>
      <w:r w:rsidR="00CA52E6" w:rsidRPr="00392614">
        <w:rPr>
          <w:rFonts w:ascii="Source Sans Pro" w:eastAsia="宋体" w:hAnsi="Source Sans Pro" w:cs="Calibri"/>
          <w:kern w:val="0"/>
          <w:sz w:val="22"/>
        </w:rPr>
        <w:t>taset</w:t>
      </w:r>
      <w:r w:rsidR="00CA52E6">
        <w:rPr>
          <w:rFonts w:ascii="Source Sans Pro" w:eastAsia="宋体" w:hAnsi="Source Sans Pro" w:cs="Calibri"/>
          <w:kern w:val="0"/>
          <w:sz w:val="22"/>
        </w:rPr>
        <w:t>.</w:t>
      </w:r>
    </w:p>
    <w:p w14:paraId="0A5049BD" w14:textId="54566F76" w:rsidR="00251176" w:rsidRPr="00F729BC" w:rsidRDefault="00251176" w:rsidP="00251176">
      <w:pPr>
        <w:spacing w:line="360" w:lineRule="auto"/>
        <w:jc w:val="left"/>
        <w:rPr>
          <w:rFonts w:ascii="Source Sans Pro" w:eastAsia="宋体" w:hAnsi="Source Sans Pro"/>
          <w:sz w:val="22"/>
        </w:rPr>
      </w:pPr>
      <w:r w:rsidRPr="003C5C82">
        <w:rPr>
          <w:rFonts w:ascii="Source Sans Pro" w:eastAsia="宋体" w:hAnsi="Source Sans Pro"/>
          <w:b/>
          <w:bCs/>
          <w:sz w:val="22"/>
        </w:rPr>
        <w:t>Table S3</w:t>
      </w:r>
      <w:r w:rsidR="00664513" w:rsidRPr="003C5C82">
        <w:rPr>
          <w:rFonts w:ascii="Source Sans Pro" w:eastAsia="宋体" w:hAnsi="Source Sans Pro"/>
          <w:b/>
          <w:bCs/>
          <w:sz w:val="22"/>
        </w:rPr>
        <w:t>.</w:t>
      </w:r>
      <w:r w:rsidR="00664513">
        <w:rPr>
          <w:rFonts w:ascii="Source Sans Pro" w:eastAsia="宋体" w:hAnsi="Source Sans Pro"/>
          <w:sz w:val="22"/>
        </w:rPr>
        <w:t xml:space="preserve"> </w:t>
      </w:r>
      <w:r w:rsidR="00CA52E6" w:rsidRPr="00CA52E6">
        <w:rPr>
          <w:rFonts w:ascii="Source Sans Pro" w:eastAsia="宋体" w:hAnsi="Source Sans Pro"/>
          <w:sz w:val="22"/>
        </w:rPr>
        <w:t xml:space="preserve">Source of radiographic data for patients provided in </w:t>
      </w:r>
      <w:r w:rsidR="009C0EB3">
        <w:rPr>
          <w:rFonts w:ascii="Source Sans Pro" w:eastAsia="宋体" w:hAnsi="Source Sans Pro"/>
          <w:sz w:val="22"/>
        </w:rPr>
        <w:t xml:space="preserve">the </w:t>
      </w:r>
      <w:r w:rsidR="00CA52E6" w:rsidRPr="00CA52E6">
        <w:rPr>
          <w:rFonts w:ascii="Source Sans Pro" w:eastAsia="宋体" w:hAnsi="Source Sans Pro"/>
          <w:sz w:val="22"/>
        </w:rPr>
        <w:t>TC</w:t>
      </w:r>
      <w:r w:rsidR="00CA52E6">
        <w:rPr>
          <w:rFonts w:ascii="Source Sans Pro" w:eastAsia="宋体" w:hAnsi="Source Sans Pro"/>
          <w:sz w:val="22"/>
        </w:rPr>
        <w:t>GA dataset</w:t>
      </w:r>
      <w:r w:rsidR="00CA52E6" w:rsidRPr="00CA52E6">
        <w:rPr>
          <w:rFonts w:ascii="Source Sans Pro" w:eastAsia="宋体" w:hAnsi="Source Sans Pro"/>
          <w:sz w:val="22"/>
        </w:rPr>
        <w:t>.</w:t>
      </w:r>
    </w:p>
    <w:p w14:paraId="45299E8B" w14:textId="4A0E4CB5" w:rsidR="00251176" w:rsidRPr="00F729BC" w:rsidRDefault="00251176" w:rsidP="00251176">
      <w:pPr>
        <w:spacing w:line="360" w:lineRule="auto"/>
        <w:jc w:val="left"/>
        <w:rPr>
          <w:rFonts w:ascii="Source Sans Pro" w:eastAsia="宋体" w:hAnsi="Source Sans Pro"/>
          <w:sz w:val="22"/>
        </w:rPr>
      </w:pPr>
      <w:r w:rsidRPr="003C5C82">
        <w:rPr>
          <w:rFonts w:ascii="Source Sans Pro" w:eastAsia="宋体" w:hAnsi="Source Sans Pro"/>
          <w:b/>
          <w:bCs/>
          <w:sz w:val="22"/>
        </w:rPr>
        <w:t>Table S4</w:t>
      </w:r>
      <w:r w:rsidR="00664513" w:rsidRPr="003C5C82">
        <w:rPr>
          <w:rFonts w:ascii="Source Sans Pro" w:eastAsia="宋体" w:hAnsi="Source Sans Pro"/>
          <w:b/>
          <w:bCs/>
          <w:sz w:val="22"/>
        </w:rPr>
        <w:t>.</w:t>
      </w:r>
      <w:r w:rsidR="00664513">
        <w:rPr>
          <w:rFonts w:ascii="Source Sans Pro" w:eastAsia="宋体" w:hAnsi="Source Sans Pro"/>
          <w:sz w:val="22"/>
        </w:rPr>
        <w:t xml:space="preserve"> </w:t>
      </w:r>
      <w:r w:rsidR="000A5960" w:rsidRPr="000A5960">
        <w:rPr>
          <w:rFonts w:ascii="Source Sans Pro" w:eastAsia="宋体" w:hAnsi="Source Sans Pro"/>
          <w:sz w:val="22"/>
        </w:rPr>
        <w:t xml:space="preserve">Differentially </w:t>
      </w:r>
      <w:r w:rsidR="000A5960">
        <w:rPr>
          <w:rFonts w:ascii="Source Sans Pro" w:eastAsia="宋体" w:hAnsi="Source Sans Pro" w:hint="eastAsia"/>
          <w:sz w:val="22"/>
        </w:rPr>
        <w:t>express</w:t>
      </w:r>
      <w:r w:rsidR="000A5960">
        <w:rPr>
          <w:rFonts w:ascii="Source Sans Pro" w:eastAsia="宋体" w:hAnsi="Source Sans Pro"/>
          <w:sz w:val="22"/>
        </w:rPr>
        <w:t>ion genes</w:t>
      </w:r>
      <w:r w:rsidR="000A5960" w:rsidRPr="000A5960">
        <w:rPr>
          <w:rFonts w:ascii="Source Sans Pro" w:eastAsia="宋体" w:hAnsi="Source Sans Pro"/>
          <w:sz w:val="22"/>
        </w:rPr>
        <w:t xml:space="preserve"> between </w:t>
      </w:r>
      <w:r w:rsidR="009D6158">
        <w:rPr>
          <w:rFonts w:ascii="Source Sans Pro" w:eastAsia="宋体" w:hAnsi="Source Sans Pro"/>
          <w:sz w:val="22"/>
        </w:rPr>
        <w:t xml:space="preserve">the </w:t>
      </w:r>
      <w:r w:rsidR="000A5960" w:rsidRPr="000A5960">
        <w:rPr>
          <w:rFonts w:ascii="Source Sans Pro" w:eastAsia="宋体" w:hAnsi="Source Sans Pro"/>
          <w:sz w:val="22"/>
        </w:rPr>
        <w:t>high</w:t>
      </w:r>
      <w:r w:rsidR="009D6158">
        <w:rPr>
          <w:rFonts w:ascii="Source Sans Pro" w:eastAsia="宋体" w:hAnsi="Source Sans Pro"/>
          <w:sz w:val="22"/>
        </w:rPr>
        <w:t>-</w:t>
      </w:r>
      <w:r w:rsidR="000A5960" w:rsidRPr="000A5960">
        <w:rPr>
          <w:rFonts w:ascii="Source Sans Pro" w:eastAsia="宋体" w:hAnsi="Source Sans Pro"/>
          <w:sz w:val="22"/>
        </w:rPr>
        <w:t xml:space="preserve"> and low</w:t>
      </w:r>
      <w:r w:rsidR="009D6158">
        <w:rPr>
          <w:rFonts w:ascii="Source Sans Pro" w:eastAsia="宋体" w:hAnsi="Source Sans Pro"/>
          <w:sz w:val="22"/>
        </w:rPr>
        <w:t>-</w:t>
      </w:r>
      <w:r w:rsidR="000A5960">
        <w:rPr>
          <w:rFonts w:ascii="Source Sans Pro" w:eastAsia="宋体" w:hAnsi="Source Sans Pro"/>
          <w:sz w:val="22"/>
        </w:rPr>
        <w:t>DPS</w:t>
      </w:r>
      <w:r w:rsidR="000A5960" w:rsidRPr="000A5960">
        <w:rPr>
          <w:rFonts w:ascii="Source Sans Pro" w:eastAsia="宋体" w:hAnsi="Source Sans Pro"/>
          <w:sz w:val="22"/>
        </w:rPr>
        <w:t xml:space="preserve"> samples.</w:t>
      </w:r>
    </w:p>
    <w:p w14:paraId="499199D6" w14:textId="6DB468BF" w:rsidR="00664513" w:rsidRDefault="00664513" w:rsidP="00664513">
      <w:pPr>
        <w:spacing w:line="360" w:lineRule="auto"/>
        <w:jc w:val="left"/>
        <w:rPr>
          <w:rFonts w:ascii="Source Sans Pro" w:eastAsia="宋体" w:hAnsi="Source Sans Pro"/>
          <w:sz w:val="22"/>
        </w:rPr>
      </w:pPr>
      <w:r w:rsidRPr="003C5C82">
        <w:rPr>
          <w:rFonts w:ascii="Source Sans Pro" w:eastAsia="宋体" w:hAnsi="Source Sans Pro"/>
          <w:b/>
          <w:bCs/>
          <w:sz w:val="22"/>
        </w:rPr>
        <w:t>T</w:t>
      </w:r>
      <w:r w:rsidRPr="003C5C82">
        <w:rPr>
          <w:rFonts w:ascii="Source Sans Pro" w:eastAsia="宋体" w:hAnsi="Source Sans Pro" w:hint="eastAsia"/>
          <w:b/>
          <w:bCs/>
          <w:sz w:val="22"/>
        </w:rPr>
        <w:t>able</w:t>
      </w:r>
      <w:r w:rsidRPr="003C5C82">
        <w:rPr>
          <w:rFonts w:ascii="Source Sans Pro" w:eastAsia="宋体" w:hAnsi="Source Sans Pro"/>
          <w:b/>
          <w:bCs/>
          <w:sz w:val="22"/>
        </w:rPr>
        <w:t xml:space="preserve"> S5.</w:t>
      </w:r>
      <w:r>
        <w:rPr>
          <w:rFonts w:ascii="Source Sans Pro" w:eastAsia="宋体" w:hAnsi="Source Sans Pro"/>
          <w:sz w:val="22"/>
        </w:rPr>
        <w:t xml:space="preserve"> </w:t>
      </w:r>
      <w:r w:rsidR="00CA52E6" w:rsidRPr="00CA52E6">
        <w:rPr>
          <w:rFonts w:ascii="Source Sans Pro" w:eastAsia="宋体" w:hAnsi="Source Sans Pro"/>
          <w:sz w:val="22"/>
        </w:rPr>
        <w:t xml:space="preserve">Results of gene set enrichment analysis in high </w:t>
      </w:r>
      <w:r w:rsidR="00CA52E6">
        <w:rPr>
          <w:rFonts w:ascii="Source Sans Pro" w:eastAsia="宋体" w:hAnsi="Source Sans Pro"/>
          <w:sz w:val="22"/>
        </w:rPr>
        <w:t>DPS</w:t>
      </w:r>
      <w:r w:rsidR="00CA52E6" w:rsidRPr="00CA52E6">
        <w:rPr>
          <w:rFonts w:ascii="Source Sans Pro" w:eastAsia="宋体" w:hAnsi="Source Sans Pro"/>
          <w:sz w:val="22"/>
        </w:rPr>
        <w:t xml:space="preserve"> patients from the </w:t>
      </w:r>
      <w:r w:rsidR="00CA52E6">
        <w:rPr>
          <w:rFonts w:ascii="Source Sans Pro" w:eastAsia="宋体" w:hAnsi="Source Sans Pro"/>
          <w:sz w:val="22"/>
        </w:rPr>
        <w:t>EVC1</w:t>
      </w:r>
      <w:r w:rsidR="00CA52E6" w:rsidRPr="00CA52E6">
        <w:rPr>
          <w:rFonts w:ascii="Source Sans Pro" w:eastAsia="宋体" w:hAnsi="Source Sans Pro"/>
          <w:sz w:val="22"/>
        </w:rPr>
        <w:t>.</w:t>
      </w:r>
    </w:p>
    <w:p w14:paraId="5FB4E58E" w14:textId="09FD4E12" w:rsidR="00664513" w:rsidRPr="00CA52E6" w:rsidRDefault="00664513" w:rsidP="00664513">
      <w:pPr>
        <w:spacing w:line="360" w:lineRule="auto"/>
        <w:jc w:val="left"/>
        <w:rPr>
          <w:rFonts w:ascii="Source Sans Pro" w:eastAsia="宋体" w:hAnsi="Source Sans Pro"/>
          <w:sz w:val="22"/>
        </w:rPr>
      </w:pPr>
      <w:r w:rsidRPr="003C5C82">
        <w:rPr>
          <w:rFonts w:ascii="Source Sans Pro" w:eastAsia="宋体" w:hAnsi="Source Sans Pro"/>
          <w:b/>
          <w:bCs/>
          <w:sz w:val="22"/>
        </w:rPr>
        <w:t>T</w:t>
      </w:r>
      <w:r w:rsidRPr="003C5C82">
        <w:rPr>
          <w:rFonts w:ascii="Source Sans Pro" w:eastAsia="宋体" w:hAnsi="Source Sans Pro" w:hint="eastAsia"/>
          <w:b/>
          <w:bCs/>
          <w:sz w:val="22"/>
        </w:rPr>
        <w:t>able</w:t>
      </w:r>
      <w:r w:rsidRPr="003C5C82">
        <w:rPr>
          <w:rFonts w:ascii="Source Sans Pro" w:eastAsia="宋体" w:hAnsi="Source Sans Pro"/>
          <w:b/>
          <w:bCs/>
          <w:sz w:val="22"/>
        </w:rPr>
        <w:t xml:space="preserve"> S6. </w:t>
      </w:r>
      <w:r w:rsidR="00CA52E6" w:rsidRPr="00CA52E6">
        <w:rPr>
          <w:rFonts w:ascii="Source Sans Pro" w:eastAsia="宋体" w:hAnsi="Source Sans Pro"/>
          <w:sz w:val="22"/>
        </w:rPr>
        <w:t xml:space="preserve">Results of </w:t>
      </w:r>
      <w:r w:rsidR="00CA52E6">
        <w:rPr>
          <w:rFonts w:ascii="Source Sans Pro" w:eastAsia="宋体" w:hAnsi="Source Sans Pro" w:hint="eastAsia"/>
          <w:sz w:val="22"/>
        </w:rPr>
        <w:t>single</w:t>
      </w:r>
      <w:r w:rsidR="00CA52E6">
        <w:rPr>
          <w:rFonts w:ascii="Source Sans Pro" w:eastAsia="宋体" w:hAnsi="Source Sans Pro"/>
          <w:sz w:val="22"/>
        </w:rPr>
        <w:t xml:space="preserve"> </w:t>
      </w:r>
      <w:r w:rsidR="00CA52E6">
        <w:rPr>
          <w:rFonts w:ascii="Source Sans Pro" w:eastAsia="宋体" w:hAnsi="Source Sans Pro" w:hint="eastAsia"/>
          <w:sz w:val="22"/>
        </w:rPr>
        <w:t>sample</w:t>
      </w:r>
      <w:r w:rsidR="00CA52E6">
        <w:rPr>
          <w:rFonts w:ascii="Source Sans Pro" w:eastAsia="宋体" w:hAnsi="Source Sans Pro"/>
          <w:sz w:val="22"/>
        </w:rPr>
        <w:t xml:space="preserve"> </w:t>
      </w:r>
      <w:r w:rsidR="00CA52E6" w:rsidRPr="00CA52E6">
        <w:rPr>
          <w:rFonts w:ascii="Source Sans Pro" w:eastAsia="宋体" w:hAnsi="Source Sans Pro"/>
          <w:sz w:val="22"/>
        </w:rPr>
        <w:t>gene set enrichment analysis</w:t>
      </w:r>
      <w:r w:rsidR="000A5960">
        <w:rPr>
          <w:rFonts w:ascii="Source Sans Pro" w:eastAsia="宋体" w:hAnsi="Source Sans Pro"/>
          <w:sz w:val="22"/>
        </w:rPr>
        <w:t xml:space="preserve"> (hallmark pathways)</w:t>
      </w:r>
      <w:r w:rsidR="00CA52E6" w:rsidRPr="00CA52E6">
        <w:rPr>
          <w:rFonts w:ascii="Source Sans Pro" w:eastAsia="宋体" w:hAnsi="Source Sans Pro"/>
          <w:sz w:val="22"/>
        </w:rPr>
        <w:t xml:space="preserve"> in </w:t>
      </w:r>
      <w:r w:rsidR="00CA52E6">
        <w:rPr>
          <w:rFonts w:ascii="Source Sans Pro" w:eastAsia="宋体" w:hAnsi="Source Sans Pro"/>
          <w:sz w:val="22"/>
        </w:rPr>
        <w:t xml:space="preserve">all </w:t>
      </w:r>
      <w:r w:rsidR="00CA52E6" w:rsidRPr="00CA52E6">
        <w:rPr>
          <w:rFonts w:ascii="Source Sans Pro" w:eastAsia="宋体" w:hAnsi="Source Sans Pro"/>
          <w:sz w:val="22"/>
        </w:rPr>
        <w:t xml:space="preserve">patients from the </w:t>
      </w:r>
      <w:r w:rsidR="00CA52E6">
        <w:rPr>
          <w:rFonts w:ascii="Source Sans Pro" w:eastAsia="宋体" w:hAnsi="Source Sans Pro"/>
          <w:sz w:val="22"/>
        </w:rPr>
        <w:t>EVC1</w:t>
      </w:r>
      <w:r w:rsidR="00CA52E6" w:rsidRPr="00CA52E6">
        <w:rPr>
          <w:rFonts w:ascii="Source Sans Pro" w:eastAsia="宋体" w:hAnsi="Source Sans Pro"/>
          <w:sz w:val="22"/>
        </w:rPr>
        <w:t>.</w:t>
      </w:r>
    </w:p>
    <w:p w14:paraId="12A978FF" w14:textId="543D102F" w:rsidR="00664513"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7</w:t>
      </w:r>
      <w:r w:rsidRPr="009C0EB3">
        <w:rPr>
          <w:rFonts w:ascii="Source Sans Pro" w:eastAsia="宋体" w:hAnsi="Source Sans Pro"/>
          <w:b/>
          <w:bCs/>
          <w:sz w:val="22"/>
        </w:rPr>
        <w:t>.</w:t>
      </w:r>
      <w:r>
        <w:rPr>
          <w:rFonts w:ascii="Source Sans Pro" w:eastAsia="宋体" w:hAnsi="Source Sans Pro"/>
          <w:sz w:val="22"/>
        </w:rPr>
        <w:t xml:space="preserve"> </w:t>
      </w:r>
      <w:r w:rsidR="000A5960" w:rsidRPr="00331211">
        <w:rPr>
          <w:rFonts w:ascii="Source Sans Pro" w:eastAsia="宋体" w:hAnsi="Source Sans Pro" w:cs="Calibri"/>
          <w:sz w:val="22"/>
        </w:rPr>
        <w:t>Correlation</w:t>
      </w:r>
      <w:r w:rsidR="000A5960">
        <w:rPr>
          <w:rFonts w:ascii="Source Sans Pro" w:eastAsia="宋体" w:hAnsi="Source Sans Pro" w:cs="Calibri"/>
          <w:sz w:val="22"/>
        </w:rPr>
        <w:t xml:space="preserve"> </w:t>
      </w:r>
      <w:r w:rsidR="000A5960">
        <w:rPr>
          <w:rFonts w:ascii="Source Sans Pro" w:eastAsia="宋体" w:hAnsi="Source Sans Pro" w:cs="Calibri" w:hint="eastAsia"/>
          <w:sz w:val="22"/>
        </w:rPr>
        <w:t>analysis</w:t>
      </w:r>
      <w:r w:rsidR="000A5960">
        <w:rPr>
          <w:rFonts w:ascii="Source Sans Pro" w:eastAsia="宋体" w:hAnsi="Source Sans Pro" w:cs="Calibri"/>
          <w:sz w:val="22"/>
        </w:rPr>
        <w:t xml:space="preserve"> of deep features and </w:t>
      </w:r>
      <w:r w:rsidR="000A5960" w:rsidRPr="00331211">
        <w:rPr>
          <w:rFonts w:ascii="Source Sans Pro" w:eastAsia="宋体" w:hAnsi="Source Sans Pro" w:cs="Calibri"/>
          <w:sz w:val="22"/>
        </w:rPr>
        <w:t>biological functions</w:t>
      </w:r>
      <w:r w:rsidR="000A5960">
        <w:rPr>
          <w:rFonts w:ascii="Source Sans Pro" w:eastAsia="宋体" w:hAnsi="Source Sans Pro" w:cs="Calibri"/>
          <w:sz w:val="22"/>
        </w:rPr>
        <w:t xml:space="preserve"> in the EVC1.</w:t>
      </w:r>
    </w:p>
    <w:p w14:paraId="1C6A0691" w14:textId="77777777" w:rsidR="00793F45"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8</w:t>
      </w:r>
      <w:r w:rsidRPr="009C0EB3">
        <w:rPr>
          <w:rFonts w:ascii="Source Sans Pro" w:eastAsia="宋体" w:hAnsi="Source Sans Pro"/>
          <w:b/>
          <w:bCs/>
          <w:sz w:val="22"/>
        </w:rPr>
        <w:t>.</w:t>
      </w:r>
      <w:r>
        <w:rPr>
          <w:rFonts w:ascii="Source Sans Pro" w:eastAsia="宋体" w:hAnsi="Source Sans Pro"/>
          <w:sz w:val="22"/>
        </w:rPr>
        <w:t xml:space="preserve"> </w:t>
      </w:r>
      <w:r w:rsidR="00793F45" w:rsidRPr="00793F45">
        <w:rPr>
          <w:rFonts w:ascii="Source Sans Pro" w:eastAsia="宋体" w:hAnsi="Source Sans Pro"/>
          <w:sz w:val="22"/>
        </w:rPr>
        <w:t>The stromal score, immune score, estimate score, and tumor purity of patients in the EVC1.</w:t>
      </w:r>
    </w:p>
    <w:p w14:paraId="2853D2B3" w14:textId="69CA5C9C" w:rsidR="00664513"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9</w:t>
      </w:r>
      <w:r w:rsidRPr="009C0EB3">
        <w:rPr>
          <w:rFonts w:ascii="Source Sans Pro" w:eastAsia="宋体" w:hAnsi="Source Sans Pro"/>
          <w:b/>
          <w:bCs/>
          <w:sz w:val="22"/>
        </w:rPr>
        <w:t>.</w:t>
      </w:r>
      <w:r>
        <w:rPr>
          <w:rFonts w:ascii="Source Sans Pro" w:eastAsia="宋体" w:hAnsi="Source Sans Pro"/>
          <w:sz w:val="22"/>
        </w:rPr>
        <w:t xml:space="preserve"> </w:t>
      </w:r>
      <w:r w:rsidR="00793F45" w:rsidRPr="00793F45">
        <w:rPr>
          <w:rFonts w:ascii="Source Sans Pro" w:eastAsia="宋体" w:hAnsi="Source Sans Pro"/>
          <w:sz w:val="22"/>
        </w:rPr>
        <w:t>Results of single sample gene set enrichment analysis (immune cell enrichment) in all patients from the EVC1.</w:t>
      </w:r>
    </w:p>
    <w:p w14:paraId="7116A4CD" w14:textId="29433D64" w:rsidR="00664513"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10</w:t>
      </w:r>
      <w:r>
        <w:rPr>
          <w:rFonts w:ascii="Source Sans Pro" w:eastAsia="宋体" w:hAnsi="Source Sans Pro"/>
          <w:sz w:val="22"/>
        </w:rPr>
        <w:t xml:space="preserve">. </w:t>
      </w:r>
      <w:r w:rsidR="00793F45" w:rsidRPr="00793F45">
        <w:rPr>
          <w:rFonts w:ascii="Source Sans Pro" w:eastAsia="宋体" w:hAnsi="Source Sans Pro"/>
          <w:sz w:val="22"/>
        </w:rPr>
        <w:t>Differentially methylated variable positions between high</w:t>
      </w:r>
      <w:r w:rsidR="00793F45">
        <w:rPr>
          <w:rFonts w:ascii="Source Sans Pro" w:eastAsia="宋体" w:hAnsi="Source Sans Pro"/>
          <w:sz w:val="22"/>
        </w:rPr>
        <w:t>-</w:t>
      </w:r>
      <w:r w:rsidR="00793F45" w:rsidRPr="00793F45">
        <w:rPr>
          <w:rFonts w:ascii="Source Sans Pro" w:eastAsia="宋体" w:hAnsi="Source Sans Pro"/>
          <w:sz w:val="22"/>
        </w:rPr>
        <w:t xml:space="preserve"> and low</w:t>
      </w:r>
      <w:r w:rsidR="00793F45">
        <w:rPr>
          <w:rFonts w:ascii="Source Sans Pro" w:eastAsia="宋体" w:hAnsi="Source Sans Pro"/>
          <w:sz w:val="22"/>
        </w:rPr>
        <w:t>-</w:t>
      </w:r>
      <w:r w:rsidR="00793F45" w:rsidRPr="00793F45">
        <w:rPr>
          <w:rFonts w:ascii="Source Sans Pro" w:eastAsia="宋体" w:hAnsi="Source Sans Pro"/>
          <w:sz w:val="22"/>
        </w:rPr>
        <w:t>DPS samples.</w:t>
      </w:r>
    </w:p>
    <w:p w14:paraId="58C1937C" w14:textId="77777777" w:rsidR="00793F45"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11</w:t>
      </w:r>
      <w:r w:rsidRPr="009C0EB3">
        <w:rPr>
          <w:rFonts w:ascii="Source Sans Pro" w:eastAsia="宋体" w:hAnsi="Source Sans Pro"/>
          <w:b/>
          <w:bCs/>
          <w:sz w:val="22"/>
        </w:rPr>
        <w:t xml:space="preserve">. </w:t>
      </w:r>
      <w:r w:rsidR="00793F45" w:rsidRPr="00793F45">
        <w:rPr>
          <w:rFonts w:ascii="Source Sans Pro" w:eastAsia="宋体" w:hAnsi="Source Sans Pro"/>
          <w:sz w:val="22"/>
        </w:rPr>
        <w:t>Tumor mutation burden (TMB) of all patients in the EVC1.</w:t>
      </w:r>
    </w:p>
    <w:p w14:paraId="4E21D651" w14:textId="2F5B1F6B" w:rsidR="00793F45"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12</w:t>
      </w:r>
      <w:r w:rsidRPr="009C0EB3">
        <w:rPr>
          <w:rFonts w:ascii="Source Sans Pro" w:eastAsia="宋体" w:hAnsi="Source Sans Pro"/>
          <w:b/>
          <w:bCs/>
          <w:sz w:val="22"/>
        </w:rPr>
        <w:t>.</w:t>
      </w:r>
      <w:r>
        <w:rPr>
          <w:rFonts w:ascii="Source Sans Pro" w:eastAsia="宋体" w:hAnsi="Source Sans Pro"/>
          <w:sz w:val="22"/>
        </w:rPr>
        <w:t xml:space="preserve"> </w:t>
      </w:r>
      <w:r w:rsidR="00793F45" w:rsidRPr="00793F45">
        <w:rPr>
          <w:rFonts w:ascii="Source Sans Pro" w:eastAsia="宋体" w:hAnsi="Source Sans Pro"/>
          <w:sz w:val="22"/>
        </w:rPr>
        <w:t>Differentially expressed proteins between high</w:t>
      </w:r>
      <w:r w:rsidR="00793F45">
        <w:rPr>
          <w:rFonts w:ascii="Source Sans Pro" w:eastAsia="宋体" w:hAnsi="Source Sans Pro"/>
          <w:sz w:val="22"/>
        </w:rPr>
        <w:t>-</w:t>
      </w:r>
      <w:r w:rsidR="00793F45" w:rsidRPr="00793F45">
        <w:rPr>
          <w:rFonts w:ascii="Source Sans Pro" w:eastAsia="宋体" w:hAnsi="Source Sans Pro"/>
          <w:sz w:val="22"/>
        </w:rPr>
        <w:t xml:space="preserve"> and low</w:t>
      </w:r>
      <w:r w:rsidR="00793F45">
        <w:rPr>
          <w:rFonts w:ascii="Source Sans Pro" w:eastAsia="宋体" w:hAnsi="Source Sans Pro"/>
          <w:sz w:val="22"/>
        </w:rPr>
        <w:t>-</w:t>
      </w:r>
      <w:r w:rsidR="00793F45" w:rsidRPr="00793F45">
        <w:rPr>
          <w:rFonts w:ascii="Source Sans Pro" w:eastAsia="宋体" w:hAnsi="Source Sans Pro"/>
          <w:sz w:val="22"/>
        </w:rPr>
        <w:t>DPS samples.</w:t>
      </w:r>
    </w:p>
    <w:p w14:paraId="3A42411B" w14:textId="21EE4D8D" w:rsidR="00664513" w:rsidRPr="00414E7E" w:rsidRDefault="00664513" w:rsidP="00664513">
      <w:pPr>
        <w:spacing w:line="360" w:lineRule="auto"/>
        <w:jc w:val="left"/>
        <w:rPr>
          <w:rFonts w:ascii="Source Sans Pro" w:eastAsia="宋体" w:hAnsi="Source Sans Pro"/>
          <w:sz w:val="22"/>
        </w:rPr>
      </w:pPr>
      <w:r w:rsidRPr="009C0EB3">
        <w:rPr>
          <w:rFonts w:ascii="Source Sans Pro" w:eastAsia="宋体" w:hAnsi="Source Sans Pro"/>
          <w:b/>
          <w:bCs/>
          <w:sz w:val="22"/>
        </w:rPr>
        <w:t>T</w:t>
      </w:r>
      <w:r w:rsidRPr="009C0EB3">
        <w:rPr>
          <w:rFonts w:ascii="Source Sans Pro" w:eastAsia="宋体" w:hAnsi="Source Sans Pro" w:hint="eastAsia"/>
          <w:b/>
          <w:bCs/>
          <w:sz w:val="22"/>
        </w:rPr>
        <w:t>able</w:t>
      </w:r>
      <w:r w:rsidRPr="009C0EB3">
        <w:rPr>
          <w:rFonts w:ascii="Source Sans Pro" w:eastAsia="宋体" w:hAnsi="Source Sans Pro"/>
          <w:b/>
          <w:bCs/>
          <w:sz w:val="22"/>
        </w:rPr>
        <w:t xml:space="preserve"> S</w:t>
      </w:r>
      <w:r w:rsidR="00D31677" w:rsidRPr="009C0EB3">
        <w:rPr>
          <w:rFonts w:ascii="Source Sans Pro" w:eastAsia="宋体" w:hAnsi="Source Sans Pro"/>
          <w:b/>
          <w:bCs/>
          <w:sz w:val="22"/>
        </w:rPr>
        <w:t>13</w:t>
      </w:r>
      <w:r w:rsidRPr="009C0EB3">
        <w:rPr>
          <w:rFonts w:ascii="Source Sans Pro" w:eastAsia="宋体" w:hAnsi="Source Sans Pro"/>
          <w:b/>
          <w:bCs/>
          <w:sz w:val="22"/>
        </w:rPr>
        <w:t>.</w:t>
      </w:r>
      <w:r>
        <w:rPr>
          <w:rFonts w:ascii="Source Sans Pro" w:eastAsia="宋体" w:hAnsi="Source Sans Pro"/>
          <w:sz w:val="22"/>
        </w:rPr>
        <w:t xml:space="preserve"> </w:t>
      </w:r>
      <w:r w:rsidR="000A5960" w:rsidRPr="00CA52E6">
        <w:rPr>
          <w:rFonts w:ascii="Source Sans Pro" w:eastAsia="宋体" w:hAnsi="Source Sans Pro"/>
          <w:sz w:val="22"/>
        </w:rPr>
        <w:t>Results of</w:t>
      </w:r>
      <w:r w:rsidR="00994B88" w:rsidRPr="00994B88">
        <w:rPr>
          <w:rFonts w:ascii="Source Sans Pro" w:eastAsia="宋体" w:hAnsi="Source Sans Pro"/>
          <w:sz w:val="22"/>
        </w:rPr>
        <w:t xml:space="preserve"> the drug sensitivity analysis</w:t>
      </w:r>
      <w:r w:rsidR="00994B88">
        <w:rPr>
          <w:rFonts w:ascii="Source Sans Pro" w:eastAsia="宋体" w:hAnsi="Source Sans Pro" w:hint="eastAsia"/>
          <w:sz w:val="22"/>
        </w:rPr>
        <w:t>.</w:t>
      </w:r>
    </w:p>
    <w:p w14:paraId="20722F47" w14:textId="77777777" w:rsidR="00664513" w:rsidRPr="00414E7E" w:rsidRDefault="00664513" w:rsidP="00664513">
      <w:pPr>
        <w:spacing w:line="360" w:lineRule="auto"/>
        <w:jc w:val="left"/>
        <w:rPr>
          <w:rFonts w:ascii="Source Sans Pro" w:eastAsia="宋体" w:hAnsi="Source Sans Pro"/>
          <w:sz w:val="22"/>
        </w:rPr>
      </w:pPr>
    </w:p>
    <w:p w14:paraId="36FD9BCA" w14:textId="77777777" w:rsidR="005A0D2E" w:rsidRPr="00664513" w:rsidRDefault="005A0D2E" w:rsidP="000D6814">
      <w:pPr>
        <w:widowControl/>
        <w:spacing w:line="360" w:lineRule="auto"/>
        <w:jc w:val="left"/>
        <w:rPr>
          <w:rFonts w:ascii="Source Sans Pro" w:eastAsia="宋体" w:hAnsi="Source Sans Pro" w:cs="Calibri"/>
          <w:sz w:val="22"/>
        </w:rPr>
      </w:pPr>
    </w:p>
    <w:p w14:paraId="749510D4" w14:textId="77777777" w:rsidR="00251176" w:rsidRPr="00392614" w:rsidRDefault="00251176" w:rsidP="000D6814">
      <w:pPr>
        <w:widowControl/>
        <w:spacing w:line="360" w:lineRule="auto"/>
        <w:jc w:val="left"/>
        <w:rPr>
          <w:rFonts w:ascii="Source Sans Pro" w:eastAsia="宋体" w:hAnsi="Source Sans Pro" w:cs="Calibri"/>
          <w:sz w:val="22"/>
        </w:rPr>
      </w:pPr>
    </w:p>
    <w:p w14:paraId="61153060" w14:textId="0CE21BC5" w:rsidR="005332F0" w:rsidRPr="00392614" w:rsidRDefault="00741C6A">
      <w:pPr>
        <w:rPr>
          <w:rFonts w:ascii="Source Sans Pro" w:hAnsi="Source Sans Pro" w:cs="Calibri"/>
          <w:sz w:val="22"/>
        </w:rPr>
      </w:pPr>
      <w:r w:rsidRPr="00392614">
        <w:rPr>
          <w:rFonts w:ascii="Source Sans Pro" w:hAnsi="Source Sans Pro" w:cs="Calibri"/>
          <w:sz w:val="22"/>
        </w:rPr>
        <w:br w:type="page"/>
      </w:r>
    </w:p>
    <w:p w14:paraId="7084C651" w14:textId="61C5E86C" w:rsidR="00741C6A" w:rsidRPr="00392614" w:rsidRDefault="00741C6A" w:rsidP="00EB2269">
      <w:pPr>
        <w:spacing w:line="360" w:lineRule="auto"/>
        <w:jc w:val="left"/>
        <w:rPr>
          <w:rFonts w:ascii="Source Sans Pro" w:hAnsi="Source Sans Pro" w:cs="Calibri"/>
          <w:b/>
          <w:bCs/>
          <w:sz w:val="22"/>
        </w:rPr>
      </w:pPr>
      <w:r w:rsidRPr="00392614">
        <w:rPr>
          <w:rFonts w:ascii="Source Sans Pro" w:hAnsi="Source Sans Pro" w:cs="Calibri"/>
          <w:b/>
          <w:bCs/>
          <w:sz w:val="22"/>
        </w:rPr>
        <w:lastRenderedPageBreak/>
        <w:t>Reference</w:t>
      </w:r>
      <w:r w:rsidR="00207246" w:rsidRPr="00392614">
        <w:rPr>
          <w:rFonts w:ascii="Source Sans Pro" w:hAnsi="Source Sans Pro" w:cs="Calibri"/>
          <w:b/>
          <w:bCs/>
          <w:sz w:val="22"/>
        </w:rPr>
        <w:t>s</w:t>
      </w:r>
    </w:p>
    <w:p w14:paraId="36526FF1" w14:textId="77777777" w:rsidR="00722BE8" w:rsidRPr="00722BE8" w:rsidRDefault="005332F0" w:rsidP="00EB2269">
      <w:pPr>
        <w:pStyle w:val="a7"/>
        <w:spacing w:line="360" w:lineRule="auto"/>
        <w:jc w:val="left"/>
        <w:rPr>
          <w:rFonts w:ascii="Source Sans Pro" w:hAnsi="Source Sans Pro"/>
          <w:sz w:val="22"/>
        </w:rPr>
      </w:pPr>
      <w:r w:rsidRPr="00392614">
        <w:rPr>
          <w:rFonts w:ascii="Source Sans Pro" w:hAnsi="Source Sans Pro" w:cs="Calibri"/>
          <w:sz w:val="22"/>
        </w:rPr>
        <w:fldChar w:fldCharType="begin"/>
      </w:r>
      <w:r w:rsidR="00722BE8">
        <w:rPr>
          <w:rFonts w:ascii="Source Sans Pro" w:hAnsi="Source Sans Pro" w:cs="Calibri"/>
          <w:sz w:val="22"/>
        </w:rPr>
        <w:instrText xml:space="preserve"> ADDIN ZOTERO_BIBL {"uncited":[],"omitted":[],"custom":[]} CSL_BIBLIOGRAPHY </w:instrText>
      </w:r>
      <w:r w:rsidRPr="00392614">
        <w:rPr>
          <w:rFonts w:ascii="Source Sans Pro" w:hAnsi="Source Sans Pro" w:cs="Calibri"/>
          <w:sz w:val="22"/>
        </w:rPr>
        <w:fldChar w:fldCharType="separate"/>
      </w:r>
      <w:r w:rsidR="00722BE8" w:rsidRPr="00722BE8">
        <w:rPr>
          <w:rFonts w:ascii="Source Sans Pro" w:hAnsi="Source Sans Pro"/>
          <w:sz w:val="22"/>
        </w:rPr>
        <w:t>[1]</w:t>
      </w:r>
      <w:r w:rsidR="00722BE8" w:rsidRPr="00722BE8">
        <w:rPr>
          <w:rFonts w:ascii="Source Sans Pro" w:hAnsi="Source Sans Pro"/>
          <w:sz w:val="22"/>
        </w:rPr>
        <w:tab/>
        <w:t>M. Jenkinson, P. Bannister, M. Brady, S. Smith, Improved Optimization for the Robust and Accurate Linear Registration and Motion Correction of Brain Images, NeuroImage 17 (2002) 825–841. https://doi.org/10.1006/nimg.2002.1132.</w:t>
      </w:r>
    </w:p>
    <w:p w14:paraId="139D35DD"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[2]</w:t>
      </w:r>
      <w:r w:rsidRPr="00722BE8">
        <w:rPr>
          <w:rFonts w:ascii="Source Sans Pro" w:hAnsi="Source Sans Pro"/>
          <w:sz w:val="22"/>
        </w:rPr>
        <w:tab/>
        <w:t>M. Jenkinson, S. Smith, A global optimisation method for robust affine registration of brain images, Med. Image Anal. 5 (2001) 143–156. https://doi.org/10.1016/S1361-8415(01)00036-6.</w:t>
      </w:r>
    </w:p>
    <w:p w14:paraId="11281370"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[3]</w:t>
      </w:r>
      <w:r w:rsidRPr="00722BE8">
        <w:rPr>
          <w:rFonts w:ascii="Source Sans Pro" w:hAnsi="Source Sans Pro"/>
          <w:sz w:val="22"/>
        </w:rPr>
        <w:tab/>
        <w:t>S.M. Smith, M. Jenkinson, M.W. Woolrich, C.F. Beckmann, T.E.J. Behrens, H. Johansen-Berg, P.R. Bannister, M. De Luca, I. Drobnjak, D.E. Flitney, R.K. Niazy, J. Saunders, J. Vickers, Y. Zhang, N. De Stefano, J.M. Brady, P.M. Matthews, Advances in functional and structural MR image analysis and implementation as FSL, NeuroImage 23 (2004) S208–S219. https://doi.org/10.1016/j.neuroimage.2004.07.051.</w:t>
      </w:r>
    </w:p>
    <w:p w14:paraId="497E7359"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[4]</w:t>
      </w:r>
      <w:r w:rsidRPr="00722BE8">
        <w:rPr>
          <w:rFonts w:ascii="Source Sans Pro" w:hAnsi="Source Sans Pro"/>
          <w:sz w:val="22"/>
        </w:rPr>
        <w:tab/>
        <w:t>M.W. Woolrich, S. Jbabdi, B. Patenaude, M. Chappell, S. Makni, T. Behrens, C. Beckmann, M. Jenkinson, S.M. Smith, Bayesian analysis of neuroimaging data in FSL, NeuroImage 45 (2009) S173–S186. https://doi.org/10.1016/j.neuroimage.2008.10.055.</w:t>
      </w:r>
    </w:p>
    <w:p w14:paraId="131BF800"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[5]</w:t>
      </w:r>
      <w:r w:rsidRPr="00722BE8">
        <w:rPr>
          <w:rFonts w:ascii="Source Sans Pro" w:hAnsi="Source Sans Pro"/>
          <w:sz w:val="22"/>
        </w:rPr>
        <w:tab/>
        <w:t>S.M. Smith, Fast robust automated brain extraction, Human Brain Mapping 17 (2002) 143–155. https://doi.org/10.1002/hbm.10062.</w:t>
      </w:r>
    </w:p>
    <w:p w14:paraId="3305C33C"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[6]</w:t>
      </w:r>
      <w:r w:rsidRPr="00722BE8">
        <w:rPr>
          <w:rFonts w:ascii="Source Sans Pro" w:hAnsi="Source Sans Pro"/>
          <w:sz w:val="22"/>
        </w:rPr>
        <w:tab/>
        <w:t>S.M. Smith, Fast robust automated brain extraction, Hum. Brain Mapp. 17 (2002) 143–155. https://doi.org/10.1002/hbm.10062.</w:t>
      </w:r>
    </w:p>
    <w:p w14:paraId="7F1FA737"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[7]</w:t>
      </w:r>
      <w:r w:rsidRPr="00722BE8">
        <w:rPr>
          <w:rFonts w:ascii="Source Sans Pro" w:hAnsi="Source Sans Pro"/>
          <w:sz w:val="22"/>
        </w:rPr>
        <w:tab/>
        <w:t>J. Doshi, G. Erus, Y. Ou, B. Gaonkar, C. Davatzikos, Multi-Atlas Skull-Stripping, Acad. Radiol. 20 (2013) 1566–1576. https://doi.org/10.1016/j.acra.2013.09.010.</w:t>
      </w:r>
    </w:p>
    <w:p w14:paraId="7C5EE1B0"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[8]</w:t>
      </w:r>
      <w:r w:rsidRPr="00722BE8">
        <w:rPr>
          <w:rFonts w:ascii="Source Sans Pro" w:hAnsi="Source Sans Pro"/>
          <w:sz w:val="22"/>
        </w:rPr>
        <w:tab/>
        <w:t>E. Calabrese, J.D. Rudie, A.M. Rauschecker, J.E. Villanueva-Meyer, S. Cha, Feasibility of Simulated Postcontrast MRI of Glioblastomas and Lower-Grade Gliomas by Using Three-dimensional Fully Convolutional Neural Networks, Radiology: Artificial Intelligence 3 (2021) e200276. https://doi.org/10.1148/ryai.2021200276.</w:t>
      </w:r>
    </w:p>
    <w:p w14:paraId="5F050EC1"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[9]</w:t>
      </w:r>
      <w:r w:rsidRPr="00722BE8">
        <w:rPr>
          <w:rFonts w:ascii="Source Sans Pro" w:hAnsi="Source Sans Pro"/>
          <w:sz w:val="22"/>
        </w:rPr>
        <w:tab/>
        <w:t>E. Calabrese, J.E. Villanueva-Meyer, S. Cha, A fully automated artificial intelligence method for non-invasive, imaging-based identification of genetic alterations in glioblastomas, Sci. Rep. 10 (2020) 11852. https://doi.org/10.1038/s41598-020-68857-8.</w:t>
      </w:r>
    </w:p>
    <w:p w14:paraId="6013D8A7"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lastRenderedPageBreak/>
        <w:t>[10]</w:t>
      </w:r>
      <w:r w:rsidRPr="00722BE8">
        <w:rPr>
          <w:rFonts w:ascii="Source Sans Pro" w:hAnsi="Source Sans Pro"/>
          <w:sz w:val="22"/>
        </w:rPr>
        <w:tab/>
        <w:t>F. Isensee, M. Schell, I. Pflueger, G. Brugnara, D. Bonekamp, U. Neuberger, A. Wick, H.-P. Schlemmer, S. Heiland, W. Wick, M. Bendszus, K.H. Maier-Hein, P. Kickingereder, Automated brain extraction of multisequence MRI using artificial neural networks, Hum. Brain Mapp. 40 (2019) 4952–4964. https://doi.org/10.1002/hbm.24750.</w:t>
      </w:r>
    </w:p>
    <w:p w14:paraId="746B7700"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[11]</w:t>
      </w:r>
      <w:r w:rsidRPr="00722BE8">
        <w:rPr>
          <w:rFonts w:ascii="Source Sans Pro" w:hAnsi="Source Sans Pro"/>
          <w:sz w:val="22"/>
        </w:rPr>
        <w:tab/>
        <w:t>C.N. Kline, N.M. Joseph, J.P. Grenert, J. Van Ziffle, E. Talevich, C. Onodera, M. Aboian, S. Cha, D.R. Raleigh, S. Braunstein, J. Torkildson, D. Samuel, M. Bloomer, A.G.D.A. Campomanes, A. Banerjee, N. Butowski, C. Raffel, T. Tihan, A.W. Bollen, J.J. Phillips, W.M. Korn, I. Yeh, B.C. Bastian, N. Gupta, S. Mueller, A. Perry, T. Nicolaides, D.A. Solomon, Targeted next-generation sequencing of pediatric neuro-oncology patients improves diagnosis, identifies pathogenic germline mutations, and directs targeted therapy, Neuro-Oncology (2016) now254. https://doi.org/10.1093/neuonc/now254.</w:t>
      </w:r>
    </w:p>
    <w:p w14:paraId="59C13043"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[12]</w:t>
      </w:r>
      <w:r w:rsidRPr="00722BE8">
        <w:rPr>
          <w:rFonts w:ascii="Source Sans Pro" w:hAnsi="Source Sans Pro"/>
          <w:sz w:val="22"/>
        </w:rPr>
        <w:tab/>
        <w:t>M.M.J. Wijnenga, P.J. French, H.J. Dubbink, W.N.M. Dinjens, P.N. Atmodimedjo, J.M. Kros, R. Fleischeuer, C.M.F. Dirven, A.J.P.E. Vincent, M.J. van den Bent, Prognostic relevance of mutations and copy number alterations assessed with targeted next generation sequencing in IDH mutant grade II glioma, J. Neurooncol. 139 (2018) 349–357. https://doi.org/10.1007/s11060-018-2867-8.</w:t>
      </w:r>
    </w:p>
    <w:p w14:paraId="63655E84"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[13]</w:t>
      </w:r>
      <w:r w:rsidRPr="00722BE8">
        <w:rPr>
          <w:rFonts w:ascii="Source Sans Pro" w:hAnsi="Source Sans Pro"/>
          <w:sz w:val="22"/>
        </w:rPr>
        <w:tab/>
        <w:t>H.J. Dubbink, P.N. Atmodimedjo, J.M. Kros, P.J. French, M. Sanson, A. Idbaih, P. Wesseling, R. Enting, W. Spliet, C. Tijssen, W.N.M. Dinjens, T. Gorlia, M.J. van den Bent, Molecular classification of anaplastic oligodendroglioma using next-generation sequencing: a report of the prospective randomized EORTC Brain Tumor Group 26951 phase III trial, Neuro-Oncology 18 (2015) 388–400. https://doi.org/10.1093/neuonc/nov182.</w:t>
      </w:r>
    </w:p>
    <w:p w14:paraId="42E7E889"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[14]</w:t>
      </w:r>
      <w:r w:rsidRPr="00722BE8">
        <w:rPr>
          <w:rFonts w:ascii="Source Sans Pro" w:hAnsi="Source Sans Pro"/>
          <w:sz w:val="22"/>
        </w:rPr>
        <w:tab/>
        <w:t>S. Graham, Q.D. Vu, S.E.A. Raza, A. Azam, Y.W. Tsang, J.T. Kwak, N. Rajpoot, Hover-Net: Simultaneous segmentation and classification of nuclei in multi-tissue histology images, Med. Image Anal. 58 (2019) 101563. https://doi.org/10.1016/j.media.2019.101563.</w:t>
      </w:r>
    </w:p>
    <w:p w14:paraId="55D0AFE7"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[15]</w:t>
      </w:r>
      <w:r w:rsidRPr="00722BE8">
        <w:rPr>
          <w:rFonts w:ascii="Source Sans Pro" w:hAnsi="Source Sans Pro"/>
          <w:sz w:val="22"/>
        </w:rPr>
        <w:tab/>
        <w:t>T. Wu, E. Hu, S. Xu, M. Chen, P. Guo, Z. Dai, T. Feng, L. Zhou, W. Tang, L. Zhan, X. Fu, S. Liu, X. Bo, G. Yu, clusterProfiler 4.0: A universal enrichment tool for interpreting omics data, The Innovation 2 (2021) 100141. https://doi.org/10.1016/j.xinn.2021.100141.</w:t>
      </w:r>
    </w:p>
    <w:p w14:paraId="41F90C7B"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lastRenderedPageBreak/>
        <w:t>[16]</w:t>
      </w:r>
      <w:r w:rsidRPr="00722BE8">
        <w:rPr>
          <w:rFonts w:ascii="Source Sans Pro" w:hAnsi="Source Sans Pro"/>
          <w:sz w:val="22"/>
        </w:rPr>
        <w:tab/>
        <w:t>A.S. Castanza, J.M. Recla, D. Eby, H. Thorvaldsdóttir, C.J. Bult, J.P. Mesirov, Extending support for mouse data in the Molecular Signatures Database (MSigDB), Nat. Methods (2023) 1–2. https://doi.org/10.1038/s41592-023-02014-7.</w:t>
      </w:r>
    </w:p>
    <w:p w14:paraId="0A60A32D"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[17]</w:t>
      </w:r>
      <w:r w:rsidRPr="00722BE8">
        <w:rPr>
          <w:rFonts w:ascii="Source Sans Pro" w:hAnsi="Source Sans Pro"/>
          <w:sz w:val="22"/>
        </w:rPr>
        <w:tab/>
        <w:t>S. Hänzelmann, R. Castelo, J. Guinney, GSVA: gene set variation analysis for microarray and RNA-Seq data, BMC Bioinf. 14 (2013) 7. https://doi.org/10.1186/1471-2105-14-7.</w:t>
      </w:r>
    </w:p>
    <w:p w14:paraId="3860BCAE"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[18]</w:t>
      </w:r>
      <w:r w:rsidRPr="00722BE8">
        <w:rPr>
          <w:rFonts w:ascii="Source Sans Pro" w:hAnsi="Source Sans Pro"/>
          <w:sz w:val="22"/>
        </w:rPr>
        <w:tab/>
        <w:t xml:space="preserve">C.W. Brennan, R.G.W. Verhaak, A. McKenna, B. Campos, H. Noushmehr, S.R. Salama, S. Zheng, D. Chakravarty, J.Z. Sanborn, S.H. Berman, R. Beroukhim, B. Bernard, C.-J. Wu, G. Genovese, I. Shmulevich, J. Barnholtz-Sloan, L. Zou, R. Vegesna, S.A. Shukla, G. Ciriello, W.K. Yung, W. Zhang, C. Sougnez, T. Mikkelsen, K. Aldape, D.D. Bigner, E.G. Van Meir, M. Prados, A. Sloan, K.L. Black, J. Eschbacher, G. Finocchiaro, W. Friedman, D.W. Andrews, A. Guha, M. Iacocca, B.P. O’Neill, G. Foltz, J. Myers, D.J. Weisenberger, R. Penny, R. Kucherlapati, C.M. Perou, D.N. Hayes, R. Gibbs, M. Marra, G.B. Mills, E. Lander, P. Spellman, R. Wilson, C. Sander, J. Weinstein, M. Meyerson, S. Gabriel, P.W. Laird, D. Haussler, G. Getz, L. Chin, C. Benz, J. Barnholtz-Sloan, W. Barrett, Q. Ostrom, Y. Wolinsky, K.L. Black, B. Bose, P.T. Boulos, M. Boulos, J. Brown, C. Czerinski, M. Eppley, M. Iacocca, T. Kempista, T. Kitko, Y. Koyfman, B. Rabeno, P. Rastogi, M. Sugarman, P. Swanson, K. Yalamanchii, I.P. Otey, Y.S. Liu, Y. Xiao, J.T. Auman, P.-C. Chen, A. Hadjipanayis, E. Lee, S. Lee, P.J. Park, J. Seidman, L. Yang, R. Kucherlapati, S. Kalkanis, T. Mikkelsen, L.M. Poisson, A. Raghunathan, L. Scarpace, B. Bernard, R. Bressler, A. Eakin, L. Iype, R.B. Kreisberg, K. Leinonen, S. Reynolds, H. Rovira, V. Thorsson, I. Shmulevich, M.J. Annala, R. Penny, J. Paulauskis, E. Curley, M. Hatfield, D. Mallery, S. Morris, T. Shelton, C. Shelton, M. Sherman, P. Yena, L. Cuppini, F. DiMeco, M. Eoli, G. Finocchiaro, E. Maderna, B. Pollo, M. Saini, S. Balu, K.A. Hoadley, L. Li, C.R. Miller, Y. Shi, M.D. Topal, J. Wu, G. Dunn, C. Giannini, B.P. O’Neill, B.A. Aksoy, Y. Antipin, L. Borsu, S.H. Berman, C.W. Brennan, E. Cerami, D. Chakravarty, G. Ciriello, J. Gao, B. Gross, A. Jacobsen, M. Ladanyi, A. Lash, Y. Liang, B. Reva, C. Sander, N. Schultz, R. Shen, N.D. Socci, A. Viale, M.L. Ferguson, Q.-R. Chen, J.A. Demchok, L.A.L. Dillon, K.R.M. Shaw, M. Sheth, R. Tarnuzzer, Z. Wang, L. Yang, T. Davidsen, M.S. Guyer, B.A. </w:t>
      </w:r>
      <w:r w:rsidRPr="00722BE8">
        <w:rPr>
          <w:rFonts w:ascii="Source Sans Pro" w:hAnsi="Source Sans Pro"/>
          <w:sz w:val="22"/>
        </w:rPr>
        <w:lastRenderedPageBreak/>
        <w:t>Ozenberger, H.J. Sofia, J. Bergsten, J. Eckman, J. Harr, J. Myers, C. Smith, K. Tucker, C. Winemiller, L.A. Zach, J.Y. Ljubimova, G. Eley, B. Ayala, M.A. Jensen, A. Kahn, T.D. Pihl, D.A. Pot, Y. Wan, J. Eschbacher, G. Foltz, N. Hansen, P. Hothi, B. Lin, N. Shah, J. Yoon, C. Lau, M. Berens, K. Ardlie, R. Beroukhim, S.L. Carter, A.D. Cherniack, M. Noble, J. Cho, K. Cibulskis, D. DiCara, S. Frazer, S.B. Gabriel, N. Gehlenborg, J. Gentry, D. Heiman, J. Kim, R. Jing, E.S. Lander, M. Lawrence, P. Lin, W. Mallard, M. Meyerson, R.C. Onofrio, G. Saksena, S. Schumacher, C. Sougnez, P. Stojanov, B. Tabak, D. Voet, H. Zhang, L. Zou, G. Getz, N.N. Dees, L. Ding, L.L. Fulton, R.S. Fulton, K.-L. Kanchi, E.R. Mardis, R.K. Wilson, S.B. Baylin, D.W. Andrews, L. Harshyne, M.L. Cohen, K. Devine, A.E. Sloan, S.R. VandenBerg, M.S. Berger, M. Prados, D. Carlin, B. Craft, K. Ellrott, M. Goldman, T. Goldstein, M. Grifford, D. Haussler, S. Ma, S. Ng, S.R. Salama, J.Z. Sanborn, J. Stuart, T. Swatloski, P. Waltman, J. Zhu, R. Foss, B. Frentzen, W. Friedman, R. McTiernan, A. Yachnis, D.N. Hayes, C.M. Perou, S. Zheng, R. Vegesna, Y. Mao, R. Akbani, K. Aldape, O. Bogler, G.N. Fuller, W. Liu, Y. Liu, Y. Lu, G. Mills, A. Protopopov, X. Ren, Y. Sun, C.-J. Wu, W.K.A. Yung, W. Zhang, J. Zhang, K. Chen, J.N. Weinstein, L. Chin, R.G.W. Verhaak, H. Noushmehr, D.J. Weisenberger, M.S. Bootwalla, P.H. Lai, T.J. Triche, D.J. Van Den Berg, P.W. Laird, D.H. Gutmann, N.L. Lehman, E.G. VanMeir, D. Brat, J.J. Olson, G.M. Mastrogianakis, N.S. Devi, Z. Zhang, D. Bigner, E. Lipp, R. McLendon, The Somatic Genomic Landscape of Glioblastoma, Cell 155 (2013) 462–477. https://doi.org/10.1016/j.cell.2013.09.034.</w:t>
      </w:r>
    </w:p>
    <w:p w14:paraId="7233360D" w14:textId="77777777" w:rsidR="00722BE8" w:rsidRPr="00722BE8" w:rsidRDefault="00722BE8" w:rsidP="00EB2269">
      <w:pPr>
        <w:pStyle w:val="a7"/>
        <w:spacing w:line="360" w:lineRule="auto"/>
        <w:jc w:val="left"/>
        <w:rPr>
          <w:rFonts w:ascii="Source Sans Pro" w:hAnsi="Source Sans Pro"/>
          <w:sz w:val="22"/>
        </w:rPr>
      </w:pPr>
      <w:r w:rsidRPr="00722BE8">
        <w:rPr>
          <w:rFonts w:ascii="Source Sans Pro" w:hAnsi="Source Sans Pro"/>
          <w:sz w:val="22"/>
        </w:rPr>
        <w:t>[19]</w:t>
      </w:r>
      <w:r w:rsidRPr="00722BE8">
        <w:rPr>
          <w:rFonts w:ascii="Source Sans Pro" w:hAnsi="Source Sans Pro"/>
          <w:sz w:val="22"/>
        </w:rPr>
        <w:tab/>
        <w:t>D. Maeser, R.F. Gruener, R.S. Huang, oncoPredict: an R package for predicting in vivo or cancer patient drug response and biomarkers from cell line screening data, Brief. Bioinform. 22 (2021) bbab260. https://doi.org/10.1093/bib/bbab260.</w:t>
      </w:r>
    </w:p>
    <w:p w14:paraId="491CF996" w14:textId="67DD659A" w:rsidR="005332F0" w:rsidRPr="00392614" w:rsidRDefault="005332F0" w:rsidP="00EB2269">
      <w:pPr>
        <w:spacing w:line="360" w:lineRule="auto"/>
        <w:jc w:val="left"/>
        <w:rPr>
          <w:rFonts w:ascii="Source Sans Pro" w:hAnsi="Source Sans Pro" w:cs="Calibri"/>
          <w:sz w:val="22"/>
        </w:rPr>
      </w:pPr>
      <w:r w:rsidRPr="00392614">
        <w:rPr>
          <w:rFonts w:ascii="Source Sans Pro" w:hAnsi="Source Sans Pro" w:cs="Calibri"/>
          <w:sz w:val="22"/>
        </w:rPr>
        <w:fldChar w:fldCharType="end"/>
      </w:r>
    </w:p>
    <w:sectPr w:rsidR="005332F0" w:rsidRPr="00392614">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8ECF5" w14:textId="77777777" w:rsidR="00095706" w:rsidRDefault="00095706" w:rsidP="000A74C9">
      <w:r>
        <w:separator/>
      </w:r>
    </w:p>
  </w:endnote>
  <w:endnote w:type="continuationSeparator" w:id="0">
    <w:p w14:paraId="6C765F2A" w14:textId="77777777" w:rsidR="00095706" w:rsidRDefault="00095706" w:rsidP="000A7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0110975"/>
      <w:docPartObj>
        <w:docPartGallery w:val="Page Numbers (Bottom of Page)"/>
        <w:docPartUnique/>
      </w:docPartObj>
    </w:sdtPr>
    <w:sdtContent>
      <w:p w14:paraId="652CD1EB" w14:textId="3B58EFBB" w:rsidR="000846DF" w:rsidRDefault="000846DF">
        <w:pPr>
          <w:pStyle w:val="aa"/>
          <w:jc w:val="center"/>
        </w:pPr>
        <w:r>
          <w:fldChar w:fldCharType="begin"/>
        </w:r>
        <w:r>
          <w:instrText>PAGE   \* MERGEFORMAT</w:instrText>
        </w:r>
        <w:r>
          <w:fldChar w:fldCharType="separate"/>
        </w:r>
        <w:r>
          <w:rPr>
            <w:lang w:val="zh-CN"/>
          </w:rPr>
          <w:t>2</w:t>
        </w:r>
        <w:r>
          <w:fldChar w:fldCharType="end"/>
        </w:r>
      </w:p>
    </w:sdtContent>
  </w:sdt>
  <w:p w14:paraId="081FCA31" w14:textId="77777777" w:rsidR="000846DF" w:rsidRDefault="000846D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C9BBD" w14:textId="77777777" w:rsidR="00095706" w:rsidRDefault="00095706" w:rsidP="000A74C9">
      <w:r>
        <w:separator/>
      </w:r>
    </w:p>
  </w:footnote>
  <w:footnote w:type="continuationSeparator" w:id="0">
    <w:p w14:paraId="3FF4AA00" w14:textId="77777777" w:rsidR="00095706" w:rsidRDefault="00095706" w:rsidP="000A74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430"/>
    <w:multiLevelType w:val="hybridMultilevel"/>
    <w:tmpl w:val="CD3AC754"/>
    <w:lvl w:ilvl="0" w:tplc="8982CD3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31F798E"/>
    <w:multiLevelType w:val="multilevel"/>
    <w:tmpl w:val="F41C8980"/>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63947AF8"/>
    <w:multiLevelType w:val="multilevel"/>
    <w:tmpl w:val="A3D6BFC6"/>
    <w:lvl w:ilvl="0">
      <w:start w:val="1"/>
      <w:numFmt w:val="decimal"/>
      <w:pStyle w:val="1"/>
      <w:lvlText w:val="%1."/>
      <w:lvlJc w:val="left"/>
      <w:pPr>
        <w:tabs>
          <w:tab w:val="num" w:pos="720"/>
        </w:tabs>
        <w:ind w:left="720" w:hanging="720"/>
      </w:pPr>
    </w:lvl>
    <w:lvl w:ilvl="1">
      <w:start w:val="1"/>
      <w:numFmt w:val="decimal"/>
      <w:pStyle w:val="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42198019">
    <w:abstractNumId w:val="0"/>
  </w:num>
  <w:num w:numId="2" w16cid:durableId="460273073">
    <w:abstractNumId w:val="1"/>
  </w:num>
  <w:num w:numId="3" w16cid:durableId="1593856906">
    <w:abstractNumId w:val="2"/>
  </w:num>
  <w:num w:numId="4" w16cid:durableId="2301156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4"/>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216"/>
    <w:rsid w:val="00001595"/>
    <w:rsid w:val="000022D1"/>
    <w:rsid w:val="00007268"/>
    <w:rsid w:val="00010754"/>
    <w:rsid w:val="000109A8"/>
    <w:rsid w:val="0001275E"/>
    <w:rsid w:val="0002030E"/>
    <w:rsid w:val="00020C9A"/>
    <w:rsid w:val="00022B72"/>
    <w:rsid w:val="000231D5"/>
    <w:rsid w:val="00023DE4"/>
    <w:rsid w:val="00026CCF"/>
    <w:rsid w:val="00030355"/>
    <w:rsid w:val="00031E00"/>
    <w:rsid w:val="00037AC2"/>
    <w:rsid w:val="0004073E"/>
    <w:rsid w:val="0004504C"/>
    <w:rsid w:val="0004730B"/>
    <w:rsid w:val="00053F9F"/>
    <w:rsid w:val="000611C3"/>
    <w:rsid w:val="000656A7"/>
    <w:rsid w:val="00066F51"/>
    <w:rsid w:val="00067F0C"/>
    <w:rsid w:val="00076EF0"/>
    <w:rsid w:val="0008197A"/>
    <w:rsid w:val="00082830"/>
    <w:rsid w:val="000846DF"/>
    <w:rsid w:val="00087EE6"/>
    <w:rsid w:val="000935F2"/>
    <w:rsid w:val="00093BD3"/>
    <w:rsid w:val="00095706"/>
    <w:rsid w:val="00097440"/>
    <w:rsid w:val="000A04CC"/>
    <w:rsid w:val="000A360E"/>
    <w:rsid w:val="000A5960"/>
    <w:rsid w:val="000A74C9"/>
    <w:rsid w:val="000C2EFB"/>
    <w:rsid w:val="000C4C86"/>
    <w:rsid w:val="000C6D5B"/>
    <w:rsid w:val="000C7873"/>
    <w:rsid w:val="000D0977"/>
    <w:rsid w:val="000D49D6"/>
    <w:rsid w:val="000D4CF3"/>
    <w:rsid w:val="000D58C8"/>
    <w:rsid w:val="000D5C23"/>
    <w:rsid w:val="000D6814"/>
    <w:rsid w:val="000E33EC"/>
    <w:rsid w:val="000E6B5F"/>
    <w:rsid w:val="000F37B0"/>
    <w:rsid w:val="001010DA"/>
    <w:rsid w:val="00106970"/>
    <w:rsid w:val="001172AC"/>
    <w:rsid w:val="00125636"/>
    <w:rsid w:val="00125D68"/>
    <w:rsid w:val="00131F1F"/>
    <w:rsid w:val="00137287"/>
    <w:rsid w:val="00146613"/>
    <w:rsid w:val="00157789"/>
    <w:rsid w:val="001600D2"/>
    <w:rsid w:val="00162596"/>
    <w:rsid w:val="00167811"/>
    <w:rsid w:val="0017067C"/>
    <w:rsid w:val="00174C4E"/>
    <w:rsid w:val="00175584"/>
    <w:rsid w:val="00177618"/>
    <w:rsid w:val="00185CB3"/>
    <w:rsid w:val="00186F3A"/>
    <w:rsid w:val="001871D8"/>
    <w:rsid w:val="00190FCE"/>
    <w:rsid w:val="00194BCB"/>
    <w:rsid w:val="00194F61"/>
    <w:rsid w:val="00195641"/>
    <w:rsid w:val="001B6ABC"/>
    <w:rsid w:val="001C2148"/>
    <w:rsid w:val="001C4297"/>
    <w:rsid w:val="001C47B0"/>
    <w:rsid w:val="001C6E9A"/>
    <w:rsid w:val="001C746A"/>
    <w:rsid w:val="001D41F6"/>
    <w:rsid w:val="001E2D88"/>
    <w:rsid w:val="001E32B0"/>
    <w:rsid w:val="001E7848"/>
    <w:rsid w:val="001F119C"/>
    <w:rsid w:val="001F1C52"/>
    <w:rsid w:val="001F4F7D"/>
    <w:rsid w:val="00207246"/>
    <w:rsid w:val="002162F3"/>
    <w:rsid w:val="00217560"/>
    <w:rsid w:val="00223B6D"/>
    <w:rsid w:val="00224AC8"/>
    <w:rsid w:val="002252A8"/>
    <w:rsid w:val="00233203"/>
    <w:rsid w:val="00240C3A"/>
    <w:rsid w:val="0024181F"/>
    <w:rsid w:val="00241BD6"/>
    <w:rsid w:val="00243FF0"/>
    <w:rsid w:val="0025034F"/>
    <w:rsid w:val="00251176"/>
    <w:rsid w:val="002652E1"/>
    <w:rsid w:val="00266399"/>
    <w:rsid w:val="0028433A"/>
    <w:rsid w:val="002849E8"/>
    <w:rsid w:val="00285310"/>
    <w:rsid w:val="002A0943"/>
    <w:rsid w:val="002B5E19"/>
    <w:rsid w:val="002B6537"/>
    <w:rsid w:val="002C7724"/>
    <w:rsid w:val="002C7C5C"/>
    <w:rsid w:val="002D62FA"/>
    <w:rsid w:val="002E0054"/>
    <w:rsid w:val="002E32CF"/>
    <w:rsid w:val="002E33CC"/>
    <w:rsid w:val="002E4A53"/>
    <w:rsid w:val="002F1679"/>
    <w:rsid w:val="003105C7"/>
    <w:rsid w:val="00316499"/>
    <w:rsid w:val="00320767"/>
    <w:rsid w:val="00320835"/>
    <w:rsid w:val="003241D7"/>
    <w:rsid w:val="00334CA2"/>
    <w:rsid w:val="00340A09"/>
    <w:rsid w:val="0034523B"/>
    <w:rsid w:val="00355504"/>
    <w:rsid w:val="00363149"/>
    <w:rsid w:val="00365BCA"/>
    <w:rsid w:val="00370C72"/>
    <w:rsid w:val="00371713"/>
    <w:rsid w:val="00375853"/>
    <w:rsid w:val="00383CFF"/>
    <w:rsid w:val="00384AFB"/>
    <w:rsid w:val="00392614"/>
    <w:rsid w:val="00394B84"/>
    <w:rsid w:val="00394EE2"/>
    <w:rsid w:val="003A75A3"/>
    <w:rsid w:val="003B4EBF"/>
    <w:rsid w:val="003B7782"/>
    <w:rsid w:val="003C3327"/>
    <w:rsid w:val="003C5C82"/>
    <w:rsid w:val="003D0C97"/>
    <w:rsid w:val="003D1265"/>
    <w:rsid w:val="003D2462"/>
    <w:rsid w:val="003D2716"/>
    <w:rsid w:val="003D72E7"/>
    <w:rsid w:val="003E001F"/>
    <w:rsid w:val="003E5EDD"/>
    <w:rsid w:val="003F26FD"/>
    <w:rsid w:val="00411750"/>
    <w:rsid w:val="00413682"/>
    <w:rsid w:val="00421C98"/>
    <w:rsid w:val="00422C7D"/>
    <w:rsid w:val="004277DE"/>
    <w:rsid w:val="00435596"/>
    <w:rsid w:val="00440976"/>
    <w:rsid w:val="00447A0E"/>
    <w:rsid w:val="00450854"/>
    <w:rsid w:val="0045764F"/>
    <w:rsid w:val="004622AB"/>
    <w:rsid w:val="0047257F"/>
    <w:rsid w:val="0047379E"/>
    <w:rsid w:val="004745BE"/>
    <w:rsid w:val="00476F21"/>
    <w:rsid w:val="00484BD0"/>
    <w:rsid w:val="004A2AA5"/>
    <w:rsid w:val="004A38DC"/>
    <w:rsid w:val="004A7150"/>
    <w:rsid w:val="004B38AE"/>
    <w:rsid w:val="004B6751"/>
    <w:rsid w:val="004C229C"/>
    <w:rsid w:val="004D1163"/>
    <w:rsid w:val="004D3BE3"/>
    <w:rsid w:val="004D7FBF"/>
    <w:rsid w:val="004E14FD"/>
    <w:rsid w:val="004E1F14"/>
    <w:rsid w:val="004E5677"/>
    <w:rsid w:val="004E6593"/>
    <w:rsid w:val="00506B03"/>
    <w:rsid w:val="00506E9D"/>
    <w:rsid w:val="0051449A"/>
    <w:rsid w:val="00520DD6"/>
    <w:rsid w:val="00532BFA"/>
    <w:rsid w:val="005332F0"/>
    <w:rsid w:val="00534C19"/>
    <w:rsid w:val="005358ED"/>
    <w:rsid w:val="0055652A"/>
    <w:rsid w:val="00570216"/>
    <w:rsid w:val="00570254"/>
    <w:rsid w:val="00570FD6"/>
    <w:rsid w:val="00572E0F"/>
    <w:rsid w:val="0057650A"/>
    <w:rsid w:val="00581CF7"/>
    <w:rsid w:val="00581EA7"/>
    <w:rsid w:val="005827BC"/>
    <w:rsid w:val="00584481"/>
    <w:rsid w:val="005901AB"/>
    <w:rsid w:val="00592565"/>
    <w:rsid w:val="00594AC0"/>
    <w:rsid w:val="005A0D2E"/>
    <w:rsid w:val="005A5EEC"/>
    <w:rsid w:val="005A6224"/>
    <w:rsid w:val="005B0DDB"/>
    <w:rsid w:val="005C1729"/>
    <w:rsid w:val="005D22BD"/>
    <w:rsid w:val="005D505E"/>
    <w:rsid w:val="005D5080"/>
    <w:rsid w:val="005E6B88"/>
    <w:rsid w:val="005F0EC5"/>
    <w:rsid w:val="005F4D39"/>
    <w:rsid w:val="0060492B"/>
    <w:rsid w:val="00604956"/>
    <w:rsid w:val="00606EFF"/>
    <w:rsid w:val="00607201"/>
    <w:rsid w:val="00612FBB"/>
    <w:rsid w:val="00614C06"/>
    <w:rsid w:val="00615076"/>
    <w:rsid w:val="006244F6"/>
    <w:rsid w:val="00626FB6"/>
    <w:rsid w:val="0063035B"/>
    <w:rsid w:val="00632074"/>
    <w:rsid w:val="0063408D"/>
    <w:rsid w:val="00644790"/>
    <w:rsid w:val="00656D59"/>
    <w:rsid w:val="00657CEC"/>
    <w:rsid w:val="0066008F"/>
    <w:rsid w:val="00660EC3"/>
    <w:rsid w:val="00664513"/>
    <w:rsid w:val="006658B4"/>
    <w:rsid w:val="006658F0"/>
    <w:rsid w:val="006679CF"/>
    <w:rsid w:val="0067011E"/>
    <w:rsid w:val="00673F17"/>
    <w:rsid w:val="00697DE2"/>
    <w:rsid w:val="006A2CCD"/>
    <w:rsid w:val="006A6583"/>
    <w:rsid w:val="006A6E30"/>
    <w:rsid w:val="006A7F91"/>
    <w:rsid w:val="006C19F5"/>
    <w:rsid w:val="006C2774"/>
    <w:rsid w:val="006D427A"/>
    <w:rsid w:val="006D5520"/>
    <w:rsid w:val="006E707A"/>
    <w:rsid w:val="006F2CD3"/>
    <w:rsid w:val="006F6AF4"/>
    <w:rsid w:val="007042C6"/>
    <w:rsid w:val="00711D12"/>
    <w:rsid w:val="00717598"/>
    <w:rsid w:val="00722BE8"/>
    <w:rsid w:val="00726C10"/>
    <w:rsid w:val="00731178"/>
    <w:rsid w:val="00734E00"/>
    <w:rsid w:val="00741375"/>
    <w:rsid w:val="00741581"/>
    <w:rsid w:val="00741C6A"/>
    <w:rsid w:val="00750701"/>
    <w:rsid w:val="00750808"/>
    <w:rsid w:val="00760167"/>
    <w:rsid w:val="00762D42"/>
    <w:rsid w:val="00766198"/>
    <w:rsid w:val="00767CA3"/>
    <w:rsid w:val="0077082C"/>
    <w:rsid w:val="00771B04"/>
    <w:rsid w:val="00771DD3"/>
    <w:rsid w:val="007914C5"/>
    <w:rsid w:val="00793791"/>
    <w:rsid w:val="00793F45"/>
    <w:rsid w:val="00794E5B"/>
    <w:rsid w:val="007A0777"/>
    <w:rsid w:val="007A663E"/>
    <w:rsid w:val="007B319D"/>
    <w:rsid w:val="007C240F"/>
    <w:rsid w:val="007C49A6"/>
    <w:rsid w:val="007D0F71"/>
    <w:rsid w:val="007D4C26"/>
    <w:rsid w:val="007D7E4D"/>
    <w:rsid w:val="007E4526"/>
    <w:rsid w:val="007E7802"/>
    <w:rsid w:val="007F5F18"/>
    <w:rsid w:val="00804E18"/>
    <w:rsid w:val="00804F72"/>
    <w:rsid w:val="00807F55"/>
    <w:rsid w:val="00814F28"/>
    <w:rsid w:val="00815CD5"/>
    <w:rsid w:val="00822F75"/>
    <w:rsid w:val="008244B5"/>
    <w:rsid w:val="008402A9"/>
    <w:rsid w:val="00845A58"/>
    <w:rsid w:val="00846476"/>
    <w:rsid w:val="00851842"/>
    <w:rsid w:val="008552CD"/>
    <w:rsid w:val="00855777"/>
    <w:rsid w:val="00861FC6"/>
    <w:rsid w:val="00862F26"/>
    <w:rsid w:val="00863891"/>
    <w:rsid w:val="00865340"/>
    <w:rsid w:val="00874494"/>
    <w:rsid w:val="00875CDC"/>
    <w:rsid w:val="00883274"/>
    <w:rsid w:val="00885833"/>
    <w:rsid w:val="00886B3A"/>
    <w:rsid w:val="0089108D"/>
    <w:rsid w:val="008960AE"/>
    <w:rsid w:val="00896776"/>
    <w:rsid w:val="008979EF"/>
    <w:rsid w:val="008A4B6A"/>
    <w:rsid w:val="008A513B"/>
    <w:rsid w:val="008A6FEC"/>
    <w:rsid w:val="008B755C"/>
    <w:rsid w:val="008C7F09"/>
    <w:rsid w:val="008D1BC9"/>
    <w:rsid w:val="008E5BC0"/>
    <w:rsid w:val="0090375E"/>
    <w:rsid w:val="00904D03"/>
    <w:rsid w:val="00910BA8"/>
    <w:rsid w:val="00917568"/>
    <w:rsid w:val="00917D6E"/>
    <w:rsid w:val="0095223B"/>
    <w:rsid w:val="009729F2"/>
    <w:rsid w:val="00972A63"/>
    <w:rsid w:val="00974B08"/>
    <w:rsid w:val="00986CF2"/>
    <w:rsid w:val="0099284F"/>
    <w:rsid w:val="00994B88"/>
    <w:rsid w:val="009A6020"/>
    <w:rsid w:val="009A726C"/>
    <w:rsid w:val="009C0EB3"/>
    <w:rsid w:val="009C4C1E"/>
    <w:rsid w:val="009C69DC"/>
    <w:rsid w:val="009C6FCF"/>
    <w:rsid w:val="009D228F"/>
    <w:rsid w:val="009D3AEF"/>
    <w:rsid w:val="009D6158"/>
    <w:rsid w:val="009D66C0"/>
    <w:rsid w:val="009D7A5B"/>
    <w:rsid w:val="009E60E7"/>
    <w:rsid w:val="00A033B0"/>
    <w:rsid w:val="00A16A2B"/>
    <w:rsid w:val="00A17F84"/>
    <w:rsid w:val="00A20C25"/>
    <w:rsid w:val="00A20D29"/>
    <w:rsid w:val="00A255F8"/>
    <w:rsid w:val="00A37C88"/>
    <w:rsid w:val="00A50C63"/>
    <w:rsid w:val="00A524F1"/>
    <w:rsid w:val="00A57942"/>
    <w:rsid w:val="00A61E97"/>
    <w:rsid w:val="00A637A1"/>
    <w:rsid w:val="00A63CC3"/>
    <w:rsid w:val="00A65753"/>
    <w:rsid w:val="00A660F5"/>
    <w:rsid w:val="00A726B9"/>
    <w:rsid w:val="00A72BB6"/>
    <w:rsid w:val="00A856AA"/>
    <w:rsid w:val="00A85920"/>
    <w:rsid w:val="00A872EF"/>
    <w:rsid w:val="00A8754E"/>
    <w:rsid w:val="00AA08CB"/>
    <w:rsid w:val="00AA1F70"/>
    <w:rsid w:val="00AA4E08"/>
    <w:rsid w:val="00AA5655"/>
    <w:rsid w:val="00AB5619"/>
    <w:rsid w:val="00AC40EC"/>
    <w:rsid w:val="00AD27C7"/>
    <w:rsid w:val="00AD2A21"/>
    <w:rsid w:val="00AD4A37"/>
    <w:rsid w:val="00AD6231"/>
    <w:rsid w:val="00AD6508"/>
    <w:rsid w:val="00AE5BF2"/>
    <w:rsid w:val="00AF0A13"/>
    <w:rsid w:val="00B0362B"/>
    <w:rsid w:val="00B0422E"/>
    <w:rsid w:val="00B15638"/>
    <w:rsid w:val="00B222C3"/>
    <w:rsid w:val="00B32E59"/>
    <w:rsid w:val="00B341BC"/>
    <w:rsid w:val="00B40BC2"/>
    <w:rsid w:val="00B412D1"/>
    <w:rsid w:val="00B414C9"/>
    <w:rsid w:val="00B44607"/>
    <w:rsid w:val="00B46BF7"/>
    <w:rsid w:val="00B51E91"/>
    <w:rsid w:val="00B52E23"/>
    <w:rsid w:val="00B57764"/>
    <w:rsid w:val="00B705BC"/>
    <w:rsid w:val="00B710D4"/>
    <w:rsid w:val="00B81488"/>
    <w:rsid w:val="00B82E97"/>
    <w:rsid w:val="00B83B7E"/>
    <w:rsid w:val="00B844C1"/>
    <w:rsid w:val="00B84FF9"/>
    <w:rsid w:val="00B8541D"/>
    <w:rsid w:val="00B871F3"/>
    <w:rsid w:val="00B96A7F"/>
    <w:rsid w:val="00B97F3B"/>
    <w:rsid w:val="00BA2581"/>
    <w:rsid w:val="00BA2B22"/>
    <w:rsid w:val="00BA4EEA"/>
    <w:rsid w:val="00BA7ECF"/>
    <w:rsid w:val="00BC0491"/>
    <w:rsid w:val="00BC50D4"/>
    <w:rsid w:val="00BD1A87"/>
    <w:rsid w:val="00BD62C2"/>
    <w:rsid w:val="00BE1BB0"/>
    <w:rsid w:val="00BE7A84"/>
    <w:rsid w:val="00BF6492"/>
    <w:rsid w:val="00C0481C"/>
    <w:rsid w:val="00C12FB2"/>
    <w:rsid w:val="00C140B8"/>
    <w:rsid w:val="00C17722"/>
    <w:rsid w:val="00C215EA"/>
    <w:rsid w:val="00C21D26"/>
    <w:rsid w:val="00C23127"/>
    <w:rsid w:val="00C342A3"/>
    <w:rsid w:val="00C43820"/>
    <w:rsid w:val="00C43CC6"/>
    <w:rsid w:val="00C5247F"/>
    <w:rsid w:val="00C6285A"/>
    <w:rsid w:val="00C647EC"/>
    <w:rsid w:val="00C648BF"/>
    <w:rsid w:val="00C70074"/>
    <w:rsid w:val="00C761CB"/>
    <w:rsid w:val="00C822A5"/>
    <w:rsid w:val="00CA52E6"/>
    <w:rsid w:val="00CB6335"/>
    <w:rsid w:val="00CB78E7"/>
    <w:rsid w:val="00CC1AE9"/>
    <w:rsid w:val="00CC3FB4"/>
    <w:rsid w:val="00CC7DA6"/>
    <w:rsid w:val="00CD217D"/>
    <w:rsid w:val="00CD2A1B"/>
    <w:rsid w:val="00CE778A"/>
    <w:rsid w:val="00D011F7"/>
    <w:rsid w:val="00D12863"/>
    <w:rsid w:val="00D213EC"/>
    <w:rsid w:val="00D23A92"/>
    <w:rsid w:val="00D24A47"/>
    <w:rsid w:val="00D25EF4"/>
    <w:rsid w:val="00D30612"/>
    <w:rsid w:val="00D31677"/>
    <w:rsid w:val="00D33273"/>
    <w:rsid w:val="00D355D8"/>
    <w:rsid w:val="00D40F15"/>
    <w:rsid w:val="00D41EF1"/>
    <w:rsid w:val="00D459F2"/>
    <w:rsid w:val="00D45EBC"/>
    <w:rsid w:val="00D46445"/>
    <w:rsid w:val="00D55714"/>
    <w:rsid w:val="00D64CFA"/>
    <w:rsid w:val="00D71764"/>
    <w:rsid w:val="00D76E00"/>
    <w:rsid w:val="00D82AAF"/>
    <w:rsid w:val="00D85091"/>
    <w:rsid w:val="00D8525E"/>
    <w:rsid w:val="00D96CB2"/>
    <w:rsid w:val="00DA16F0"/>
    <w:rsid w:val="00DA1BE9"/>
    <w:rsid w:val="00DA684D"/>
    <w:rsid w:val="00DB0B37"/>
    <w:rsid w:val="00DB26FF"/>
    <w:rsid w:val="00DC0443"/>
    <w:rsid w:val="00DC422E"/>
    <w:rsid w:val="00DC4A43"/>
    <w:rsid w:val="00DC58CF"/>
    <w:rsid w:val="00DC71D0"/>
    <w:rsid w:val="00DD4CCA"/>
    <w:rsid w:val="00DE2174"/>
    <w:rsid w:val="00DE385A"/>
    <w:rsid w:val="00DE4B0A"/>
    <w:rsid w:val="00DE5A4D"/>
    <w:rsid w:val="00DE739E"/>
    <w:rsid w:val="00DF3E78"/>
    <w:rsid w:val="00E0555D"/>
    <w:rsid w:val="00E05854"/>
    <w:rsid w:val="00E165D9"/>
    <w:rsid w:val="00E205AA"/>
    <w:rsid w:val="00E40DC7"/>
    <w:rsid w:val="00E40FD5"/>
    <w:rsid w:val="00E43DCB"/>
    <w:rsid w:val="00E4671F"/>
    <w:rsid w:val="00E50E75"/>
    <w:rsid w:val="00E52D18"/>
    <w:rsid w:val="00E57369"/>
    <w:rsid w:val="00E62849"/>
    <w:rsid w:val="00E63070"/>
    <w:rsid w:val="00E66A30"/>
    <w:rsid w:val="00E66C1F"/>
    <w:rsid w:val="00E71F4D"/>
    <w:rsid w:val="00E80691"/>
    <w:rsid w:val="00E92ECE"/>
    <w:rsid w:val="00EA4857"/>
    <w:rsid w:val="00EA5AEA"/>
    <w:rsid w:val="00EB2269"/>
    <w:rsid w:val="00EB29CA"/>
    <w:rsid w:val="00EB37DC"/>
    <w:rsid w:val="00EB3D93"/>
    <w:rsid w:val="00EB4AAB"/>
    <w:rsid w:val="00EB520C"/>
    <w:rsid w:val="00EB6F12"/>
    <w:rsid w:val="00EC4D5A"/>
    <w:rsid w:val="00EC7E6C"/>
    <w:rsid w:val="00ED7201"/>
    <w:rsid w:val="00EE1814"/>
    <w:rsid w:val="00EE50C5"/>
    <w:rsid w:val="00EE5EFF"/>
    <w:rsid w:val="00EF3C20"/>
    <w:rsid w:val="00F00B5F"/>
    <w:rsid w:val="00F0530E"/>
    <w:rsid w:val="00F21314"/>
    <w:rsid w:val="00F25481"/>
    <w:rsid w:val="00F2552E"/>
    <w:rsid w:val="00F26F39"/>
    <w:rsid w:val="00F2752F"/>
    <w:rsid w:val="00F35467"/>
    <w:rsid w:val="00F4782A"/>
    <w:rsid w:val="00F729BC"/>
    <w:rsid w:val="00F72EF2"/>
    <w:rsid w:val="00F73656"/>
    <w:rsid w:val="00F748D8"/>
    <w:rsid w:val="00F75DE8"/>
    <w:rsid w:val="00F92A24"/>
    <w:rsid w:val="00F955C3"/>
    <w:rsid w:val="00FA7A42"/>
    <w:rsid w:val="00FC00A8"/>
    <w:rsid w:val="00FE2AB3"/>
    <w:rsid w:val="00FE5DF3"/>
    <w:rsid w:val="00FF6FA0"/>
    <w:rsid w:val="00FF7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57CF1"/>
  <w15:docId w15:val="{FC4132B8-A649-4916-91A2-AFE7E8E86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aliases w:val="大标题1"/>
    <w:basedOn w:val="a"/>
    <w:next w:val="a"/>
    <w:link w:val="10"/>
    <w:uiPriority w:val="9"/>
    <w:qFormat/>
    <w:rsid w:val="004622AB"/>
    <w:pPr>
      <w:numPr>
        <w:numId w:val="3"/>
      </w:numPr>
      <w:spacing w:before="100" w:beforeAutospacing="1" w:after="100" w:afterAutospacing="1" w:line="360" w:lineRule="auto"/>
      <w:ind w:left="440" w:hanging="440"/>
      <w:jc w:val="left"/>
      <w:outlineLvl w:val="0"/>
    </w:pPr>
    <w:rPr>
      <w:rFonts w:ascii="Times New Roman" w:eastAsia="宋体" w:hAnsi="Times New Roman"/>
      <w:b/>
      <w:bCs/>
      <w:kern w:val="44"/>
      <w:sz w:val="24"/>
      <w:szCs w:val="44"/>
    </w:rPr>
  </w:style>
  <w:style w:type="paragraph" w:styleId="20">
    <w:name w:val="heading 2"/>
    <w:basedOn w:val="a"/>
    <w:next w:val="a"/>
    <w:link w:val="21"/>
    <w:uiPriority w:val="9"/>
    <w:semiHidden/>
    <w:unhideWhenUsed/>
    <w:qFormat/>
    <w:rsid w:val="004622A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A20D29"/>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17558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aliases w:val="样式0"/>
    <w:basedOn w:val="a"/>
    <w:next w:val="a"/>
    <w:link w:val="a4"/>
    <w:uiPriority w:val="10"/>
    <w:qFormat/>
    <w:rsid w:val="004622AB"/>
    <w:pPr>
      <w:spacing w:before="240" w:after="60" w:line="360" w:lineRule="auto"/>
      <w:jc w:val="center"/>
      <w:outlineLvl w:val="0"/>
    </w:pPr>
    <w:rPr>
      <w:rFonts w:ascii="Times New Roman" w:eastAsia="宋体" w:hAnsi="Times New Roman" w:cstheme="majorBidi"/>
      <w:b/>
      <w:bCs/>
      <w:sz w:val="30"/>
      <w:szCs w:val="32"/>
    </w:rPr>
  </w:style>
  <w:style w:type="character" w:customStyle="1" w:styleId="a4">
    <w:name w:val="标题 字符"/>
    <w:aliases w:val="样式0 字符"/>
    <w:basedOn w:val="a0"/>
    <w:link w:val="a3"/>
    <w:uiPriority w:val="10"/>
    <w:rsid w:val="004622AB"/>
    <w:rPr>
      <w:rFonts w:ascii="Times New Roman" w:eastAsia="宋体" w:hAnsi="Times New Roman" w:cstheme="majorBidi"/>
      <w:b/>
      <w:bCs/>
      <w:sz w:val="30"/>
      <w:szCs w:val="32"/>
    </w:rPr>
  </w:style>
  <w:style w:type="character" w:customStyle="1" w:styleId="10">
    <w:name w:val="标题 1 字符"/>
    <w:aliases w:val="大标题1 字符"/>
    <w:basedOn w:val="a0"/>
    <w:link w:val="1"/>
    <w:uiPriority w:val="9"/>
    <w:rsid w:val="004622AB"/>
    <w:rPr>
      <w:rFonts w:ascii="Times New Roman" w:eastAsia="宋体" w:hAnsi="Times New Roman"/>
      <w:b/>
      <w:bCs/>
      <w:kern w:val="44"/>
      <w:sz w:val="24"/>
      <w:szCs w:val="44"/>
    </w:rPr>
  </w:style>
  <w:style w:type="paragraph" w:customStyle="1" w:styleId="2">
    <w:name w:val="论文2"/>
    <w:basedOn w:val="20"/>
    <w:link w:val="22"/>
    <w:autoRedefine/>
    <w:qFormat/>
    <w:rsid w:val="004622AB"/>
    <w:pPr>
      <w:numPr>
        <w:ilvl w:val="1"/>
        <w:numId w:val="4"/>
      </w:numPr>
      <w:spacing w:before="0" w:after="0" w:line="360" w:lineRule="auto"/>
      <w:ind w:left="567" w:hanging="567"/>
    </w:pPr>
    <w:rPr>
      <w:rFonts w:ascii="Times New Roman" w:eastAsia="宋体" w:hAnsi="Times New Roman"/>
      <w:sz w:val="24"/>
    </w:rPr>
  </w:style>
  <w:style w:type="character" w:customStyle="1" w:styleId="22">
    <w:name w:val="论文2 字符"/>
    <w:basedOn w:val="21"/>
    <w:link w:val="2"/>
    <w:rsid w:val="004622AB"/>
    <w:rPr>
      <w:rFonts w:ascii="Times New Roman" w:eastAsia="宋体" w:hAnsi="Times New Roman" w:cstheme="majorBidi"/>
      <w:b/>
      <w:bCs/>
      <w:sz w:val="24"/>
      <w:szCs w:val="32"/>
    </w:rPr>
  </w:style>
  <w:style w:type="character" w:customStyle="1" w:styleId="21">
    <w:name w:val="标题 2 字符"/>
    <w:basedOn w:val="a0"/>
    <w:link w:val="20"/>
    <w:uiPriority w:val="9"/>
    <w:semiHidden/>
    <w:rsid w:val="004622AB"/>
    <w:rPr>
      <w:rFonts w:asciiTheme="majorHAnsi" w:eastAsiaTheme="majorEastAsia" w:hAnsiTheme="majorHAnsi" w:cstheme="majorBidi"/>
      <w:b/>
      <w:bCs/>
      <w:sz w:val="32"/>
      <w:szCs w:val="32"/>
    </w:rPr>
  </w:style>
  <w:style w:type="character" w:styleId="a5">
    <w:name w:val="Hyperlink"/>
    <w:basedOn w:val="a0"/>
    <w:uiPriority w:val="99"/>
    <w:unhideWhenUsed/>
    <w:rsid w:val="00B81488"/>
    <w:rPr>
      <w:color w:val="0000FF"/>
      <w:u w:val="single"/>
    </w:rPr>
  </w:style>
  <w:style w:type="character" w:styleId="a6">
    <w:name w:val="Unresolved Mention"/>
    <w:basedOn w:val="a0"/>
    <w:uiPriority w:val="99"/>
    <w:semiHidden/>
    <w:unhideWhenUsed/>
    <w:rsid w:val="006A6583"/>
    <w:rPr>
      <w:color w:val="605E5C"/>
      <w:shd w:val="clear" w:color="auto" w:fill="E1DFDD"/>
    </w:rPr>
  </w:style>
  <w:style w:type="paragraph" w:styleId="a7">
    <w:name w:val="Bibliography"/>
    <w:basedOn w:val="a"/>
    <w:next w:val="a"/>
    <w:uiPriority w:val="37"/>
    <w:unhideWhenUsed/>
    <w:rsid w:val="005332F0"/>
    <w:pPr>
      <w:tabs>
        <w:tab w:val="left" w:pos="504"/>
      </w:tabs>
      <w:ind w:left="504" w:hanging="504"/>
    </w:pPr>
  </w:style>
  <w:style w:type="paragraph" w:styleId="a8">
    <w:name w:val="header"/>
    <w:basedOn w:val="a"/>
    <w:link w:val="a9"/>
    <w:uiPriority w:val="99"/>
    <w:unhideWhenUsed/>
    <w:rsid w:val="000A74C9"/>
    <w:pPr>
      <w:tabs>
        <w:tab w:val="center" w:pos="4153"/>
        <w:tab w:val="right" w:pos="8306"/>
      </w:tabs>
      <w:snapToGrid w:val="0"/>
      <w:jc w:val="center"/>
    </w:pPr>
    <w:rPr>
      <w:sz w:val="18"/>
      <w:szCs w:val="18"/>
    </w:rPr>
  </w:style>
  <w:style w:type="character" w:customStyle="1" w:styleId="a9">
    <w:name w:val="页眉 字符"/>
    <w:basedOn w:val="a0"/>
    <w:link w:val="a8"/>
    <w:uiPriority w:val="99"/>
    <w:rsid w:val="000A74C9"/>
    <w:rPr>
      <w:sz w:val="18"/>
      <w:szCs w:val="18"/>
    </w:rPr>
  </w:style>
  <w:style w:type="paragraph" w:styleId="aa">
    <w:name w:val="footer"/>
    <w:basedOn w:val="a"/>
    <w:link w:val="ab"/>
    <w:uiPriority w:val="99"/>
    <w:unhideWhenUsed/>
    <w:rsid w:val="000A74C9"/>
    <w:pPr>
      <w:tabs>
        <w:tab w:val="center" w:pos="4153"/>
        <w:tab w:val="right" w:pos="8306"/>
      </w:tabs>
      <w:snapToGrid w:val="0"/>
      <w:jc w:val="left"/>
    </w:pPr>
    <w:rPr>
      <w:sz w:val="18"/>
      <w:szCs w:val="18"/>
    </w:rPr>
  </w:style>
  <w:style w:type="character" w:customStyle="1" w:styleId="ab">
    <w:name w:val="页脚 字符"/>
    <w:basedOn w:val="a0"/>
    <w:link w:val="aa"/>
    <w:uiPriority w:val="99"/>
    <w:rsid w:val="000A74C9"/>
    <w:rPr>
      <w:sz w:val="18"/>
      <w:szCs w:val="18"/>
    </w:rPr>
  </w:style>
  <w:style w:type="character" w:styleId="ac">
    <w:name w:val="FollowedHyperlink"/>
    <w:basedOn w:val="a0"/>
    <w:uiPriority w:val="99"/>
    <w:semiHidden/>
    <w:unhideWhenUsed/>
    <w:rsid w:val="009D7A5B"/>
    <w:rPr>
      <w:color w:val="954F72" w:themeColor="followedHyperlink"/>
      <w:u w:val="single"/>
    </w:rPr>
  </w:style>
  <w:style w:type="character" w:customStyle="1" w:styleId="30">
    <w:name w:val="标题 3 字符"/>
    <w:basedOn w:val="a0"/>
    <w:link w:val="3"/>
    <w:uiPriority w:val="9"/>
    <w:semiHidden/>
    <w:rsid w:val="00A20D29"/>
    <w:rPr>
      <w:b/>
      <w:bCs/>
      <w:sz w:val="32"/>
      <w:szCs w:val="32"/>
    </w:rPr>
  </w:style>
  <w:style w:type="character" w:customStyle="1" w:styleId="40">
    <w:name w:val="标题 4 字符"/>
    <w:basedOn w:val="a0"/>
    <w:link w:val="4"/>
    <w:uiPriority w:val="9"/>
    <w:semiHidden/>
    <w:rsid w:val="00175584"/>
    <w:rPr>
      <w:rFonts w:asciiTheme="majorHAnsi" w:eastAsiaTheme="majorEastAsia" w:hAnsiTheme="majorHAnsi" w:cstheme="majorBidi"/>
      <w:b/>
      <w:bCs/>
      <w:sz w:val="28"/>
      <w:szCs w:val="28"/>
    </w:rPr>
  </w:style>
  <w:style w:type="paragraph" w:styleId="ad">
    <w:name w:val="Revision"/>
    <w:hidden/>
    <w:uiPriority w:val="99"/>
    <w:semiHidden/>
    <w:rsid w:val="007D0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88483">
      <w:bodyDiv w:val="1"/>
      <w:marLeft w:val="0"/>
      <w:marRight w:val="0"/>
      <w:marTop w:val="0"/>
      <w:marBottom w:val="0"/>
      <w:divBdr>
        <w:top w:val="none" w:sz="0" w:space="0" w:color="auto"/>
        <w:left w:val="none" w:sz="0" w:space="0" w:color="auto"/>
        <w:bottom w:val="none" w:sz="0" w:space="0" w:color="auto"/>
        <w:right w:val="none" w:sz="0" w:space="0" w:color="auto"/>
      </w:divBdr>
    </w:div>
    <w:div w:id="126437213">
      <w:bodyDiv w:val="1"/>
      <w:marLeft w:val="0"/>
      <w:marRight w:val="0"/>
      <w:marTop w:val="0"/>
      <w:marBottom w:val="0"/>
      <w:divBdr>
        <w:top w:val="none" w:sz="0" w:space="0" w:color="auto"/>
        <w:left w:val="none" w:sz="0" w:space="0" w:color="auto"/>
        <w:bottom w:val="none" w:sz="0" w:space="0" w:color="auto"/>
        <w:right w:val="none" w:sz="0" w:space="0" w:color="auto"/>
      </w:divBdr>
    </w:div>
    <w:div w:id="215745300">
      <w:bodyDiv w:val="1"/>
      <w:marLeft w:val="0"/>
      <w:marRight w:val="0"/>
      <w:marTop w:val="0"/>
      <w:marBottom w:val="0"/>
      <w:divBdr>
        <w:top w:val="none" w:sz="0" w:space="0" w:color="auto"/>
        <w:left w:val="none" w:sz="0" w:space="0" w:color="auto"/>
        <w:bottom w:val="none" w:sz="0" w:space="0" w:color="auto"/>
        <w:right w:val="none" w:sz="0" w:space="0" w:color="auto"/>
      </w:divBdr>
    </w:div>
    <w:div w:id="295723933">
      <w:bodyDiv w:val="1"/>
      <w:marLeft w:val="0"/>
      <w:marRight w:val="0"/>
      <w:marTop w:val="0"/>
      <w:marBottom w:val="0"/>
      <w:divBdr>
        <w:top w:val="none" w:sz="0" w:space="0" w:color="auto"/>
        <w:left w:val="none" w:sz="0" w:space="0" w:color="auto"/>
        <w:bottom w:val="none" w:sz="0" w:space="0" w:color="auto"/>
        <w:right w:val="none" w:sz="0" w:space="0" w:color="auto"/>
      </w:divBdr>
    </w:div>
    <w:div w:id="370612315">
      <w:bodyDiv w:val="1"/>
      <w:marLeft w:val="0"/>
      <w:marRight w:val="0"/>
      <w:marTop w:val="0"/>
      <w:marBottom w:val="0"/>
      <w:divBdr>
        <w:top w:val="none" w:sz="0" w:space="0" w:color="auto"/>
        <w:left w:val="none" w:sz="0" w:space="0" w:color="auto"/>
        <w:bottom w:val="none" w:sz="0" w:space="0" w:color="auto"/>
        <w:right w:val="none" w:sz="0" w:space="0" w:color="auto"/>
      </w:divBdr>
    </w:div>
    <w:div w:id="439448217">
      <w:bodyDiv w:val="1"/>
      <w:marLeft w:val="0"/>
      <w:marRight w:val="0"/>
      <w:marTop w:val="0"/>
      <w:marBottom w:val="0"/>
      <w:divBdr>
        <w:top w:val="none" w:sz="0" w:space="0" w:color="auto"/>
        <w:left w:val="none" w:sz="0" w:space="0" w:color="auto"/>
        <w:bottom w:val="none" w:sz="0" w:space="0" w:color="auto"/>
        <w:right w:val="none" w:sz="0" w:space="0" w:color="auto"/>
      </w:divBdr>
    </w:div>
    <w:div w:id="586958925">
      <w:bodyDiv w:val="1"/>
      <w:marLeft w:val="0"/>
      <w:marRight w:val="0"/>
      <w:marTop w:val="0"/>
      <w:marBottom w:val="0"/>
      <w:divBdr>
        <w:top w:val="none" w:sz="0" w:space="0" w:color="auto"/>
        <w:left w:val="none" w:sz="0" w:space="0" w:color="auto"/>
        <w:bottom w:val="none" w:sz="0" w:space="0" w:color="auto"/>
        <w:right w:val="none" w:sz="0" w:space="0" w:color="auto"/>
      </w:divBdr>
    </w:div>
    <w:div w:id="700135203">
      <w:bodyDiv w:val="1"/>
      <w:marLeft w:val="0"/>
      <w:marRight w:val="0"/>
      <w:marTop w:val="0"/>
      <w:marBottom w:val="0"/>
      <w:divBdr>
        <w:top w:val="none" w:sz="0" w:space="0" w:color="auto"/>
        <w:left w:val="none" w:sz="0" w:space="0" w:color="auto"/>
        <w:bottom w:val="none" w:sz="0" w:space="0" w:color="auto"/>
        <w:right w:val="none" w:sz="0" w:space="0" w:color="auto"/>
      </w:divBdr>
    </w:div>
    <w:div w:id="874848154">
      <w:bodyDiv w:val="1"/>
      <w:marLeft w:val="0"/>
      <w:marRight w:val="0"/>
      <w:marTop w:val="0"/>
      <w:marBottom w:val="0"/>
      <w:divBdr>
        <w:top w:val="none" w:sz="0" w:space="0" w:color="auto"/>
        <w:left w:val="none" w:sz="0" w:space="0" w:color="auto"/>
        <w:bottom w:val="none" w:sz="0" w:space="0" w:color="auto"/>
        <w:right w:val="none" w:sz="0" w:space="0" w:color="auto"/>
      </w:divBdr>
    </w:div>
    <w:div w:id="916135374">
      <w:bodyDiv w:val="1"/>
      <w:marLeft w:val="0"/>
      <w:marRight w:val="0"/>
      <w:marTop w:val="0"/>
      <w:marBottom w:val="0"/>
      <w:divBdr>
        <w:top w:val="none" w:sz="0" w:space="0" w:color="auto"/>
        <w:left w:val="none" w:sz="0" w:space="0" w:color="auto"/>
        <w:bottom w:val="none" w:sz="0" w:space="0" w:color="auto"/>
        <w:right w:val="none" w:sz="0" w:space="0" w:color="auto"/>
      </w:divBdr>
    </w:div>
    <w:div w:id="1093017752">
      <w:bodyDiv w:val="1"/>
      <w:marLeft w:val="0"/>
      <w:marRight w:val="0"/>
      <w:marTop w:val="0"/>
      <w:marBottom w:val="0"/>
      <w:divBdr>
        <w:top w:val="none" w:sz="0" w:space="0" w:color="auto"/>
        <w:left w:val="none" w:sz="0" w:space="0" w:color="auto"/>
        <w:bottom w:val="none" w:sz="0" w:space="0" w:color="auto"/>
        <w:right w:val="none" w:sz="0" w:space="0" w:color="auto"/>
      </w:divBdr>
    </w:div>
    <w:div w:id="1106583845">
      <w:bodyDiv w:val="1"/>
      <w:marLeft w:val="0"/>
      <w:marRight w:val="0"/>
      <w:marTop w:val="0"/>
      <w:marBottom w:val="0"/>
      <w:divBdr>
        <w:top w:val="none" w:sz="0" w:space="0" w:color="auto"/>
        <w:left w:val="none" w:sz="0" w:space="0" w:color="auto"/>
        <w:bottom w:val="none" w:sz="0" w:space="0" w:color="auto"/>
        <w:right w:val="none" w:sz="0" w:space="0" w:color="auto"/>
      </w:divBdr>
    </w:div>
    <w:div w:id="1391611168">
      <w:bodyDiv w:val="1"/>
      <w:marLeft w:val="0"/>
      <w:marRight w:val="0"/>
      <w:marTop w:val="0"/>
      <w:marBottom w:val="0"/>
      <w:divBdr>
        <w:top w:val="none" w:sz="0" w:space="0" w:color="auto"/>
        <w:left w:val="none" w:sz="0" w:space="0" w:color="auto"/>
        <w:bottom w:val="none" w:sz="0" w:space="0" w:color="auto"/>
        <w:right w:val="none" w:sz="0" w:space="0" w:color="auto"/>
      </w:divBdr>
    </w:div>
    <w:div w:id="1432236054">
      <w:bodyDiv w:val="1"/>
      <w:marLeft w:val="0"/>
      <w:marRight w:val="0"/>
      <w:marTop w:val="0"/>
      <w:marBottom w:val="0"/>
      <w:divBdr>
        <w:top w:val="none" w:sz="0" w:space="0" w:color="auto"/>
        <w:left w:val="none" w:sz="0" w:space="0" w:color="auto"/>
        <w:bottom w:val="none" w:sz="0" w:space="0" w:color="auto"/>
        <w:right w:val="none" w:sz="0" w:space="0" w:color="auto"/>
      </w:divBdr>
    </w:div>
    <w:div w:id="1494182895">
      <w:bodyDiv w:val="1"/>
      <w:marLeft w:val="0"/>
      <w:marRight w:val="0"/>
      <w:marTop w:val="0"/>
      <w:marBottom w:val="0"/>
      <w:divBdr>
        <w:top w:val="none" w:sz="0" w:space="0" w:color="auto"/>
        <w:left w:val="none" w:sz="0" w:space="0" w:color="auto"/>
        <w:bottom w:val="none" w:sz="0" w:space="0" w:color="auto"/>
        <w:right w:val="none" w:sz="0" w:space="0" w:color="auto"/>
      </w:divBdr>
    </w:div>
    <w:div w:id="1537504060">
      <w:bodyDiv w:val="1"/>
      <w:marLeft w:val="0"/>
      <w:marRight w:val="0"/>
      <w:marTop w:val="0"/>
      <w:marBottom w:val="0"/>
      <w:divBdr>
        <w:top w:val="none" w:sz="0" w:space="0" w:color="auto"/>
        <w:left w:val="none" w:sz="0" w:space="0" w:color="auto"/>
        <w:bottom w:val="none" w:sz="0" w:space="0" w:color="auto"/>
        <w:right w:val="none" w:sz="0" w:space="0" w:color="auto"/>
      </w:divBdr>
    </w:div>
    <w:div w:id="1596479962">
      <w:bodyDiv w:val="1"/>
      <w:marLeft w:val="0"/>
      <w:marRight w:val="0"/>
      <w:marTop w:val="0"/>
      <w:marBottom w:val="0"/>
      <w:divBdr>
        <w:top w:val="none" w:sz="0" w:space="0" w:color="auto"/>
        <w:left w:val="none" w:sz="0" w:space="0" w:color="auto"/>
        <w:bottom w:val="none" w:sz="0" w:space="0" w:color="auto"/>
        <w:right w:val="none" w:sz="0" w:space="0" w:color="auto"/>
      </w:divBdr>
    </w:div>
    <w:div w:id="1822313226">
      <w:bodyDiv w:val="1"/>
      <w:marLeft w:val="0"/>
      <w:marRight w:val="0"/>
      <w:marTop w:val="0"/>
      <w:marBottom w:val="0"/>
      <w:divBdr>
        <w:top w:val="none" w:sz="0" w:space="0" w:color="auto"/>
        <w:left w:val="none" w:sz="0" w:space="0" w:color="auto"/>
        <w:bottom w:val="none" w:sz="0" w:space="0" w:color="auto"/>
        <w:right w:val="none" w:sz="0" w:space="0" w:color="auto"/>
      </w:divBdr>
    </w:div>
    <w:div w:id="1828550839">
      <w:bodyDiv w:val="1"/>
      <w:marLeft w:val="0"/>
      <w:marRight w:val="0"/>
      <w:marTop w:val="0"/>
      <w:marBottom w:val="0"/>
      <w:divBdr>
        <w:top w:val="none" w:sz="0" w:space="0" w:color="auto"/>
        <w:left w:val="none" w:sz="0" w:space="0" w:color="auto"/>
        <w:bottom w:val="none" w:sz="0" w:space="0" w:color="auto"/>
        <w:right w:val="none" w:sz="0" w:space="0" w:color="auto"/>
      </w:divBdr>
    </w:div>
    <w:div w:id="1850178433">
      <w:bodyDiv w:val="1"/>
      <w:marLeft w:val="0"/>
      <w:marRight w:val="0"/>
      <w:marTop w:val="0"/>
      <w:marBottom w:val="0"/>
      <w:divBdr>
        <w:top w:val="none" w:sz="0" w:space="0" w:color="auto"/>
        <w:left w:val="none" w:sz="0" w:space="0" w:color="auto"/>
        <w:bottom w:val="none" w:sz="0" w:space="0" w:color="auto"/>
        <w:right w:val="none" w:sz="0" w:space="0" w:color="auto"/>
      </w:divBdr>
      <w:divsChild>
        <w:div w:id="56898724">
          <w:marLeft w:val="0"/>
          <w:marRight w:val="0"/>
          <w:marTop w:val="0"/>
          <w:marBottom w:val="0"/>
          <w:divBdr>
            <w:top w:val="none" w:sz="0" w:space="0" w:color="auto"/>
            <w:left w:val="none" w:sz="0" w:space="0" w:color="auto"/>
            <w:bottom w:val="none" w:sz="0" w:space="0" w:color="auto"/>
            <w:right w:val="none" w:sz="0" w:space="0" w:color="auto"/>
          </w:divBdr>
        </w:div>
        <w:div w:id="288823636">
          <w:marLeft w:val="0"/>
          <w:marRight w:val="0"/>
          <w:marTop w:val="0"/>
          <w:marBottom w:val="0"/>
          <w:divBdr>
            <w:top w:val="none" w:sz="0" w:space="0" w:color="auto"/>
            <w:left w:val="none" w:sz="0" w:space="0" w:color="auto"/>
            <w:bottom w:val="none" w:sz="0" w:space="0" w:color="auto"/>
            <w:right w:val="none" w:sz="0" w:space="0" w:color="auto"/>
          </w:divBdr>
        </w:div>
        <w:div w:id="338581455">
          <w:marLeft w:val="0"/>
          <w:marRight w:val="0"/>
          <w:marTop w:val="0"/>
          <w:marBottom w:val="0"/>
          <w:divBdr>
            <w:top w:val="none" w:sz="0" w:space="0" w:color="auto"/>
            <w:left w:val="none" w:sz="0" w:space="0" w:color="auto"/>
            <w:bottom w:val="none" w:sz="0" w:space="0" w:color="auto"/>
            <w:right w:val="none" w:sz="0" w:space="0" w:color="auto"/>
          </w:divBdr>
        </w:div>
        <w:div w:id="348921225">
          <w:marLeft w:val="0"/>
          <w:marRight w:val="0"/>
          <w:marTop w:val="0"/>
          <w:marBottom w:val="0"/>
          <w:divBdr>
            <w:top w:val="none" w:sz="0" w:space="0" w:color="auto"/>
            <w:left w:val="none" w:sz="0" w:space="0" w:color="auto"/>
            <w:bottom w:val="none" w:sz="0" w:space="0" w:color="auto"/>
            <w:right w:val="none" w:sz="0" w:space="0" w:color="auto"/>
          </w:divBdr>
        </w:div>
        <w:div w:id="858397530">
          <w:marLeft w:val="0"/>
          <w:marRight w:val="0"/>
          <w:marTop w:val="0"/>
          <w:marBottom w:val="0"/>
          <w:divBdr>
            <w:top w:val="none" w:sz="0" w:space="0" w:color="auto"/>
            <w:left w:val="none" w:sz="0" w:space="0" w:color="auto"/>
            <w:bottom w:val="none" w:sz="0" w:space="0" w:color="auto"/>
            <w:right w:val="none" w:sz="0" w:space="0" w:color="auto"/>
          </w:divBdr>
        </w:div>
        <w:div w:id="907686676">
          <w:marLeft w:val="0"/>
          <w:marRight w:val="0"/>
          <w:marTop w:val="0"/>
          <w:marBottom w:val="0"/>
          <w:divBdr>
            <w:top w:val="none" w:sz="0" w:space="0" w:color="auto"/>
            <w:left w:val="none" w:sz="0" w:space="0" w:color="auto"/>
            <w:bottom w:val="none" w:sz="0" w:space="0" w:color="auto"/>
            <w:right w:val="none" w:sz="0" w:space="0" w:color="auto"/>
          </w:divBdr>
        </w:div>
        <w:div w:id="1263563573">
          <w:marLeft w:val="0"/>
          <w:marRight w:val="0"/>
          <w:marTop w:val="0"/>
          <w:marBottom w:val="0"/>
          <w:divBdr>
            <w:top w:val="none" w:sz="0" w:space="0" w:color="auto"/>
            <w:left w:val="none" w:sz="0" w:space="0" w:color="auto"/>
            <w:bottom w:val="none" w:sz="0" w:space="0" w:color="auto"/>
            <w:right w:val="none" w:sz="0" w:space="0" w:color="auto"/>
          </w:divBdr>
        </w:div>
        <w:div w:id="1333992364">
          <w:marLeft w:val="0"/>
          <w:marRight w:val="0"/>
          <w:marTop w:val="0"/>
          <w:marBottom w:val="0"/>
          <w:divBdr>
            <w:top w:val="none" w:sz="0" w:space="0" w:color="auto"/>
            <w:left w:val="none" w:sz="0" w:space="0" w:color="auto"/>
            <w:bottom w:val="none" w:sz="0" w:space="0" w:color="auto"/>
            <w:right w:val="none" w:sz="0" w:space="0" w:color="auto"/>
          </w:divBdr>
        </w:div>
        <w:div w:id="1467352435">
          <w:marLeft w:val="0"/>
          <w:marRight w:val="0"/>
          <w:marTop w:val="0"/>
          <w:marBottom w:val="0"/>
          <w:divBdr>
            <w:top w:val="none" w:sz="0" w:space="0" w:color="auto"/>
            <w:left w:val="none" w:sz="0" w:space="0" w:color="auto"/>
            <w:bottom w:val="none" w:sz="0" w:space="0" w:color="auto"/>
            <w:right w:val="none" w:sz="0" w:space="0" w:color="auto"/>
          </w:divBdr>
          <w:divsChild>
            <w:div w:id="1285967536">
              <w:marLeft w:val="0"/>
              <w:marRight w:val="0"/>
              <w:marTop w:val="0"/>
              <w:marBottom w:val="0"/>
              <w:divBdr>
                <w:top w:val="none" w:sz="0" w:space="0" w:color="auto"/>
                <w:left w:val="none" w:sz="0" w:space="0" w:color="auto"/>
                <w:bottom w:val="none" w:sz="0" w:space="0" w:color="auto"/>
                <w:right w:val="none" w:sz="0" w:space="0" w:color="auto"/>
              </w:divBdr>
            </w:div>
          </w:divsChild>
        </w:div>
        <w:div w:id="1809130691">
          <w:marLeft w:val="0"/>
          <w:marRight w:val="0"/>
          <w:marTop w:val="0"/>
          <w:marBottom w:val="0"/>
          <w:divBdr>
            <w:top w:val="none" w:sz="0" w:space="0" w:color="auto"/>
            <w:left w:val="none" w:sz="0" w:space="0" w:color="auto"/>
            <w:bottom w:val="none" w:sz="0" w:space="0" w:color="auto"/>
            <w:right w:val="none" w:sz="0" w:space="0" w:color="auto"/>
          </w:divBdr>
        </w:div>
      </w:divsChild>
    </w:div>
    <w:div w:id="1863130600">
      <w:bodyDiv w:val="1"/>
      <w:marLeft w:val="0"/>
      <w:marRight w:val="0"/>
      <w:marTop w:val="0"/>
      <w:marBottom w:val="0"/>
      <w:divBdr>
        <w:top w:val="none" w:sz="0" w:space="0" w:color="auto"/>
        <w:left w:val="none" w:sz="0" w:space="0" w:color="auto"/>
        <w:bottom w:val="none" w:sz="0" w:space="0" w:color="auto"/>
        <w:right w:val="none" w:sz="0" w:space="0" w:color="auto"/>
      </w:divBdr>
    </w:div>
    <w:div w:id="2096439307">
      <w:bodyDiv w:val="1"/>
      <w:marLeft w:val="0"/>
      <w:marRight w:val="0"/>
      <w:marTop w:val="0"/>
      <w:marBottom w:val="0"/>
      <w:divBdr>
        <w:top w:val="none" w:sz="0" w:space="0" w:color="auto"/>
        <w:left w:val="none" w:sz="0" w:space="0" w:color="auto"/>
        <w:bottom w:val="none" w:sz="0" w:space="0" w:color="auto"/>
        <w:right w:val="none" w:sz="0" w:space="0" w:color="auto"/>
      </w:divBdr>
      <w:divsChild>
        <w:div w:id="1919630503">
          <w:marLeft w:val="360"/>
          <w:marRight w:val="0"/>
          <w:marTop w:val="0"/>
          <w:marBottom w:val="0"/>
          <w:divBdr>
            <w:top w:val="none" w:sz="0" w:space="0" w:color="auto"/>
            <w:left w:val="none" w:sz="0" w:space="0" w:color="auto"/>
            <w:bottom w:val="none" w:sz="0" w:space="0" w:color="auto"/>
            <w:right w:val="none" w:sz="0" w:space="0" w:color="auto"/>
          </w:divBdr>
        </w:div>
      </w:divsChild>
    </w:div>
    <w:div w:id="21020979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7937/K9/" TargetMode="External"/><Relationship Id="rId13" Type="http://schemas.openxmlformats.org/officeDocument/2006/relationships/hyperlink" Target="https://www.gsea-msigdb.org/%20gsea/msigdb/index.jsp" TargetMode="External"/><Relationship Id="rId18" Type="http://schemas.openxmlformats.org/officeDocument/2006/relationships/image" Target="media/image5.tiff"/><Relationship Id="rId3" Type="http://schemas.openxmlformats.org/officeDocument/2006/relationships/styles" Target="styles.xml"/><Relationship Id="rId21" Type="http://schemas.openxmlformats.org/officeDocument/2006/relationships/image" Target="media/image8.tiff"/><Relationship Id="rId7" Type="http://schemas.openxmlformats.org/officeDocument/2006/relationships/endnotes" Target="endnotes.xml"/><Relationship Id="rId12" Type="http://schemas.openxmlformats.org/officeDocument/2006/relationships/hyperlink" Target="https://portal.gdc.cancer.gov/" TargetMode="External"/><Relationship Id="rId17" Type="http://schemas.openxmlformats.org/officeDocument/2006/relationships/image" Target="media/image4.tif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tiff"/><Relationship Id="rId20" Type="http://schemas.openxmlformats.org/officeDocument/2006/relationships/image" Target="media/image7.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oter" Target="footer1.xml"/><Relationship Id="rId10" Type="http://schemas.openxmlformats.org/officeDocument/2006/relationships/hyperlink" Target="https://portal.gdc.cancer.gov/" TargetMode="External"/><Relationship Id="rId19" Type="http://schemas.openxmlformats.org/officeDocument/2006/relationships/image" Target="media/image6.tiff"/><Relationship Id="rId4" Type="http://schemas.openxmlformats.org/officeDocument/2006/relationships/settings" Target="settings.xml"/><Relationship Id="rId9" Type="http://schemas.openxmlformats.org/officeDocument/2006/relationships/hyperlink" Target="https://elastix.lumc.nl/modelzoo/par0064/" TargetMode="External"/><Relationship Id="rId14" Type="http://schemas.openxmlformats.org/officeDocument/2006/relationships/hyperlink" Target="https://cloud.genepattern.org/gp" TargetMode="External"/><Relationship Id="rId22"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1441D-9520-4738-90EB-3D3FA16A0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22</Pages>
  <Words>13192</Words>
  <Characters>75196</Characters>
  <Application>Microsoft Office Word</Application>
  <DocSecurity>0</DocSecurity>
  <Lines>626</Lines>
  <Paragraphs>176</Paragraphs>
  <ScaleCrop>false</ScaleCrop>
  <Company/>
  <LinksUpToDate>false</LinksUpToDate>
  <CharactersWithSpaces>88212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Colin</dc:creator>
  <cp:keywords/>
  <dc:description/>
  <cp:lastModifiedBy>Zhang Bin</cp:lastModifiedBy>
  <cp:revision>272</cp:revision>
  <dcterms:created xsi:type="dcterms:W3CDTF">2024-01-04T07:27:00Z</dcterms:created>
  <dcterms:modified xsi:type="dcterms:W3CDTF">2024-02-15T13:32:00Z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id="htTvsGG8"/&gt;&lt;style id="http://www.zotero.org/styles/cancer-letters" hasBibliography="1" bibliographyStyleHasBeenSet="1"/&gt;&lt;prefs&gt;&lt;pref name="fieldType" value="Field"/&gt;&lt;/prefs&gt;&lt;/data&gt;</vt:lpwstr>
  </property>
</Properties>
</file>