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8F44B" w14:textId="6108FF9E" w:rsidR="00401E36" w:rsidRPr="006C61D1" w:rsidRDefault="00451EAB" w:rsidP="00A90242">
      <w:pPr>
        <w:pStyle w:val="Acknowledgement"/>
        <w:spacing w:line="480" w:lineRule="auto"/>
        <w:ind w:left="0" w:firstLine="0"/>
        <w:jc w:val="both"/>
      </w:pPr>
      <w:r>
        <w:rPr>
          <w:b/>
        </w:rPr>
        <w:t xml:space="preserve">      </w:t>
      </w:r>
    </w:p>
    <w:p w14:paraId="477E7585" w14:textId="77777777" w:rsidR="00157343" w:rsidRPr="00DF1DC2" w:rsidRDefault="00157343" w:rsidP="00157343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</w:rPr>
      </w:pPr>
    </w:p>
    <w:p w14:paraId="4941BF54" w14:textId="0816D2EF" w:rsidR="0025559F" w:rsidRPr="00DF1DC2" w:rsidRDefault="0025559F" w:rsidP="007F1502">
      <w:pPr>
        <w:spacing w:before="240" w:line="480" w:lineRule="auto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 w:rsidRPr="00DF1DC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EA6E1DB" wp14:editId="6BE5B3C2">
            <wp:extent cx="5943600" cy="5322570"/>
            <wp:effectExtent l="0" t="0" r="0" b="0"/>
            <wp:docPr id="1148647321" name="Picture 1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647321" name="Picture 1" descr="A diagram of a graph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2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FB4AD" w14:textId="15CCCB4A" w:rsidR="003E7B35" w:rsidRPr="00DF1DC2" w:rsidRDefault="003E7B35" w:rsidP="007F1502">
      <w:pPr>
        <w:spacing w:before="240" w:line="480" w:lineRule="auto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 w:rsidRPr="00DF1DC2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>Extended Data Fig. 1</w:t>
      </w:r>
      <w:r w:rsidRPr="00DF1DC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. Research framework of this study.</w:t>
      </w:r>
    </w:p>
    <w:p w14:paraId="10330633" w14:textId="77777777" w:rsidR="003E7B35" w:rsidRPr="00DF1DC2" w:rsidRDefault="003E7B35" w:rsidP="007F1502">
      <w:pPr>
        <w:spacing w:line="480" w:lineRule="auto"/>
        <w:rPr>
          <w:rFonts w:ascii="Times New Roman" w:eastAsia="SimSun" w:hAnsi="Times New Roman" w:cs="Times New Roman"/>
          <w:b/>
          <w:bCs/>
          <w:noProof/>
          <w:sz w:val="24"/>
          <w:szCs w:val="24"/>
        </w:rPr>
      </w:pPr>
    </w:p>
    <w:p w14:paraId="1E5E3352" w14:textId="77777777" w:rsidR="0025559F" w:rsidRPr="00DF1DC2" w:rsidRDefault="0025559F" w:rsidP="007F1502">
      <w:pPr>
        <w:spacing w:line="480" w:lineRule="auto"/>
        <w:rPr>
          <w:rFonts w:ascii="Times New Roman" w:eastAsia="SimSun" w:hAnsi="Times New Roman" w:cs="Times New Roman"/>
          <w:b/>
          <w:bCs/>
          <w:noProof/>
          <w:sz w:val="24"/>
          <w:szCs w:val="24"/>
        </w:rPr>
      </w:pPr>
    </w:p>
    <w:p w14:paraId="5A37DEC7" w14:textId="77777777" w:rsidR="003F083C" w:rsidRPr="00DF1DC2" w:rsidRDefault="003F083C" w:rsidP="007F1502">
      <w:pPr>
        <w:spacing w:line="480" w:lineRule="auto"/>
        <w:rPr>
          <w:rFonts w:ascii="Times New Roman" w:eastAsia="SimSun" w:hAnsi="Times New Roman" w:cs="Times New Roman"/>
          <w:b/>
          <w:bCs/>
          <w:noProof/>
          <w:sz w:val="24"/>
          <w:szCs w:val="24"/>
        </w:rPr>
      </w:pPr>
    </w:p>
    <w:p w14:paraId="08D771C1" w14:textId="77777777" w:rsidR="003F083C" w:rsidRPr="00DF1DC2" w:rsidRDefault="003F083C" w:rsidP="007F1502">
      <w:pPr>
        <w:spacing w:line="480" w:lineRule="auto"/>
        <w:rPr>
          <w:rFonts w:ascii="Times New Roman" w:eastAsia="SimSun" w:hAnsi="Times New Roman" w:cs="Times New Roman"/>
          <w:b/>
          <w:bCs/>
          <w:noProof/>
          <w:sz w:val="24"/>
          <w:szCs w:val="24"/>
        </w:rPr>
      </w:pPr>
    </w:p>
    <w:p w14:paraId="78706BFF" w14:textId="77777777" w:rsidR="003F083C" w:rsidRPr="00DF1DC2" w:rsidRDefault="003F083C" w:rsidP="007F1502">
      <w:pPr>
        <w:spacing w:line="480" w:lineRule="auto"/>
        <w:rPr>
          <w:rFonts w:ascii="Times New Roman" w:eastAsia="SimSun" w:hAnsi="Times New Roman" w:cs="Times New Roman"/>
          <w:b/>
          <w:bCs/>
          <w:noProof/>
          <w:sz w:val="24"/>
          <w:szCs w:val="24"/>
        </w:rPr>
      </w:pPr>
    </w:p>
    <w:p w14:paraId="3F325AE0" w14:textId="77777777" w:rsidR="00BD583D" w:rsidRPr="00DF1DC2" w:rsidRDefault="00BD583D" w:rsidP="007F1502">
      <w:pPr>
        <w:spacing w:line="480" w:lineRule="auto"/>
        <w:rPr>
          <w:rFonts w:ascii="Times New Roman" w:eastAsia="SimSun" w:hAnsi="Times New Roman" w:cs="Times New Roman"/>
          <w:b/>
          <w:bCs/>
          <w:noProof/>
          <w:sz w:val="24"/>
          <w:szCs w:val="24"/>
        </w:rPr>
      </w:pPr>
    </w:p>
    <w:p w14:paraId="10819298" w14:textId="09D515A6" w:rsidR="003E7B35" w:rsidRPr="00DF1DC2" w:rsidRDefault="003E7B35" w:rsidP="007F1502">
      <w:pPr>
        <w:spacing w:line="480" w:lineRule="auto"/>
        <w:rPr>
          <w:rFonts w:ascii="Times New Roman" w:eastAsia="SimSun" w:hAnsi="Times New Roman" w:cs="Times New Roman"/>
          <w:noProof/>
          <w:sz w:val="24"/>
          <w:szCs w:val="24"/>
        </w:rPr>
      </w:pPr>
      <w:r w:rsidRPr="00DF1DC2">
        <w:rPr>
          <w:rFonts w:ascii="Times New Roman" w:eastAsia="SimSun" w:hAnsi="Times New Roman" w:cs="Times New Roman"/>
          <w:b/>
          <w:bCs/>
          <w:noProof/>
          <w:sz w:val="24"/>
          <w:szCs w:val="24"/>
        </w:rPr>
        <w:t>Extended Data Table 1.</w:t>
      </w:r>
      <w:r w:rsidRPr="00DF1DC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DF1DC2">
        <w:rPr>
          <w:rFonts w:ascii="Times New Roman" w:eastAsia="SimSun" w:hAnsi="Times New Roman" w:cs="Times New Roman"/>
          <w:noProof/>
          <w:sz w:val="24"/>
          <w:szCs w:val="24"/>
        </w:rPr>
        <w:t>Lagged Pearson’s correlation coefficient between detrended CO</w:t>
      </w:r>
      <w:r w:rsidRPr="00DF1DC2">
        <w:rPr>
          <w:rFonts w:ascii="Times New Roman" w:eastAsia="SimSun" w:hAnsi="Times New Roman" w:cs="Times New Roman"/>
          <w:noProof/>
          <w:sz w:val="24"/>
          <w:szCs w:val="24"/>
          <w:vertAlign w:val="subscript"/>
        </w:rPr>
        <w:t>2</w:t>
      </w:r>
      <w:r w:rsidRPr="00DF1DC2">
        <w:rPr>
          <w:rFonts w:ascii="Times New Roman" w:eastAsia="SimSun" w:hAnsi="Times New Roman" w:cs="Times New Roman"/>
          <w:noProof/>
          <w:sz w:val="24"/>
          <w:szCs w:val="24"/>
        </w:rPr>
        <w:t xml:space="preserve"> emission intensity and</w:t>
      </w:r>
      <w:r w:rsidRPr="00DF1DC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DF1DC2">
        <w:rPr>
          <w:rFonts w:ascii="Times New Roman" w:eastAsia="SimSun" w:hAnsi="Times New Roman" w:cs="Times New Roman"/>
          <w:noProof/>
          <w:sz w:val="24"/>
          <w:szCs w:val="24"/>
        </w:rPr>
        <w:t>global military expenditure as a percentage of GDP. “Lag” indicates the number of years lagged.</w:t>
      </w:r>
      <w:r w:rsidRPr="00DF1DC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DF1DC2">
        <w:rPr>
          <w:rFonts w:ascii="Times New Roman" w:eastAsia="SimSun" w:hAnsi="Times New Roman" w:cs="Times New Roman"/>
          <w:noProof/>
          <w:sz w:val="24"/>
          <w:szCs w:val="24"/>
        </w:rPr>
        <w:t>Here, we consider only the possible effect of the military expenditure ratio on CO</w:t>
      </w:r>
      <w:r w:rsidRPr="00DF1DC2">
        <w:rPr>
          <w:rFonts w:ascii="Times New Roman" w:eastAsia="SimSun" w:hAnsi="Times New Roman" w:cs="Times New Roman"/>
          <w:noProof/>
          <w:sz w:val="24"/>
          <w:szCs w:val="24"/>
          <w:vertAlign w:val="subscript"/>
        </w:rPr>
        <w:t>2</w:t>
      </w:r>
      <w:r w:rsidRPr="00DF1DC2">
        <w:rPr>
          <w:rFonts w:ascii="Times New Roman" w:eastAsia="SimSun" w:hAnsi="Times New Roman" w:cs="Times New Roman"/>
          <w:noProof/>
          <w:sz w:val="24"/>
          <w:szCs w:val="24"/>
        </w:rPr>
        <w:t xml:space="preserve"> emission intensity, and therefore, only the lagged correlation of CO</w:t>
      </w:r>
      <w:r w:rsidRPr="00DF1DC2">
        <w:rPr>
          <w:rFonts w:ascii="Times New Roman" w:eastAsia="SimSun" w:hAnsi="Times New Roman" w:cs="Times New Roman"/>
          <w:noProof/>
          <w:sz w:val="24"/>
          <w:szCs w:val="24"/>
          <w:vertAlign w:val="subscript"/>
        </w:rPr>
        <w:t xml:space="preserve">2 </w:t>
      </w:r>
      <w:r w:rsidRPr="00DF1DC2">
        <w:rPr>
          <w:rFonts w:ascii="Times New Roman" w:eastAsia="SimSun" w:hAnsi="Times New Roman" w:cs="Times New Roman"/>
          <w:noProof/>
          <w:sz w:val="24"/>
          <w:szCs w:val="24"/>
        </w:rPr>
        <w:t xml:space="preserve">intensity with respect to the military expenditure ratio is calculated. The correlation coefficients in bold pass the Student’s </w:t>
      </w:r>
      <w:r w:rsidRPr="00DF1DC2">
        <w:rPr>
          <w:rFonts w:ascii="Times New Roman" w:hAnsi="Times New Roman" w:cs="Times New Roman"/>
          <w:i/>
          <w:sz w:val="24"/>
        </w:rPr>
        <w:t>t</w:t>
      </w:r>
      <w:r w:rsidRPr="00DF1DC2">
        <w:rPr>
          <w:rFonts w:ascii="Times New Roman" w:eastAsia="SimSun" w:hAnsi="Times New Roman" w:cs="Times New Roman"/>
          <w:noProof/>
          <w:sz w:val="24"/>
          <w:szCs w:val="24"/>
        </w:rPr>
        <w:t xml:space="preserve">-test at 0.1 significance level (lag </w:t>
      </w:r>
      <w:r w:rsidRPr="00DF1DC2">
        <w:rPr>
          <w:rFonts w:ascii="Times New Roman" w:eastAsia="SimSun" w:hAnsi="Times New Roman" w:cs="Times New Roman"/>
          <w:sz w:val="24"/>
          <w:szCs w:val="24"/>
        </w:rPr>
        <w:t>=</w:t>
      </w:r>
      <w:r w:rsidRPr="00DF1DC2">
        <w:rPr>
          <w:rFonts w:ascii="Times New Roman" w:eastAsia="SimSun" w:hAnsi="Times New Roman" w:cs="Times New Roman"/>
          <w:noProof/>
          <w:sz w:val="24"/>
          <w:szCs w:val="24"/>
        </w:rPr>
        <w:t xml:space="preserve"> 0, </w:t>
      </w:r>
      <w:r w:rsidR="00637407" w:rsidRPr="00DF1DC2">
        <w:rPr>
          <w:rFonts w:ascii="Times New Roman" w:eastAsia="SimSun" w:hAnsi="Times New Roman" w:cs="Times New Roman"/>
          <w:noProof/>
          <w:sz w:val="24"/>
          <w:szCs w:val="24"/>
        </w:rPr>
        <w:t xml:space="preserve">1, </w:t>
      </w:r>
      <w:r w:rsidRPr="00DF1DC2">
        <w:rPr>
          <w:rFonts w:ascii="Times New Roman" w:eastAsia="SimSun" w:hAnsi="Times New Roman" w:cs="Times New Roman"/>
          <w:noProof/>
          <w:sz w:val="24"/>
          <w:szCs w:val="24"/>
        </w:rPr>
        <w:t xml:space="preserve">2) or 0.05 significance level (lag </w:t>
      </w:r>
      <w:r w:rsidRPr="00DF1DC2">
        <w:rPr>
          <w:rFonts w:ascii="Times New Roman" w:eastAsia="SimSun" w:hAnsi="Times New Roman" w:cs="Times New Roman"/>
          <w:sz w:val="24"/>
          <w:szCs w:val="24"/>
        </w:rPr>
        <w:t>=</w:t>
      </w:r>
      <w:r w:rsidRPr="00DF1DC2">
        <w:rPr>
          <w:rFonts w:ascii="Times New Roman" w:eastAsia="SimSun" w:hAnsi="Times New Roman" w:cs="Times New Roman"/>
          <w:noProof/>
          <w:sz w:val="24"/>
          <w:szCs w:val="24"/>
        </w:rPr>
        <w:t xml:space="preserve"> 1). </w:t>
      </w:r>
      <w:r w:rsidRPr="00DF1DC2">
        <w:rPr>
          <w:rFonts w:ascii="Times New Roman" w:hAnsi="Times New Roman" w:cs="Times New Roman"/>
          <w:noProof/>
          <w:sz w:val="24"/>
          <w:szCs w:val="24"/>
        </w:rPr>
        <w:t>Effective degrees of freedom are used for the significance test.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809"/>
        <w:gridCol w:w="1227"/>
        <w:gridCol w:w="1234"/>
        <w:gridCol w:w="1270"/>
        <w:gridCol w:w="1270"/>
        <w:gridCol w:w="1270"/>
        <w:gridCol w:w="1270"/>
      </w:tblGrid>
      <w:tr w:rsidR="003E7B35" w:rsidRPr="00DF1DC2" w14:paraId="0822E390" w14:textId="77777777" w:rsidTr="00AE5EF1">
        <w:trPr>
          <w:jc w:val="center"/>
        </w:trPr>
        <w:tc>
          <w:tcPr>
            <w:tcW w:w="968" w:type="pct"/>
          </w:tcPr>
          <w:p w14:paraId="024D43B0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rPr>
                <w:rFonts w:ascii="Times New Roman" w:eastAsia="SimSun" w:hAnsi="Times New Roman" w:cs="Times New Roman"/>
                <w:b/>
                <w:noProof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/>
                <w:noProof/>
                <w:sz w:val="24"/>
                <w:szCs w:val="24"/>
              </w:rPr>
              <w:t>Lag</w:t>
            </w:r>
          </w:p>
        </w:tc>
        <w:tc>
          <w:tcPr>
            <w:tcW w:w="656" w:type="pct"/>
          </w:tcPr>
          <w:p w14:paraId="692A7281" w14:textId="55D98ABE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0" w:type="pct"/>
          </w:tcPr>
          <w:p w14:paraId="1C77A838" w14:textId="15AC74B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79" w:type="pct"/>
          </w:tcPr>
          <w:p w14:paraId="357D1F4C" w14:textId="14065438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79" w:type="pct"/>
          </w:tcPr>
          <w:p w14:paraId="1C266DDE" w14:textId="51D9A39C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79" w:type="pct"/>
          </w:tcPr>
          <w:p w14:paraId="0951AD87" w14:textId="25668B83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rPr>
                <w:rFonts w:ascii="Times New Roman" w:eastAsia="SimSu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679" w:type="pct"/>
          </w:tcPr>
          <w:p w14:paraId="1D7AB949" w14:textId="6A02F362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rPr>
                <w:rFonts w:ascii="Times New Roman" w:eastAsia="SimSu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noProof/>
                <w:sz w:val="24"/>
                <w:szCs w:val="24"/>
              </w:rPr>
              <w:t>5</w:t>
            </w:r>
          </w:p>
        </w:tc>
      </w:tr>
      <w:tr w:rsidR="003E7B35" w:rsidRPr="00DF1DC2" w14:paraId="1E24602F" w14:textId="77777777" w:rsidTr="00AE5EF1">
        <w:trPr>
          <w:trHeight w:val="592"/>
          <w:jc w:val="center"/>
        </w:trPr>
        <w:tc>
          <w:tcPr>
            <w:tcW w:w="968" w:type="pct"/>
          </w:tcPr>
          <w:p w14:paraId="3D80CE13" w14:textId="45458185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rPr>
                <w:rFonts w:ascii="Times New Roman" w:hAnsi="Times New Roman" w:cs="Times New Roman"/>
                <w:b/>
                <w:sz w:val="24"/>
              </w:rPr>
            </w:pPr>
            <w:r w:rsidRPr="00DF1DC2">
              <w:rPr>
                <w:rFonts w:ascii="Times New Roman" w:eastAsia="SimSun" w:hAnsi="Times New Roman" w:cs="Times New Roman"/>
                <w:b/>
                <w:noProof/>
                <w:sz w:val="24"/>
                <w:szCs w:val="24"/>
              </w:rPr>
              <w:t>C</w:t>
            </w:r>
            <w:r w:rsidRPr="00DF1DC2">
              <w:rPr>
                <w:rFonts w:ascii="Times New Roman" w:hAnsi="Times New Roman" w:cs="Times New Roman"/>
                <w:b/>
                <w:sz w:val="24"/>
              </w:rPr>
              <w:t>orrelation coefficient</w:t>
            </w:r>
          </w:p>
        </w:tc>
        <w:tc>
          <w:tcPr>
            <w:tcW w:w="656" w:type="pct"/>
          </w:tcPr>
          <w:p w14:paraId="116E82AD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0.74</w:t>
            </w:r>
          </w:p>
        </w:tc>
        <w:tc>
          <w:tcPr>
            <w:tcW w:w="660" w:type="pct"/>
          </w:tcPr>
          <w:p w14:paraId="5797DD2B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0.87</w:t>
            </w:r>
          </w:p>
        </w:tc>
        <w:tc>
          <w:tcPr>
            <w:tcW w:w="679" w:type="pct"/>
          </w:tcPr>
          <w:p w14:paraId="780CAEE8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0.76</w:t>
            </w:r>
          </w:p>
        </w:tc>
        <w:tc>
          <w:tcPr>
            <w:tcW w:w="679" w:type="pct"/>
          </w:tcPr>
          <w:p w14:paraId="199EF6E4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  <w:szCs w:val="24"/>
              </w:rPr>
              <w:t>0.54</w:t>
            </w:r>
          </w:p>
        </w:tc>
        <w:tc>
          <w:tcPr>
            <w:tcW w:w="679" w:type="pct"/>
          </w:tcPr>
          <w:p w14:paraId="02723F01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rPr>
                <w:rFonts w:ascii="Times New Roman" w:eastAsia="SimSu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noProof/>
                <w:sz w:val="24"/>
                <w:szCs w:val="24"/>
              </w:rPr>
              <w:t>0.31</w:t>
            </w:r>
          </w:p>
        </w:tc>
        <w:tc>
          <w:tcPr>
            <w:tcW w:w="679" w:type="pct"/>
          </w:tcPr>
          <w:p w14:paraId="73E7C959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rPr>
                <w:rFonts w:ascii="Times New Roman" w:eastAsia="SimSu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noProof/>
                <w:sz w:val="24"/>
                <w:szCs w:val="24"/>
              </w:rPr>
              <w:t>0.07</w:t>
            </w:r>
          </w:p>
        </w:tc>
      </w:tr>
    </w:tbl>
    <w:p w14:paraId="748AB76C" w14:textId="77777777" w:rsidR="003E7B35" w:rsidRPr="00DF1DC2" w:rsidRDefault="003E7B35" w:rsidP="007F1502">
      <w:pPr>
        <w:spacing w:line="480" w:lineRule="auto"/>
        <w:rPr>
          <w:rFonts w:ascii="Times New Roman" w:eastAsia="SimSun" w:hAnsi="Times New Roman" w:cs="Times New Roman"/>
          <w:b/>
          <w:bCs/>
          <w:noProof/>
          <w:color w:val="000000"/>
          <w:sz w:val="24"/>
          <w:szCs w:val="24"/>
        </w:rPr>
      </w:pPr>
    </w:p>
    <w:p w14:paraId="08ABADF6" w14:textId="1B59E5D4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DF1DC2">
        <w:rPr>
          <w:rFonts w:ascii="Times New Roman" w:eastAsia="SimSun" w:hAnsi="Times New Roman" w:cs="Times New Roman"/>
          <w:b/>
          <w:bCs/>
          <w:noProof/>
          <w:color w:val="000000"/>
          <w:sz w:val="24"/>
          <w:szCs w:val="24"/>
        </w:rPr>
        <w:t>Extended Data Table 2.</w:t>
      </w:r>
      <w:r w:rsidRPr="00DF1DC2">
        <w:rPr>
          <w:rFonts w:ascii="Times New Roman" w:eastAsia="SimSun" w:hAnsi="Times New Roman" w:cs="Times New Roman"/>
          <w:noProof/>
          <w:color w:val="000000"/>
          <w:sz w:val="24"/>
          <w:szCs w:val="24"/>
        </w:rPr>
        <w:t xml:space="preserve"> </w:t>
      </w:r>
      <w:r w:rsidRPr="00DF1DC2">
        <w:rPr>
          <w:rFonts w:ascii="Times New Roman" w:hAnsi="Times New Roman" w:cs="Times New Roman"/>
          <w:noProof/>
          <w:sz w:val="24"/>
          <w:szCs w:val="24"/>
        </w:rPr>
        <w:t>CO</w:t>
      </w:r>
      <w:r w:rsidRPr="00DF1DC2">
        <w:rPr>
          <w:rFonts w:ascii="Times New Roman" w:hAnsi="Times New Roman" w:cs="Times New Roman"/>
          <w:noProof/>
          <w:sz w:val="24"/>
          <w:szCs w:val="24"/>
          <w:vertAlign w:val="subscript"/>
        </w:rPr>
        <w:t>2</w:t>
      </w:r>
      <w:r w:rsidRPr="00DF1DC2">
        <w:rPr>
          <w:rFonts w:ascii="Times New Roman" w:hAnsi="Times New Roman" w:cs="Times New Roman"/>
          <w:noProof/>
          <w:sz w:val="24"/>
          <w:szCs w:val="24"/>
        </w:rPr>
        <w:t xml:space="preserve"> emissions from source iv (</w:t>
      </w:r>
      <w:r w:rsidRPr="00DF1DC2">
        <w:rPr>
          <w:rFonts w:ascii="Times New Roman" w:hAnsi="Times New Roman" w:cs="Times New Roman"/>
          <w:noProof/>
          <w:color w:val="1F1F1F"/>
          <w:sz w:val="24"/>
          <w:szCs w:val="24"/>
        </w:rPr>
        <w:t>destruction of carbon reservoirs</w:t>
      </w:r>
      <w:r w:rsidRPr="00DF1DC2">
        <w:rPr>
          <w:rFonts w:ascii="Times New Roman" w:hAnsi="Times New Roman" w:cs="Times New Roman"/>
          <w:noProof/>
          <w:sz w:val="24"/>
          <w:szCs w:val="24"/>
        </w:rPr>
        <w:t>) during different wars estimated by Michaelowa et al.</w:t>
      </w:r>
      <w:r w:rsidRPr="00DF1DC2">
        <w:rPr>
          <w:rFonts w:ascii="Times New Roman" w:hAnsi="Times New Roman" w:cs="Times New Roman"/>
          <w:noProof/>
          <w:sz w:val="24"/>
          <w:szCs w:val="24"/>
          <w:vertAlign w:val="superscript"/>
        </w:rPr>
        <w:t>[</w:t>
      </w:r>
      <w:r w:rsidR="00C5690E">
        <w:rPr>
          <w:rFonts w:ascii="Times New Roman" w:hAnsi="Times New Roman" w:cs="Times New Roman"/>
          <w:noProof/>
          <w:sz w:val="24"/>
          <w:szCs w:val="24"/>
          <w:vertAlign w:val="superscript"/>
        </w:rPr>
        <w:t>12</w:t>
      </w:r>
      <w:r w:rsidRPr="00DF1DC2">
        <w:rPr>
          <w:rFonts w:ascii="Times New Roman" w:hAnsi="Times New Roman" w:cs="Times New Roman"/>
          <w:noProof/>
          <w:sz w:val="24"/>
          <w:szCs w:val="24"/>
          <w:vertAlign w:val="superscript"/>
        </w:rPr>
        <w:t>]</w:t>
      </w:r>
    </w:p>
    <w:tbl>
      <w:tblPr>
        <w:tblStyle w:val="TableGrid"/>
        <w:tblW w:w="8359" w:type="dxa"/>
        <w:tblLook w:val="04A0" w:firstRow="1" w:lastRow="0" w:firstColumn="1" w:lastColumn="0" w:noHBand="0" w:noVBand="1"/>
      </w:tblPr>
      <w:tblGrid>
        <w:gridCol w:w="1659"/>
        <w:gridCol w:w="1659"/>
        <w:gridCol w:w="1780"/>
        <w:gridCol w:w="3261"/>
      </w:tblGrid>
      <w:tr w:rsidR="003E7B35" w:rsidRPr="00DF1DC2" w14:paraId="159DD5E8" w14:textId="77777777" w:rsidTr="008C6DF3">
        <w:tc>
          <w:tcPr>
            <w:tcW w:w="1659" w:type="dxa"/>
          </w:tcPr>
          <w:p w14:paraId="3D3D766E" w14:textId="77777777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War or conflict</w:t>
            </w:r>
          </w:p>
        </w:tc>
        <w:tc>
          <w:tcPr>
            <w:tcW w:w="1659" w:type="dxa"/>
          </w:tcPr>
          <w:p w14:paraId="79F53F69" w14:textId="77777777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Period</w:t>
            </w:r>
          </w:p>
        </w:tc>
        <w:tc>
          <w:tcPr>
            <w:tcW w:w="1780" w:type="dxa"/>
          </w:tcPr>
          <w:p w14:paraId="508E9D19" w14:textId="77777777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CO</w:t>
            </w: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emissions (t)</w:t>
            </w:r>
          </w:p>
        </w:tc>
        <w:tc>
          <w:tcPr>
            <w:tcW w:w="3261" w:type="dxa"/>
          </w:tcPr>
          <w:p w14:paraId="0A2DAEF6" w14:textId="4535EFD1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Details</w:t>
            </w:r>
          </w:p>
        </w:tc>
      </w:tr>
      <w:tr w:rsidR="003E7B35" w:rsidRPr="00DF1DC2" w14:paraId="1591130B" w14:textId="77777777" w:rsidTr="008C6DF3">
        <w:tc>
          <w:tcPr>
            <w:tcW w:w="1659" w:type="dxa"/>
          </w:tcPr>
          <w:p w14:paraId="6323E425" w14:textId="77777777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World War II</w:t>
            </w:r>
          </w:p>
        </w:tc>
        <w:tc>
          <w:tcPr>
            <w:tcW w:w="1659" w:type="dxa"/>
          </w:tcPr>
          <w:p w14:paraId="72F4487D" w14:textId="77777777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1943</w:t>
            </w:r>
          </w:p>
        </w:tc>
        <w:tc>
          <w:tcPr>
            <w:tcW w:w="1780" w:type="dxa"/>
          </w:tcPr>
          <w:p w14:paraId="208DD694" w14:textId="77777777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36–215</w:t>
            </w:r>
            <w:r w:rsidRPr="00DF1D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million</w:t>
            </w:r>
          </w:p>
        </w:tc>
        <w:tc>
          <w:tcPr>
            <w:tcW w:w="3261" w:type="dxa"/>
          </w:tcPr>
          <w:p w14:paraId="7C6DA648" w14:textId="1F52DB3F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Entire German cities were bombed.</w:t>
            </w:r>
          </w:p>
        </w:tc>
      </w:tr>
      <w:tr w:rsidR="003E7B35" w:rsidRPr="00DF1DC2" w14:paraId="154B579A" w14:textId="77777777" w:rsidTr="008C6DF3">
        <w:tc>
          <w:tcPr>
            <w:tcW w:w="1659" w:type="dxa"/>
          </w:tcPr>
          <w:p w14:paraId="79943C46" w14:textId="77777777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Vietnam War</w:t>
            </w:r>
          </w:p>
        </w:tc>
        <w:tc>
          <w:tcPr>
            <w:tcW w:w="1659" w:type="dxa"/>
          </w:tcPr>
          <w:p w14:paraId="46D93ADF" w14:textId="48B1CC3D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1961–1971</w:t>
            </w:r>
          </w:p>
        </w:tc>
        <w:tc>
          <w:tcPr>
            <w:tcW w:w="1780" w:type="dxa"/>
          </w:tcPr>
          <w:p w14:paraId="16B45727" w14:textId="77777777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300</w:t>
            </w:r>
            <w:r w:rsidRPr="00DF1D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million</w:t>
            </w:r>
          </w:p>
        </w:tc>
        <w:tc>
          <w:tcPr>
            <w:tcW w:w="3261" w:type="dxa"/>
          </w:tcPr>
          <w:p w14:paraId="1F803A5A" w14:textId="77777777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0.5</w:t>
            </w:r>
            <w:r w:rsidRPr="00DF1D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million hectares of tropical forest and mangroves in southern Vietnam were destroyed.</w:t>
            </w:r>
          </w:p>
        </w:tc>
      </w:tr>
      <w:tr w:rsidR="003E7B35" w:rsidRPr="00DF1DC2" w14:paraId="500B5F06" w14:textId="77777777" w:rsidTr="00F86B17">
        <w:trPr>
          <w:trHeight w:val="416"/>
        </w:trPr>
        <w:tc>
          <w:tcPr>
            <w:tcW w:w="1659" w:type="dxa"/>
          </w:tcPr>
          <w:p w14:paraId="066C7EAC" w14:textId="77777777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the Gulf War</w:t>
            </w:r>
          </w:p>
        </w:tc>
        <w:tc>
          <w:tcPr>
            <w:tcW w:w="1659" w:type="dxa"/>
          </w:tcPr>
          <w:p w14:paraId="0B444A27" w14:textId="77777777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1991</w:t>
            </w:r>
          </w:p>
        </w:tc>
        <w:tc>
          <w:tcPr>
            <w:tcW w:w="1780" w:type="dxa"/>
          </w:tcPr>
          <w:p w14:paraId="2D95A427" w14:textId="04FD52F9" w:rsidR="003E7B35" w:rsidRPr="00DF1DC2" w:rsidRDefault="003E7B35" w:rsidP="00F86B17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320</w:t>
            </w:r>
            <w:r w:rsidRPr="00DF1D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million CO</w:t>
            </w: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261" w:type="dxa"/>
          </w:tcPr>
          <w:p w14:paraId="57FAEAB7" w14:textId="67F51D85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Iraq set fire to 751 oil wells in Kuwait.</w:t>
            </w:r>
          </w:p>
        </w:tc>
      </w:tr>
      <w:tr w:rsidR="003E7B35" w:rsidRPr="00DF1DC2" w14:paraId="08BC15D6" w14:textId="77777777" w:rsidTr="008C6DF3">
        <w:tc>
          <w:tcPr>
            <w:tcW w:w="1659" w:type="dxa"/>
          </w:tcPr>
          <w:p w14:paraId="5F493C46" w14:textId="77777777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Nuclear</w:t>
            </w:r>
          </w:p>
          <w:p w14:paraId="179A3421" w14:textId="77777777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war</w:t>
            </w:r>
          </w:p>
        </w:tc>
        <w:tc>
          <w:tcPr>
            <w:tcW w:w="1659" w:type="dxa"/>
          </w:tcPr>
          <w:p w14:paraId="11CEA2A5" w14:textId="77777777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future</w:t>
            </w:r>
          </w:p>
        </w:tc>
        <w:tc>
          <w:tcPr>
            <w:tcW w:w="1780" w:type="dxa"/>
          </w:tcPr>
          <w:p w14:paraId="3F424073" w14:textId="77777777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1.8–14</w:t>
            </w:r>
            <w:r w:rsidRPr="00DF1D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million per city</w:t>
            </w:r>
          </w:p>
        </w:tc>
        <w:tc>
          <w:tcPr>
            <w:tcW w:w="3261" w:type="dxa"/>
          </w:tcPr>
          <w:p w14:paraId="6BAF5191" w14:textId="77777777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FD9270E" w14:textId="77777777" w:rsidR="003E7B35" w:rsidRPr="00DF1DC2" w:rsidRDefault="003E7B35" w:rsidP="007F1502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F1DC2">
              <w:rPr>
                <w:rFonts w:ascii="Times New Roman" w:hAnsi="Times New Roman" w:cs="Times New Roman"/>
                <w:noProof/>
                <w:sz w:val="24"/>
                <w:szCs w:val="24"/>
              </w:rPr>
              <w:t>/</w:t>
            </w:r>
          </w:p>
        </w:tc>
      </w:tr>
    </w:tbl>
    <w:p w14:paraId="329E6CBD" w14:textId="77777777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B602354" w14:textId="6FE5BBAB" w:rsidR="003E7B35" w:rsidRPr="00DF1DC2" w:rsidRDefault="003E7B35" w:rsidP="007F1502">
      <w:pPr>
        <w:pStyle w:val="ListParagraph"/>
        <w:spacing w:line="480" w:lineRule="auto"/>
        <w:ind w:firstLineChars="0" w:firstLine="0"/>
        <w:rPr>
          <w:rFonts w:ascii="Times New Roman" w:hAnsi="Times New Roman" w:cs="Times New Roman"/>
          <w:noProof/>
          <w:color w:val="222222"/>
          <w:sz w:val="24"/>
          <w:szCs w:val="24"/>
          <w:shd w:val="clear" w:color="auto" w:fill="FFFFFF"/>
        </w:rPr>
      </w:pPr>
      <w:r w:rsidRPr="00DF1DC2">
        <w:rPr>
          <w:rFonts w:ascii="Times New Roman" w:hAnsi="Times New Roman" w:cs="Times New Roman"/>
          <w:b/>
          <w:bCs/>
          <w:noProof/>
          <w:sz w:val="24"/>
          <w:szCs w:val="24"/>
        </w:rPr>
        <w:t>Extended Data Table 3.</w:t>
      </w:r>
      <w:r w:rsidRPr="00DF1DC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DF1DC2">
        <w:rPr>
          <w:rFonts w:ascii="Times New Roman" w:eastAsia="SimSun" w:hAnsi="Times New Roman" w:cs="Times New Roman"/>
          <w:bCs/>
          <w:color w:val="000000" w:themeColor="text1"/>
          <w:sz w:val="24"/>
          <w:szCs w:val="24"/>
        </w:rPr>
        <w:t xml:space="preserve">Changes </w:t>
      </w:r>
      <w:r w:rsidR="00074FD5" w:rsidRPr="00DF1DC2">
        <w:rPr>
          <w:rFonts w:ascii="Times New Roman" w:eastAsia="SimSun" w:hAnsi="Times New Roman" w:cs="Times New Roman"/>
          <w:bCs/>
          <w:color w:val="000000" w:themeColor="text1"/>
          <w:sz w:val="24"/>
          <w:szCs w:val="24"/>
        </w:rPr>
        <w:t>in</w:t>
      </w:r>
      <w:r w:rsidRPr="00DF1DC2">
        <w:rPr>
          <w:rFonts w:ascii="Times New Roman" w:eastAsia="SimSun" w:hAnsi="Times New Roman" w:cs="Times New Roman"/>
          <w:bCs/>
          <w:noProof/>
          <w:color w:val="000000" w:themeColor="text1"/>
          <w:sz w:val="24"/>
          <w:szCs w:val="24"/>
        </w:rPr>
        <w:t xml:space="preserve"> GST increase (℃) </w:t>
      </w:r>
      <w:r w:rsidRPr="00DF1DC2">
        <w:rPr>
          <w:rFonts w:ascii="Times New Roman" w:eastAsia="SimSun" w:hAnsi="Times New Roman" w:cs="Times New Roman"/>
          <w:bCs/>
          <w:color w:val="000000" w:themeColor="text1"/>
          <w:sz w:val="24"/>
          <w:szCs w:val="24"/>
        </w:rPr>
        <w:t>relative to</w:t>
      </w:r>
      <w:r w:rsidRPr="00DF1DC2">
        <w:rPr>
          <w:rFonts w:ascii="Times New Roman" w:eastAsia="SimSun" w:hAnsi="Times New Roman" w:cs="Times New Roman"/>
          <w:bCs/>
          <w:noProof/>
          <w:color w:val="000000" w:themeColor="text1"/>
          <w:sz w:val="24"/>
          <w:szCs w:val="24"/>
        </w:rPr>
        <w:t xml:space="preserve"> 1850–1900 when different global military expenditure ratio is considered in</w:t>
      </w:r>
      <w:r w:rsidRPr="00DF1DC2">
        <w:rPr>
          <w:rFonts w:ascii="Times New Roman" w:hAnsi="Times New Roman" w:cs="Times New Roman"/>
          <w:noProof/>
          <w:color w:val="222222"/>
          <w:sz w:val="24"/>
          <w:szCs w:val="24"/>
          <w:shd w:val="clear" w:color="auto" w:fill="FFFFFF"/>
        </w:rPr>
        <w:t xml:space="preserve"> the SSP scenarios. “−x%” or “+x%” represents the </w:t>
      </w:r>
      <w:r w:rsidRPr="00DF1DC2">
        <w:rPr>
          <w:rFonts w:ascii="Times New Roman" w:eastAsia="SimSun" w:hAnsi="Times New Roman" w:cs="Times New Roman"/>
          <w:bCs/>
          <w:noProof/>
          <w:color w:val="000000" w:themeColor="text1"/>
          <w:sz w:val="24"/>
          <w:szCs w:val="24"/>
        </w:rPr>
        <w:t>global military expenditure ratio decreases or increases by x% compared with the baseline.</w:t>
      </w:r>
      <w:r w:rsidRPr="00DF1DC2">
        <w:rPr>
          <w:rFonts w:ascii="Times New Roman" w:hAnsi="Times New Roman" w:cs="Times New Roman"/>
          <w:noProof/>
          <w:color w:val="222222"/>
          <w:sz w:val="24"/>
          <w:szCs w:val="24"/>
          <w:shd w:val="clear" w:color="auto" w:fill="FFFFFF"/>
        </w:rPr>
        <w:t xml:space="preserve"> “2050” and “2099” mean the difference in the GST increase between the baseline SSPs and the sensitivity scenarios in the year 2050 or 2099.</w:t>
      </w:r>
    </w:p>
    <w:p w14:paraId="12383C57" w14:textId="77777777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4"/>
        <w:gridCol w:w="799"/>
        <w:gridCol w:w="842"/>
        <w:gridCol w:w="799"/>
        <w:gridCol w:w="923"/>
        <w:gridCol w:w="696"/>
        <w:gridCol w:w="839"/>
      </w:tblGrid>
      <w:tr w:rsidR="003E7B35" w:rsidRPr="00DF1DC2" w14:paraId="75D4AC55" w14:textId="77777777" w:rsidTr="00453C2C">
        <w:trPr>
          <w:trHeight w:val="563"/>
          <w:jc w:val="center"/>
        </w:trPr>
        <w:tc>
          <w:tcPr>
            <w:tcW w:w="2254" w:type="dxa"/>
            <w:vMerge w:val="restart"/>
          </w:tcPr>
          <w:p w14:paraId="126F9286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1641" w:type="dxa"/>
            <w:gridSpan w:val="2"/>
          </w:tcPr>
          <w:p w14:paraId="5D54EC01" w14:textId="15FCFC6D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−2%</w:t>
            </w:r>
          </w:p>
        </w:tc>
        <w:tc>
          <w:tcPr>
            <w:tcW w:w="1722" w:type="dxa"/>
            <w:gridSpan w:val="2"/>
          </w:tcPr>
          <w:p w14:paraId="1DEECD97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+5%</w:t>
            </w:r>
          </w:p>
        </w:tc>
        <w:tc>
          <w:tcPr>
            <w:tcW w:w="1511" w:type="dxa"/>
            <w:gridSpan w:val="2"/>
          </w:tcPr>
          <w:p w14:paraId="6D51CA8E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+11%</w:t>
            </w:r>
          </w:p>
        </w:tc>
      </w:tr>
      <w:tr w:rsidR="003E7B35" w:rsidRPr="00DF1DC2" w14:paraId="40273193" w14:textId="77777777" w:rsidTr="00453C2C">
        <w:trPr>
          <w:trHeight w:val="235"/>
          <w:jc w:val="center"/>
        </w:trPr>
        <w:tc>
          <w:tcPr>
            <w:tcW w:w="2254" w:type="dxa"/>
            <w:vMerge/>
          </w:tcPr>
          <w:p w14:paraId="7AE437BB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</w:tcPr>
          <w:p w14:paraId="203AEEB5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2050</w:t>
            </w:r>
          </w:p>
        </w:tc>
        <w:tc>
          <w:tcPr>
            <w:tcW w:w="842" w:type="dxa"/>
          </w:tcPr>
          <w:p w14:paraId="0FE44D47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2099</w:t>
            </w:r>
          </w:p>
        </w:tc>
        <w:tc>
          <w:tcPr>
            <w:tcW w:w="799" w:type="dxa"/>
          </w:tcPr>
          <w:p w14:paraId="4475671F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2050</w:t>
            </w:r>
          </w:p>
        </w:tc>
        <w:tc>
          <w:tcPr>
            <w:tcW w:w="923" w:type="dxa"/>
          </w:tcPr>
          <w:p w14:paraId="6701F14B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2099</w:t>
            </w:r>
          </w:p>
        </w:tc>
        <w:tc>
          <w:tcPr>
            <w:tcW w:w="672" w:type="dxa"/>
          </w:tcPr>
          <w:p w14:paraId="5092ACB4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2050</w:t>
            </w:r>
          </w:p>
        </w:tc>
        <w:tc>
          <w:tcPr>
            <w:tcW w:w="839" w:type="dxa"/>
          </w:tcPr>
          <w:p w14:paraId="25F842CB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2099</w:t>
            </w:r>
          </w:p>
        </w:tc>
      </w:tr>
      <w:tr w:rsidR="003E7B35" w:rsidRPr="00DF1DC2" w14:paraId="35EB7A8C" w14:textId="77777777" w:rsidTr="00453C2C">
        <w:trPr>
          <w:trHeight w:val="563"/>
          <w:jc w:val="center"/>
        </w:trPr>
        <w:tc>
          <w:tcPr>
            <w:tcW w:w="2254" w:type="dxa"/>
          </w:tcPr>
          <w:p w14:paraId="3AA5A759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SSP1-1.9</w:t>
            </w:r>
          </w:p>
        </w:tc>
        <w:tc>
          <w:tcPr>
            <w:tcW w:w="799" w:type="dxa"/>
          </w:tcPr>
          <w:p w14:paraId="0011DE19" w14:textId="256C98E6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−0.01</w:t>
            </w:r>
          </w:p>
        </w:tc>
        <w:tc>
          <w:tcPr>
            <w:tcW w:w="842" w:type="dxa"/>
          </w:tcPr>
          <w:p w14:paraId="4882139D" w14:textId="523264FA" w:rsidR="003E7B35" w:rsidRPr="00DF1DC2" w:rsidRDefault="003E7B35" w:rsidP="007F1502">
            <w:pPr>
              <w:pStyle w:val="HTMLPreformatted"/>
              <w:shd w:val="clear" w:color="auto" w:fill="FFFFFF"/>
              <w:wordWrap w:val="0"/>
              <w:spacing w:line="48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DF1DC2">
              <w:rPr>
                <w:rFonts w:ascii="Times New Roman" w:hAnsi="Times New Roman" w:cs="Times New Roman"/>
                <w:noProof/>
              </w:rPr>
              <w:t>−0.02</w:t>
            </w:r>
          </w:p>
        </w:tc>
        <w:tc>
          <w:tcPr>
            <w:tcW w:w="799" w:type="dxa"/>
          </w:tcPr>
          <w:p w14:paraId="41374029" w14:textId="77777777" w:rsidR="003E7B35" w:rsidRPr="00DF1DC2" w:rsidRDefault="003E7B35" w:rsidP="007F1502">
            <w:pPr>
              <w:pStyle w:val="HTMLPreformatted"/>
              <w:shd w:val="clear" w:color="auto" w:fill="FFFFFF"/>
              <w:wordWrap w:val="0"/>
              <w:spacing w:line="480" w:lineRule="auto"/>
              <w:jc w:val="center"/>
              <w:rPr>
                <w:rFonts w:ascii="Times New Roman" w:hAnsi="Times New Roman" w:cs="Times New Roman"/>
                <w:bCs/>
                <w:noProof/>
                <w:color w:val="000000" w:themeColor="text1"/>
              </w:rPr>
            </w:pPr>
            <w:r w:rsidRPr="00DF1DC2">
              <w:rPr>
                <w:rFonts w:ascii="Times New Roman" w:hAnsi="Times New Roman" w:cs="Times New Roman"/>
                <w:bCs/>
                <w:noProof/>
                <w:color w:val="000000" w:themeColor="text1"/>
              </w:rPr>
              <w:t>0.03</w:t>
            </w:r>
          </w:p>
        </w:tc>
        <w:tc>
          <w:tcPr>
            <w:tcW w:w="923" w:type="dxa"/>
          </w:tcPr>
          <w:p w14:paraId="7FA52900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0.05</w:t>
            </w:r>
          </w:p>
        </w:tc>
        <w:tc>
          <w:tcPr>
            <w:tcW w:w="672" w:type="dxa"/>
          </w:tcPr>
          <w:p w14:paraId="7E22E978" w14:textId="77777777" w:rsidR="003E7B35" w:rsidRPr="00DF1DC2" w:rsidRDefault="003E7B35" w:rsidP="007F1502">
            <w:pPr>
              <w:pStyle w:val="HTMLPreformatted"/>
              <w:shd w:val="clear" w:color="auto" w:fill="FFFFFF"/>
              <w:wordWrap w:val="0"/>
              <w:spacing w:line="480" w:lineRule="auto"/>
              <w:jc w:val="center"/>
              <w:rPr>
                <w:rFonts w:ascii="Times New Roman" w:hAnsi="Times New Roman" w:cs="Times New Roman"/>
                <w:bCs/>
                <w:noProof/>
                <w:color w:val="000000" w:themeColor="text1"/>
              </w:rPr>
            </w:pPr>
            <w:r w:rsidRPr="00DF1DC2">
              <w:rPr>
                <w:rFonts w:ascii="Times New Roman" w:hAnsi="Times New Roman" w:cs="Times New Roman"/>
                <w:bCs/>
                <w:noProof/>
                <w:color w:val="000000" w:themeColor="text1"/>
              </w:rPr>
              <w:t>0.07</w:t>
            </w:r>
          </w:p>
        </w:tc>
        <w:tc>
          <w:tcPr>
            <w:tcW w:w="839" w:type="dxa"/>
          </w:tcPr>
          <w:p w14:paraId="1C63A632" w14:textId="77777777" w:rsidR="003E7B35" w:rsidRPr="00DF1DC2" w:rsidRDefault="003E7B35" w:rsidP="007F1502">
            <w:pPr>
              <w:pStyle w:val="HTMLPreformatted"/>
              <w:shd w:val="clear" w:color="auto" w:fill="FFFFFF"/>
              <w:wordWrap w:val="0"/>
              <w:spacing w:line="480" w:lineRule="auto"/>
              <w:jc w:val="center"/>
              <w:rPr>
                <w:rFonts w:ascii="Times New Roman" w:hAnsi="Times New Roman" w:cs="Times New Roman"/>
                <w:bCs/>
                <w:noProof/>
                <w:color w:val="000000" w:themeColor="text1"/>
              </w:rPr>
            </w:pPr>
            <w:r w:rsidRPr="00DF1DC2">
              <w:rPr>
                <w:rFonts w:ascii="Times New Roman" w:hAnsi="Times New Roman" w:cs="Times New Roman"/>
                <w:bCs/>
                <w:noProof/>
                <w:color w:val="000000" w:themeColor="text1"/>
              </w:rPr>
              <w:t>0.11</w:t>
            </w:r>
          </w:p>
        </w:tc>
      </w:tr>
      <w:tr w:rsidR="003E7B35" w:rsidRPr="00DF1DC2" w14:paraId="646BCA31" w14:textId="77777777" w:rsidTr="00453C2C">
        <w:trPr>
          <w:trHeight w:val="563"/>
          <w:jc w:val="center"/>
        </w:trPr>
        <w:tc>
          <w:tcPr>
            <w:tcW w:w="2254" w:type="dxa"/>
          </w:tcPr>
          <w:p w14:paraId="25C9110C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1641" w:type="dxa"/>
            <w:gridSpan w:val="2"/>
          </w:tcPr>
          <w:p w14:paraId="2D9FB813" w14:textId="7258B836" w:rsidR="003E7B35" w:rsidRPr="00DF1DC2" w:rsidRDefault="003E7B35" w:rsidP="007F1502">
            <w:pPr>
              <w:pStyle w:val="HTMLPreformatted"/>
              <w:shd w:val="clear" w:color="auto" w:fill="FFFFFF"/>
              <w:wordWrap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DF1DC2">
              <w:rPr>
                <w:rFonts w:ascii="Times New Roman" w:hAnsi="Times New Roman" w:cs="Times New Roman"/>
                <w:b/>
                <w:bCs/>
                <w:noProof/>
              </w:rPr>
              <w:t>−2%</w:t>
            </w:r>
          </w:p>
        </w:tc>
        <w:tc>
          <w:tcPr>
            <w:tcW w:w="1722" w:type="dxa"/>
            <w:gridSpan w:val="2"/>
          </w:tcPr>
          <w:p w14:paraId="63658C03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+11%</w:t>
            </w:r>
          </w:p>
        </w:tc>
        <w:tc>
          <w:tcPr>
            <w:tcW w:w="1511" w:type="dxa"/>
            <w:gridSpan w:val="2"/>
          </w:tcPr>
          <w:p w14:paraId="49B94A7F" w14:textId="77777777" w:rsidR="003E7B35" w:rsidRPr="00DF1DC2" w:rsidRDefault="003E7B35" w:rsidP="007F1502">
            <w:pPr>
              <w:pStyle w:val="HTMLPreformatted"/>
              <w:shd w:val="clear" w:color="auto" w:fill="FFFFFF"/>
              <w:wordWrap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DF1DC2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+23%</w:t>
            </w:r>
          </w:p>
        </w:tc>
      </w:tr>
      <w:tr w:rsidR="003E7B35" w:rsidRPr="00DF1DC2" w14:paraId="513475F2" w14:textId="77777777" w:rsidTr="00453C2C">
        <w:trPr>
          <w:trHeight w:val="563"/>
          <w:jc w:val="center"/>
        </w:trPr>
        <w:tc>
          <w:tcPr>
            <w:tcW w:w="2254" w:type="dxa"/>
          </w:tcPr>
          <w:p w14:paraId="1638B4C3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SSP1-2.6</w:t>
            </w:r>
          </w:p>
        </w:tc>
        <w:tc>
          <w:tcPr>
            <w:tcW w:w="799" w:type="dxa"/>
          </w:tcPr>
          <w:p w14:paraId="187B5317" w14:textId="509FF750" w:rsidR="003E7B35" w:rsidRPr="00DF1DC2" w:rsidRDefault="003E7B35" w:rsidP="007F1502">
            <w:pPr>
              <w:pStyle w:val="HTMLPreformatted"/>
              <w:shd w:val="clear" w:color="auto" w:fill="FFFFFF"/>
              <w:wordWrap w:val="0"/>
              <w:spacing w:line="480" w:lineRule="auto"/>
              <w:jc w:val="center"/>
              <w:rPr>
                <w:rFonts w:ascii="Times New Roman" w:hAnsi="Times New Roman" w:cs="Times New Roman"/>
                <w:bCs/>
                <w:noProof/>
                <w:color w:val="000000" w:themeColor="text1"/>
              </w:rPr>
            </w:pPr>
            <w:r w:rsidRPr="00DF1DC2">
              <w:rPr>
                <w:rFonts w:ascii="Times New Roman" w:hAnsi="Times New Roman" w:cs="Times New Roman"/>
                <w:bCs/>
                <w:noProof/>
                <w:color w:val="000000" w:themeColor="text1"/>
              </w:rPr>
              <w:t>−0.01</w:t>
            </w:r>
          </w:p>
        </w:tc>
        <w:tc>
          <w:tcPr>
            <w:tcW w:w="842" w:type="dxa"/>
          </w:tcPr>
          <w:p w14:paraId="4E2F6050" w14:textId="23DF901B" w:rsidR="003E7B35" w:rsidRPr="00DF1DC2" w:rsidRDefault="003E7B35" w:rsidP="007F1502">
            <w:pPr>
              <w:pStyle w:val="HTMLPreformatted"/>
              <w:shd w:val="clear" w:color="auto" w:fill="FFFFFF"/>
              <w:wordWrap w:val="0"/>
              <w:spacing w:line="480" w:lineRule="auto"/>
              <w:jc w:val="center"/>
              <w:rPr>
                <w:rFonts w:ascii="Times New Roman" w:hAnsi="Times New Roman" w:cs="Times New Roman"/>
                <w:bCs/>
                <w:noProof/>
                <w:color w:val="000000" w:themeColor="text1"/>
              </w:rPr>
            </w:pPr>
            <w:r w:rsidRPr="00DF1DC2">
              <w:rPr>
                <w:rFonts w:ascii="Times New Roman" w:hAnsi="Times New Roman" w:cs="Times New Roman"/>
                <w:bCs/>
                <w:noProof/>
                <w:color w:val="000000" w:themeColor="text1"/>
              </w:rPr>
              <w:t>−0.03</w:t>
            </w:r>
          </w:p>
        </w:tc>
        <w:tc>
          <w:tcPr>
            <w:tcW w:w="799" w:type="dxa"/>
          </w:tcPr>
          <w:p w14:paraId="0A8EB76E" w14:textId="77777777" w:rsidR="003E7B35" w:rsidRPr="00DF1DC2" w:rsidRDefault="003E7B35" w:rsidP="007F1502">
            <w:pPr>
              <w:pStyle w:val="HTMLPreformatted"/>
              <w:shd w:val="clear" w:color="auto" w:fill="FFFFFF"/>
              <w:wordWrap w:val="0"/>
              <w:spacing w:line="480" w:lineRule="auto"/>
              <w:jc w:val="center"/>
              <w:rPr>
                <w:rFonts w:ascii="Times New Roman" w:hAnsi="Times New Roman" w:cs="Times New Roman"/>
                <w:bCs/>
                <w:noProof/>
                <w:color w:val="000000" w:themeColor="text1"/>
              </w:rPr>
            </w:pPr>
            <w:r w:rsidRPr="00DF1DC2">
              <w:rPr>
                <w:rFonts w:ascii="Times New Roman" w:hAnsi="Times New Roman" w:cs="Times New Roman"/>
                <w:bCs/>
                <w:noProof/>
                <w:color w:val="000000" w:themeColor="text1"/>
              </w:rPr>
              <w:t>0.06</w:t>
            </w:r>
          </w:p>
        </w:tc>
        <w:tc>
          <w:tcPr>
            <w:tcW w:w="923" w:type="dxa"/>
          </w:tcPr>
          <w:p w14:paraId="201FACB0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0.13</w:t>
            </w:r>
          </w:p>
        </w:tc>
        <w:tc>
          <w:tcPr>
            <w:tcW w:w="672" w:type="dxa"/>
          </w:tcPr>
          <w:p w14:paraId="7A30987A" w14:textId="77777777" w:rsidR="003E7B35" w:rsidRPr="00DF1DC2" w:rsidRDefault="003E7B35" w:rsidP="007F1502">
            <w:pPr>
              <w:pStyle w:val="HTMLPreformatted"/>
              <w:shd w:val="clear" w:color="auto" w:fill="FFFFFF"/>
              <w:wordWrap w:val="0"/>
              <w:spacing w:line="480" w:lineRule="auto"/>
              <w:jc w:val="center"/>
              <w:rPr>
                <w:rFonts w:ascii="Times New Roman" w:hAnsi="Times New Roman" w:cs="Times New Roman"/>
                <w:bCs/>
                <w:noProof/>
                <w:color w:val="000000" w:themeColor="text1"/>
              </w:rPr>
            </w:pPr>
            <w:r w:rsidRPr="00DF1DC2">
              <w:rPr>
                <w:rFonts w:ascii="Times New Roman" w:hAnsi="Times New Roman" w:cs="Times New Roman"/>
                <w:bCs/>
                <w:noProof/>
                <w:color w:val="000000" w:themeColor="text1"/>
              </w:rPr>
              <w:t>0.13</w:t>
            </w:r>
          </w:p>
        </w:tc>
        <w:tc>
          <w:tcPr>
            <w:tcW w:w="839" w:type="dxa"/>
          </w:tcPr>
          <w:p w14:paraId="35567788" w14:textId="77777777" w:rsidR="003E7B35" w:rsidRPr="00DF1DC2" w:rsidRDefault="003E7B35" w:rsidP="007F1502">
            <w:pPr>
              <w:pStyle w:val="HTMLPreformatted"/>
              <w:shd w:val="clear" w:color="auto" w:fill="FFFFFF"/>
              <w:wordWrap w:val="0"/>
              <w:spacing w:line="480" w:lineRule="auto"/>
              <w:jc w:val="center"/>
              <w:rPr>
                <w:rFonts w:ascii="Times New Roman" w:hAnsi="Times New Roman" w:cs="Times New Roman"/>
                <w:bCs/>
                <w:noProof/>
                <w:color w:val="000000" w:themeColor="text1"/>
              </w:rPr>
            </w:pPr>
            <w:r w:rsidRPr="00DF1DC2">
              <w:rPr>
                <w:rFonts w:ascii="Times New Roman" w:hAnsi="Times New Roman" w:cs="Times New Roman"/>
                <w:bCs/>
                <w:noProof/>
                <w:color w:val="000000" w:themeColor="text1"/>
              </w:rPr>
              <w:t>0.28</w:t>
            </w:r>
          </w:p>
        </w:tc>
      </w:tr>
      <w:tr w:rsidR="003E7B35" w:rsidRPr="00DF1DC2" w14:paraId="1F41B2DB" w14:textId="77777777" w:rsidTr="00453C2C">
        <w:trPr>
          <w:trHeight w:val="563"/>
          <w:jc w:val="center"/>
        </w:trPr>
        <w:tc>
          <w:tcPr>
            <w:tcW w:w="2254" w:type="dxa"/>
          </w:tcPr>
          <w:p w14:paraId="649DA113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SSP2-4.5</w:t>
            </w:r>
          </w:p>
        </w:tc>
        <w:tc>
          <w:tcPr>
            <w:tcW w:w="799" w:type="dxa"/>
          </w:tcPr>
          <w:p w14:paraId="0E393FC8" w14:textId="77777777" w:rsidR="003E7B35" w:rsidRPr="00DF1DC2" w:rsidRDefault="003E7B35" w:rsidP="007F1502">
            <w:pPr>
              <w:pStyle w:val="HTMLPreformatted"/>
              <w:shd w:val="clear" w:color="auto" w:fill="FFFFFF"/>
              <w:wordWrap w:val="0"/>
              <w:spacing w:line="480" w:lineRule="auto"/>
              <w:jc w:val="center"/>
              <w:rPr>
                <w:rFonts w:ascii="Times New Roman" w:hAnsi="Times New Roman" w:cs="Times New Roman"/>
                <w:bCs/>
                <w:noProof/>
                <w:color w:val="FF0000"/>
              </w:rPr>
            </w:pPr>
            <w:r w:rsidRPr="00DF1DC2">
              <w:rPr>
                <w:rFonts w:ascii="Times New Roman" w:hAnsi="Times New Roman" w:cs="Times New Roman"/>
                <w:bCs/>
                <w:noProof/>
                <w:color w:val="000000" w:themeColor="text1"/>
              </w:rPr>
              <w:t>0.00</w:t>
            </w:r>
          </w:p>
        </w:tc>
        <w:tc>
          <w:tcPr>
            <w:tcW w:w="842" w:type="dxa"/>
          </w:tcPr>
          <w:p w14:paraId="45508205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0.01</w:t>
            </w:r>
          </w:p>
        </w:tc>
        <w:tc>
          <w:tcPr>
            <w:tcW w:w="799" w:type="dxa"/>
          </w:tcPr>
          <w:p w14:paraId="3C98D3A8" w14:textId="77777777" w:rsidR="003E7B35" w:rsidRPr="00DF1DC2" w:rsidRDefault="003E7B35" w:rsidP="007F1502">
            <w:pPr>
              <w:pStyle w:val="HTMLPreformatted"/>
              <w:shd w:val="clear" w:color="auto" w:fill="FFFFFF"/>
              <w:wordWrap w:val="0"/>
              <w:spacing w:line="480" w:lineRule="auto"/>
              <w:jc w:val="center"/>
              <w:rPr>
                <w:rFonts w:ascii="Times New Roman" w:hAnsi="Times New Roman" w:cs="Times New Roman"/>
                <w:bCs/>
                <w:noProof/>
                <w:color w:val="000000" w:themeColor="text1"/>
              </w:rPr>
            </w:pPr>
            <w:r w:rsidRPr="00DF1DC2">
              <w:rPr>
                <w:rFonts w:ascii="Times New Roman" w:hAnsi="Times New Roman" w:cs="Times New Roman"/>
                <w:bCs/>
                <w:noProof/>
                <w:color w:val="000000" w:themeColor="text1"/>
              </w:rPr>
              <w:t>0.04</w:t>
            </w:r>
          </w:p>
        </w:tc>
        <w:tc>
          <w:tcPr>
            <w:tcW w:w="923" w:type="dxa"/>
          </w:tcPr>
          <w:p w14:paraId="4DFCA5B4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672" w:type="dxa"/>
          </w:tcPr>
          <w:p w14:paraId="706DC3C7" w14:textId="77777777" w:rsidR="003E7B35" w:rsidRPr="00DF1DC2" w:rsidRDefault="003E7B35" w:rsidP="007F1502">
            <w:pPr>
              <w:pStyle w:val="HTMLPreformatted"/>
              <w:shd w:val="clear" w:color="auto" w:fill="FFFFFF"/>
              <w:wordWrap w:val="0"/>
              <w:spacing w:line="480" w:lineRule="auto"/>
              <w:jc w:val="center"/>
              <w:rPr>
                <w:rFonts w:ascii="Times New Roman" w:hAnsi="Times New Roman" w:cs="Times New Roman"/>
                <w:bCs/>
                <w:noProof/>
                <w:color w:val="000000" w:themeColor="text1"/>
              </w:rPr>
            </w:pPr>
            <w:r w:rsidRPr="00DF1DC2">
              <w:rPr>
                <w:rFonts w:ascii="Times New Roman" w:hAnsi="Times New Roman" w:cs="Times New Roman"/>
                <w:bCs/>
                <w:noProof/>
                <w:color w:val="000000" w:themeColor="text1"/>
              </w:rPr>
              <w:t>0.08</w:t>
            </w:r>
          </w:p>
        </w:tc>
        <w:tc>
          <w:tcPr>
            <w:tcW w:w="839" w:type="dxa"/>
          </w:tcPr>
          <w:p w14:paraId="3DFC9DE2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0.16</w:t>
            </w:r>
          </w:p>
        </w:tc>
      </w:tr>
      <w:tr w:rsidR="003E7B35" w:rsidRPr="00DF1DC2" w14:paraId="6FC0B1FF" w14:textId="77777777" w:rsidTr="00453C2C">
        <w:trPr>
          <w:trHeight w:val="563"/>
          <w:jc w:val="center"/>
        </w:trPr>
        <w:tc>
          <w:tcPr>
            <w:tcW w:w="2254" w:type="dxa"/>
          </w:tcPr>
          <w:p w14:paraId="36774789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SSP3-7.0</w:t>
            </w:r>
          </w:p>
        </w:tc>
        <w:tc>
          <w:tcPr>
            <w:tcW w:w="799" w:type="dxa"/>
            <w:shd w:val="clear" w:color="auto" w:fill="auto"/>
          </w:tcPr>
          <w:p w14:paraId="190033A8" w14:textId="77777777" w:rsidR="003E7B35" w:rsidRPr="00DF1DC2" w:rsidRDefault="003E7B35" w:rsidP="007F1502">
            <w:pPr>
              <w:pStyle w:val="HTMLPreformatted"/>
              <w:shd w:val="clear" w:color="auto" w:fill="FFFFFF"/>
              <w:wordWrap w:val="0"/>
              <w:spacing w:line="480" w:lineRule="auto"/>
              <w:jc w:val="center"/>
              <w:rPr>
                <w:rFonts w:ascii="Times New Roman" w:hAnsi="Times New Roman" w:cs="Times New Roman"/>
                <w:bCs/>
                <w:noProof/>
                <w:color w:val="000000" w:themeColor="text1"/>
              </w:rPr>
            </w:pPr>
            <w:r w:rsidRPr="00DF1DC2">
              <w:rPr>
                <w:rFonts w:ascii="Times New Roman" w:hAnsi="Times New Roman" w:cs="Times New Roman"/>
                <w:bCs/>
                <w:noProof/>
                <w:color w:val="000000" w:themeColor="text1"/>
              </w:rPr>
              <w:t>0.01</w:t>
            </w:r>
          </w:p>
        </w:tc>
        <w:tc>
          <w:tcPr>
            <w:tcW w:w="842" w:type="dxa"/>
            <w:shd w:val="clear" w:color="auto" w:fill="auto"/>
          </w:tcPr>
          <w:p w14:paraId="37CA6230" w14:textId="52A81FB1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−0.01</w:t>
            </w:r>
          </w:p>
        </w:tc>
        <w:tc>
          <w:tcPr>
            <w:tcW w:w="799" w:type="dxa"/>
            <w:shd w:val="clear" w:color="auto" w:fill="auto"/>
          </w:tcPr>
          <w:p w14:paraId="6A25A114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923" w:type="dxa"/>
            <w:shd w:val="clear" w:color="auto" w:fill="auto"/>
          </w:tcPr>
          <w:p w14:paraId="40A16DB5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0.05</w:t>
            </w:r>
          </w:p>
        </w:tc>
        <w:tc>
          <w:tcPr>
            <w:tcW w:w="672" w:type="dxa"/>
            <w:shd w:val="clear" w:color="auto" w:fill="auto"/>
          </w:tcPr>
          <w:p w14:paraId="0BFA92BF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0.07</w:t>
            </w:r>
          </w:p>
        </w:tc>
        <w:tc>
          <w:tcPr>
            <w:tcW w:w="839" w:type="dxa"/>
            <w:shd w:val="clear" w:color="auto" w:fill="auto"/>
          </w:tcPr>
          <w:p w14:paraId="26DC62A2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0.1</w:t>
            </w:r>
          </w:p>
        </w:tc>
      </w:tr>
      <w:tr w:rsidR="003E7B35" w:rsidRPr="00DF1DC2" w14:paraId="165FE5A7" w14:textId="77777777" w:rsidTr="00453C2C">
        <w:trPr>
          <w:trHeight w:val="563"/>
          <w:jc w:val="center"/>
        </w:trPr>
        <w:tc>
          <w:tcPr>
            <w:tcW w:w="2254" w:type="dxa"/>
          </w:tcPr>
          <w:p w14:paraId="4E7978F9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SSP5-8.5</w:t>
            </w:r>
          </w:p>
        </w:tc>
        <w:tc>
          <w:tcPr>
            <w:tcW w:w="799" w:type="dxa"/>
            <w:shd w:val="clear" w:color="auto" w:fill="auto"/>
          </w:tcPr>
          <w:p w14:paraId="2522D3AE" w14:textId="77777777" w:rsidR="003E7B35" w:rsidRPr="00DF1DC2" w:rsidRDefault="003E7B35" w:rsidP="007F1502">
            <w:pPr>
              <w:pStyle w:val="HTMLPreformatted"/>
              <w:shd w:val="clear" w:color="auto" w:fill="FFFFFF"/>
              <w:wordWrap w:val="0"/>
              <w:spacing w:line="480" w:lineRule="auto"/>
              <w:jc w:val="center"/>
              <w:rPr>
                <w:rFonts w:ascii="Times New Roman" w:hAnsi="Times New Roman" w:cs="Times New Roman"/>
                <w:bCs/>
                <w:noProof/>
                <w:color w:val="000000" w:themeColor="text1"/>
              </w:rPr>
            </w:pPr>
            <w:r w:rsidRPr="00DF1DC2">
              <w:rPr>
                <w:rFonts w:ascii="Times New Roman" w:hAnsi="Times New Roman" w:cs="Times New Roman"/>
                <w:bCs/>
                <w:noProof/>
                <w:color w:val="000000" w:themeColor="text1"/>
              </w:rPr>
              <w:t>0.00</w:t>
            </w:r>
          </w:p>
        </w:tc>
        <w:tc>
          <w:tcPr>
            <w:tcW w:w="842" w:type="dxa"/>
            <w:shd w:val="clear" w:color="auto" w:fill="auto"/>
          </w:tcPr>
          <w:p w14:paraId="441F9147" w14:textId="16D4B8DF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−0.01</w:t>
            </w:r>
          </w:p>
        </w:tc>
        <w:tc>
          <w:tcPr>
            <w:tcW w:w="799" w:type="dxa"/>
            <w:shd w:val="clear" w:color="auto" w:fill="auto"/>
          </w:tcPr>
          <w:p w14:paraId="0A152D2F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923" w:type="dxa"/>
            <w:shd w:val="clear" w:color="auto" w:fill="auto"/>
          </w:tcPr>
          <w:p w14:paraId="69731620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672" w:type="dxa"/>
            <w:shd w:val="clear" w:color="auto" w:fill="auto"/>
          </w:tcPr>
          <w:p w14:paraId="7F24B059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839" w:type="dxa"/>
            <w:shd w:val="clear" w:color="auto" w:fill="auto"/>
          </w:tcPr>
          <w:p w14:paraId="3D8E47A9" w14:textId="77777777" w:rsidR="003E7B35" w:rsidRPr="00DF1DC2" w:rsidRDefault="003E7B35" w:rsidP="007F1502">
            <w:pPr>
              <w:pStyle w:val="ListParagraph"/>
              <w:spacing w:line="48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DF1DC2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0.16</w:t>
            </w:r>
          </w:p>
        </w:tc>
      </w:tr>
    </w:tbl>
    <w:p w14:paraId="77FA078A" w14:textId="77777777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E002B19" w14:textId="0071F6F8" w:rsidR="003E7B35" w:rsidRPr="00DF1DC2" w:rsidRDefault="00DF25EA" w:rsidP="007F15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1DC2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2F1C3AAC" wp14:editId="2D48849E">
            <wp:extent cx="5943600" cy="3601720"/>
            <wp:effectExtent l="0" t="0" r="0" b="5080"/>
            <wp:docPr id="644210744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210744" name="Graphic 64421074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0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2428F" w14:textId="6CBC268F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DF1DC2">
        <w:rPr>
          <w:rFonts w:ascii="Times New Roman" w:hAnsi="Times New Roman" w:cs="Times New Roman"/>
          <w:b/>
          <w:bCs/>
          <w:noProof/>
          <w:sz w:val="24"/>
          <w:szCs w:val="24"/>
        </w:rPr>
        <w:t>Extended Data Fig. 2.</w:t>
      </w:r>
      <w:r w:rsidRPr="00DF1DC2">
        <w:rPr>
          <w:rFonts w:ascii="Times New Roman" w:hAnsi="Times New Roman" w:cs="Times New Roman"/>
          <w:sz w:val="24"/>
        </w:rPr>
        <w:t xml:space="preserve"> </w:t>
      </w:r>
      <w:r w:rsidRPr="00DF1DC2">
        <w:rPr>
          <w:rFonts w:ascii="Times New Roman" w:hAnsi="Times New Roman" w:cs="Times New Roman"/>
          <w:noProof/>
          <w:sz w:val="24"/>
          <w:szCs w:val="24"/>
        </w:rPr>
        <w:t>Time series of CO</w:t>
      </w:r>
      <w:r w:rsidRPr="00DF1DC2">
        <w:rPr>
          <w:rFonts w:ascii="Times New Roman" w:hAnsi="Times New Roman" w:cs="Times New Roman"/>
          <w:noProof/>
          <w:sz w:val="24"/>
          <w:szCs w:val="24"/>
          <w:vertAlign w:val="subscript"/>
        </w:rPr>
        <w:t>2</w:t>
      </w:r>
      <w:r w:rsidRPr="00DF1DC2">
        <w:rPr>
          <w:rFonts w:ascii="Times New Roman" w:hAnsi="Times New Roman" w:cs="Times New Roman"/>
          <w:noProof/>
          <w:sz w:val="24"/>
          <w:szCs w:val="24"/>
        </w:rPr>
        <w:t xml:space="preserve"> emission intensity (kg/USD in constant 2017 of purchasing power parity; blue line) between 1990 and 2021. The entire research period is segmented into four phases, displaying a relatively peaceful phase (light-green background) and a war-ridden phase (light-orange background).</w:t>
      </w:r>
    </w:p>
    <w:p w14:paraId="4E7E6DA5" w14:textId="77777777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3413000" w14:textId="00888D22" w:rsidR="003E7B35" w:rsidRPr="00DF1DC2" w:rsidRDefault="00DF25EA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DF1DC2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119AFED6" wp14:editId="2E961FAC">
            <wp:extent cx="5943600" cy="3799205"/>
            <wp:effectExtent l="0" t="0" r="0" b="0"/>
            <wp:docPr id="1364212283" name="Graphic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212283" name="Graphic 136421228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9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B60C4" w14:textId="09203736" w:rsidR="003E7B35" w:rsidRPr="00DF1DC2" w:rsidRDefault="003E7B35" w:rsidP="007F1502">
      <w:pPr>
        <w:spacing w:line="480" w:lineRule="auto"/>
        <w:rPr>
          <w:rFonts w:ascii="Times New Roman" w:eastAsia="SimSun" w:hAnsi="Times New Roman" w:cs="Times New Roman"/>
          <w:noProof/>
          <w:sz w:val="24"/>
          <w:szCs w:val="24"/>
        </w:rPr>
      </w:pPr>
      <w:r w:rsidRPr="00DF1DC2">
        <w:rPr>
          <w:rFonts w:ascii="Times New Roman" w:hAnsi="Times New Roman" w:cs="Times New Roman"/>
          <w:b/>
          <w:bCs/>
          <w:noProof/>
          <w:sz w:val="24"/>
          <w:szCs w:val="24"/>
        </w:rPr>
        <w:t>Extended Data Fig. 3</w:t>
      </w:r>
      <w:r w:rsidRPr="00DF1DC2">
        <w:rPr>
          <w:rFonts w:ascii="Times New Roman" w:hAnsi="Times New Roman" w:cs="Times New Roman"/>
          <w:noProof/>
          <w:sz w:val="24"/>
          <w:szCs w:val="24"/>
        </w:rPr>
        <w:t>. Military expenditure as a percentage of GDP for China, Russia, France, United Kingdom, United States of America, Canada, Germany, Italy, Japan, Brazil, and India between 1960 and 2021.</w:t>
      </w:r>
    </w:p>
    <w:p w14:paraId="391C2734" w14:textId="77777777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818D43B" w14:textId="2C342F78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B9282D9" w14:textId="4BCEBB86" w:rsidR="003E7B35" w:rsidRPr="00DF1DC2" w:rsidRDefault="00FE60D7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DF1DC2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54FCD367" wp14:editId="1F8E2BD4">
            <wp:extent cx="5943600" cy="3496310"/>
            <wp:effectExtent l="0" t="0" r="0" b="0"/>
            <wp:docPr id="1206964042" name="Graphic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964042" name="Graphic 120696404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9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28722" w14:textId="551961D1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DF1DC2">
        <w:rPr>
          <w:rFonts w:ascii="Times New Roman" w:hAnsi="Times New Roman" w:cs="Times New Roman"/>
          <w:b/>
          <w:bCs/>
          <w:noProof/>
          <w:sz w:val="24"/>
          <w:szCs w:val="24"/>
        </w:rPr>
        <w:t>Extended Data Fig. 4.1</w:t>
      </w:r>
      <w:r w:rsidRPr="00DF1DC2">
        <w:rPr>
          <w:rFonts w:ascii="Times New Roman" w:hAnsi="Times New Roman" w:cs="Times New Roman"/>
          <w:noProof/>
          <w:sz w:val="24"/>
          <w:szCs w:val="24"/>
        </w:rPr>
        <w:t xml:space="preserve"> Detrended global annual CO</w:t>
      </w:r>
      <w:r w:rsidRPr="00DF1DC2">
        <w:rPr>
          <w:rFonts w:ascii="Times New Roman" w:hAnsi="Times New Roman" w:cs="Times New Roman"/>
          <w:noProof/>
          <w:sz w:val="24"/>
          <w:szCs w:val="24"/>
          <w:vertAlign w:val="subscript"/>
        </w:rPr>
        <w:t xml:space="preserve">2 </w:t>
      </w:r>
      <w:r w:rsidRPr="00DF1DC2">
        <w:rPr>
          <w:rFonts w:ascii="Times New Roman" w:hAnsi="Times New Roman" w:cs="Times New Roman"/>
          <w:noProof/>
          <w:sz w:val="24"/>
          <w:szCs w:val="24"/>
        </w:rPr>
        <w:t>emissions (Gt) and detrended global GDP (US dollar trillion at constant 2017 ppp) from 199</w:t>
      </w:r>
      <w:r w:rsidR="00FE60D7" w:rsidRPr="00DF1DC2">
        <w:rPr>
          <w:rFonts w:ascii="Times New Roman" w:hAnsi="Times New Roman" w:cs="Times New Roman"/>
          <w:noProof/>
          <w:sz w:val="24"/>
          <w:szCs w:val="24"/>
        </w:rPr>
        <w:t>5</w:t>
      </w:r>
      <w:r w:rsidRPr="00DF1DC2">
        <w:rPr>
          <w:rFonts w:ascii="Times New Roman" w:hAnsi="Times New Roman" w:cs="Times New Roman"/>
          <w:noProof/>
          <w:sz w:val="24"/>
          <w:szCs w:val="24"/>
        </w:rPr>
        <w:t xml:space="preserve"> to 2021.</w:t>
      </w:r>
    </w:p>
    <w:p w14:paraId="21F72E6C" w14:textId="77777777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0B60977" w14:textId="77777777" w:rsidR="00253392" w:rsidRPr="00DF1DC2" w:rsidRDefault="00253392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2BC9D82" w14:textId="375DE33A" w:rsidR="003E7B35" w:rsidRPr="00DF1DC2" w:rsidRDefault="00FE60D7" w:rsidP="007F15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1DC2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004DDEB8" wp14:editId="27E304D5">
            <wp:extent cx="5943600" cy="3439160"/>
            <wp:effectExtent l="0" t="0" r="0" b="2540"/>
            <wp:docPr id="2015702687" name="Graphic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5702687" name="Graphic 201570268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3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34783" w14:textId="060B338E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DF1DC2">
        <w:rPr>
          <w:rFonts w:ascii="Times New Roman" w:hAnsi="Times New Roman" w:cs="Times New Roman"/>
          <w:b/>
          <w:bCs/>
          <w:noProof/>
          <w:sz w:val="24"/>
          <w:szCs w:val="24"/>
        </w:rPr>
        <w:t>Extended Data Fig. 4.2</w:t>
      </w:r>
      <w:r w:rsidRPr="00DF1DC2">
        <w:rPr>
          <w:rFonts w:ascii="Times New Roman" w:hAnsi="Times New Roman" w:cs="Times New Roman"/>
          <w:noProof/>
          <w:sz w:val="24"/>
          <w:szCs w:val="24"/>
        </w:rPr>
        <w:t xml:space="preserve"> Detrended global military expenditure (US dollar trillion at constant 2021) and detrended global GDP (US dollar trillion at constant 2021) from 199</w:t>
      </w:r>
      <w:r w:rsidR="00FE60D7" w:rsidRPr="00DF1DC2">
        <w:rPr>
          <w:rFonts w:ascii="Times New Roman" w:hAnsi="Times New Roman" w:cs="Times New Roman"/>
          <w:noProof/>
          <w:sz w:val="24"/>
          <w:szCs w:val="24"/>
        </w:rPr>
        <w:t>5</w:t>
      </w:r>
      <w:r w:rsidRPr="00DF1DC2">
        <w:rPr>
          <w:rFonts w:ascii="Times New Roman" w:hAnsi="Times New Roman" w:cs="Times New Roman"/>
          <w:noProof/>
          <w:sz w:val="24"/>
          <w:szCs w:val="24"/>
        </w:rPr>
        <w:t xml:space="preserve"> to 2021.</w:t>
      </w:r>
    </w:p>
    <w:p w14:paraId="680B4AC6" w14:textId="77777777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bookmarkStart w:id="0" w:name="6JDl-1679531594737"/>
      <w:bookmarkEnd w:id="0"/>
    </w:p>
    <w:p w14:paraId="07B40CE7" w14:textId="24B2F223" w:rsidR="003E7B35" w:rsidRPr="00DF1DC2" w:rsidRDefault="00CC6346" w:rsidP="007F15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1DC2">
        <w:rPr>
          <w:rFonts w:ascii="Times New Roman" w:hAnsi="Times New Roman" w:cs="Times New Roman"/>
          <w:noProof/>
          <w:szCs w:val="21"/>
          <w14:ligatures w14:val="standardContextual"/>
        </w:rPr>
        <w:lastRenderedPageBreak/>
        <w:drawing>
          <wp:inline distT="0" distB="0" distL="0" distR="0" wp14:anchorId="7FFFE661" wp14:editId="43262BE0">
            <wp:extent cx="5168900" cy="8229600"/>
            <wp:effectExtent l="0" t="0" r="0" b="0"/>
            <wp:docPr id="600504497" name="Graphic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504497" name="Graphic 60050449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89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FB783" w14:textId="6BAA2C06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DF1DC2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 xml:space="preserve">Extended Data Fig. 5. </w:t>
      </w:r>
      <w:r w:rsidRPr="00DF1DC2">
        <w:rPr>
          <w:rFonts w:ascii="Times New Roman" w:hAnsi="Times New Roman" w:cs="Times New Roman"/>
          <w:noProof/>
          <w:sz w:val="24"/>
          <w:szCs w:val="24"/>
        </w:rPr>
        <w:t>Scatter plots of annual variation in GST change relative to 1850–1900 and annual CO</w:t>
      </w:r>
      <w:r w:rsidRPr="00DF1DC2">
        <w:rPr>
          <w:rFonts w:ascii="Times New Roman" w:hAnsi="Times New Roman" w:cs="Times New Roman"/>
          <w:noProof/>
          <w:sz w:val="24"/>
          <w:szCs w:val="24"/>
          <w:vertAlign w:val="subscript"/>
        </w:rPr>
        <w:t>2</w:t>
      </w:r>
      <w:r w:rsidRPr="00DF1DC2">
        <w:rPr>
          <w:rFonts w:ascii="Times New Roman" w:hAnsi="Times New Roman" w:cs="Times New Roman"/>
          <w:noProof/>
          <w:sz w:val="24"/>
          <w:szCs w:val="24"/>
        </w:rPr>
        <w:t xml:space="preserve"> emissions for the five SSP scenarios. Green, blue, and orange dots correspond to the mean GST variations and 5% and 95% confidence intervals of GST changes. Colored lines display the polynomial fitting of their relationship.</w:t>
      </w:r>
    </w:p>
    <w:p w14:paraId="700FDBE7" w14:textId="77777777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79FF8BA" w14:textId="5B7CB1A0" w:rsidR="00CC6346" w:rsidRPr="00DF1DC2" w:rsidRDefault="00CC6346" w:rsidP="007F1502">
      <w:pPr>
        <w:spacing w:line="48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DF1DC2"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59B7399D" wp14:editId="2529EB23">
            <wp:extent cx="5943600" cy="3138805"/>
            <wp:effectExtent l="0" t="0" r="0" b="0"/>
            <wp:docPr id="1234267459" name="Graphic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267459" name="Graphic 1234267459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3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8EFE1" w14:textId="645EBEF7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DF1DC2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Extended Data Fig. 6. </w:t>
      </w:r>
      <w:r w:rsidRPr="00DF1DC2">
        <w:rPr>
          <w:rFonts w:ascii="Times New Roman" w:hAnsi="Times New Roman" w:cs="Times New Roman"/>
          <w:noProof/>
          <w:sz w:val="24"/>
          <w:szCs w:val="24"/>
        </w:rPr>
        <w:t>(a) Distribution of detrended CO</w:t>
      </w:r>
      <w:r w:rsidRPr="00DF1DC2">
        <w:rPr>
          <w:rFonts w:ascii="Times New Roman" w:hAnsi="Times New Roman" w:cs="Times New Roman"/>
          <w:noProof/>
          <w:sz w:val="24"/>
          <w:szCs w:val="24"/>
          <w:vertAlign w:val="subscript"/>
        </w:rPr>
        <w:t>2</w:t>
      </w:r>
      <w:r w:rsidRPr="00DF1DC2">
        <w:rPr>
          <w:rFonts w:ascii="Times New Roman" w:hAnsi="Times New Roman" w:cs="Times New Roman"/>
          <w:noProof/>
          <w:sz w:val="24"/>
          <w:szCs w:val="24"/>
        </w:rPr>
        <w:t xml:space="preserve"> emission intensity between 1995 and 2021. (b) Distribution of weighted global military expenditure ratio between 1995 and 2021. Two distributions can be considered normal distributions (passing the 95% confidence level).</w:t>
      </w:r>
    </w:p>
    <w:p w14:paraId="24775BF6" w14:textId="77777777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20FC250" w14:textId="751D9E4A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19E37A8" w14:textId="6AEA18F1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1DC2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C85441" w:rsidRPr="00DF1DC2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31CBCBB7" wp14:editId="7C8E9F16">
            <wp:extent cx="5943600" cy="4053205"/>
            <wp:effectExtent l="0" t="0" r="0" b="0"/>
            <wp:docPr id="488283522" name="Graphic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283522" name="Graphic 488283522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5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9CB2D" w14:textId="5A32944D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DF1DC2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Extended Data Fig. 7. </w:t>
      </w:r>
      <w:r w:rsidRPr="00DF1DC2">
        <w:rPr>
          <w:rFonts w:ascii="Times New Roman" w:hAnsi="Times New Roman" w:cs="Times New Roman"/>
          <w:bCs/>
          <w:noProof/>
          <w:sz w:val="24"/>
          <w:szCs w:val="24"/>
        </w:rPr>
        <w:t>P</w:t>
      </w:r>
      <w:r w:rsidRPr="00DF1DC2">
        <w:rPr>
          <w:rFonts w:ascii="Times New Roman" w:hAnsi="Times New Roman" w:cs="Times New Roman"/>
          <w:noProof/>
          <w:sz w:val="24"/>
          <w:szCs w:val="24"/>
        </w:rPr>
        <w:t>rojections of global surface temperature change relative to 1850–1900 in the SSP2-4.5, SSP3-7.0, and SSP5-8.5 baselines and the sensitivity scenarios considering alterations in global military expenditure ratio.</w:t>
      </w:r>
    </w:p>
    <w:p w14:paraId="31843818" w14:textId="77777777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868BF48" w14:textId="77777777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257F0516" w14:textId="77777777" w:rsidR="003E7B35" w:rsidRPr="00DF1DC2" w:rsidRDefault="003E7B35" w:rsidP="007F1502">
      <w:pPr>
        <w:spacing w:line="48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14F2E992" w14:textId="77777777" w:rsidR="00F26BCF" w:rsidRPr="00DF1DC2" w:rsidRDefault="00F26BCF" w:rsidP="007F1502">
      <w:pPr>
        <w:spacing w:line="480" w:lineRule="auto"/>
        <w:rPr>
          <w:rFonts w:ascii="Times New Roman" w:hAnsi="Times New Roman" w:cs="Times New Roman"/>
        </w:rPr>
      </w:pPr>
    </w:p>
    <w:sectPr w:rsidR="00F26BCF" w:rsidRPr="00DF1DC2" w:rsidSect="007C5314"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6453D3E"/>
    <w:multiLevelType w:val="singleLevel"/>
    <w:tmpl w:val="F6453D3E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FFFFF7C"/>
    <w:multiLevelType w:val="singleLevel"/>
    <w:tmpl w:val="038ED3C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ED4CFA2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1A44185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79D2F0D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EEDE452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89BA343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CF022C9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65FE27E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36A001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08785C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B475960"/>
    <w:multiLevelType w:val="hybridMultilevel"/>
    <w:tmpl w:val="3C22546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88F65D1"/>
    <w:multiLevelType w:val="hybridMultilevel"/>
    <w:tmpl w:val="09E291E0"/>
    <w:lvl w:ilvl="0" w:tplc="FFFFFFFF">
      <w:start w:val="1"/>
      <w:numFmt w:val="lowerRoman"/>
      <w:lvlText w:val="%1."/>
      <w:lvlJc w:val="right"/>
      <w:pPr>
        <w:ind w:left="840" w:hanging="420"/>
      </w:pPr>
    </w:lvl>
    <w:lvl w:ilvl="1" w:tplc="FFFFFFFF" w:tentative="1">
      <w:start w:val="1"/>
      <w:numFmt w:val="lowerLetter"/>
      <w:lvlText w:val="%2)"/>
      <w:lvlJc w:val="left"/>
      <w:pPr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1F4E39B1"/>
    <w:multiLevelType w:val="hybridMultilevel"/>
    <w:tmpl w:val="09E291E0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24AF03FD"/>
    <w:multiLevelType w:val="hybridMultilevel"/>
    <w:tmpl w:val="8172610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33099"/>
    <w:multiLevelType w:val="hybridMultilevel"/>
    <w:tmpl w:val="1936B6BA"/>
    <w:lvl w:ilvl="0" w:tplc="D3F4E184">
      <w:start w:val="1"/>
      <w:numFmt w:val="lowerLetter"/>
      <w:lvlText w:val="(%1)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6" w15:restartNumberingAfterBreak="0">
    <w:nsid w:val="36674E8D"/>
    <w:multiLevelType w:val="hybridMultilevel"/>
    <w:tmpl w:val="3BE2B9A8"/>
    <w:lvl w:ilvl="0" w:tplc="978A22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AE40427"/>
    <w:multiLevelType w:val="hybridMultilevel"/>
    <w:tmpl w:val="C6FA15D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017EBE"/>
    <w:multiLevelType w:val="hybridMultilevel"/>
    <w:tmpl w:val="396403A6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9" w15:restartNumberingAfterBreak="0">
    <w:nsid w:val="43097637"/>
    <w:multiLevelType w:val="hybridMultilevel"/>
    <w:tmpl w:val="49329A82"/>
    <w:lvl w:ilvl="0" w:tplc="3BAA59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60962D95"/>
    <w:multiLevelType w:val="hybridMultilevel"/>
    <w:tmpl w:val="8E8AE75E"/>
    <w:lvl w:ilvl="0" w:tplc="532650F0">
      <w:start w:val="1"/>
      <w:numFmt w:val="lowerLetter"/>
      <w:lvlText w:val="(%1)"/>
      <w:lvlJc w:val="left"/>
      <w:pPr>
        <w:ind w:left="25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089" w:hanging="440"/>
      </w:pPr>
    </w:lvl>
    <w:lvl w:ilvl="2" w:tplc="0409001B" w:tentative="1">
      <w:start w:val="1"/>
      <w:numFmt w:val="lowerRoman"/>
      <w:lvlText w:val="%3."/>
      <w:lvlJc w:val="right"/>
      <w:pPr>
        <w:ind w:left="3529" w:hanging="440"/>
      </w:pPr>
    </w:lvl>
    <w:lvl w:ilvl="3" w:tplc="0409000F" w:tentative="1">
      <w:start w:val="1"/>
      <w:numFmt w:val="decimal"/>
      <w:lvlText w:val="%4."/>
      <w:lvlJc w:val="left"/>
      <w:pPr>
        <w:ind w:left="3969" w:hanging="440"/>
      </w:pPr>
    </w:lvl>
    <w:lvl w:ilvl="4" w:tplc="04090019" w:tentative="1">
      <w:start w:val="1"/>
      <w:numFmt w:val="lowerLetter"/>
      <w:lvlText w:val="%5)"/>
      <w:lvlJc w:val="left"/>
      <w:pPr>
        <w:ind w:left="4409" w:hanging="440"/>
      </w:pPr>
    </w:lvl>
    <w:lvl w:ilvl="5" w:tplc="0409001B" w:tentative="1">
      <w:start w:val="1"/>
      <w:numFmt w:val="lowerRoman"/>
      <w:lvlText w:val="%6."/>
      <w:lvlJc w:val="right"/>
      <w:pPr>
        <w:ind w:left="4849" w:hanging="440"/>
      </w:pPr>
    </w:lvl>
    <w:lvl w:ilvl="6" w:tplc="0409000F" w:tentative="1">
      <w:start w:val="1"/>
      <w:numFmt w:val="decimal"/>
      <w:lvlText w:val="%7."/>
      <w:lvlJc w:val="left"/>
      <w:pPr>
        <w:ind w:left="5289" w:hanging="440"/>
      </w:pPr>
    </w:lvl>
    <w:lvl w:ilvl="7" w:tplc="04090019" w:tentative="1">
      <w:start w:val="1"/>
      <w:numFmt w:val="lowerLetter"/>
      <w:lvlText w:val="%8)"/>
      <w:lvlJc w:val="left"/>
      <w:pPr>
        <w:ind w:left="5729" w:hanging="440"/>
      </w:pPr>
    </w:lvl>
    <w:lvl w:ilvl="8" w:tplc="0409001B" w:tentative="1">
      <w:start w:val="1"/>
      <w:numFmt w:val="lowerRoman"/>
      <w:lvlText w:val="%9."/>
      <w:lvlJc w:val="right"/>
      <w:pPr>
        <w:ind w:left="6169" w:hanging="440"/>
      </w:pPr>
    </w:lvl>
  </w:abstractNum>
  <w:num w:numId="1" w16cid:durableId="235946040">
    <w:abstractNumId w:val="0"/>
  </w:num>
  <w:num w:numId="2" w16cid:durableId="1348749763">
    <w:abstractNumId w:val="13"/>
  </w:num>
  <w:num w:numId="3" w16cid:durableId="1476751400">
    <w:abstractNumId w:val="12"/>
  </w:num>
  <w:num w:numId="4" w16cid:durableId="1897474197">
    <w:abstractNumId w:val="11"/>
  </w:num>
  <w:num w:numId="5" w16cid:durableId="1616935970">
    <w:abstractNumId w:val="16"/>
  </w:num>
  <w:num w:numId="6" w16cid:durableId="499078934">
    <w:abstractNumId w:val="18"/>
  </w:num>
  <w:num w:numId="7" w16cid:durableId="1291745948">
    <w:abstractNumId w:val="19"/>
  </w:num>
  <w:num w:numId="8" w16cid:durableId="979923991">
    <w:abstractNumId w:val="20"/>
  </w:num>
  <w:num w:numId="9" w16cid:durableId="426269663">
    <w:abstractNumId w:val="14"/>
  </w:num>
  <w:num w:numId="10" w16cid:durableId="1359886841">
    <w:abstractNumId w:val="15"/>
  </w:num>
  <w:num w:numId="11" w16cid:durableId="776944238">
    <w:abstractNumId w:val="10"/>
  </w:num>
  <w:num w:numId="12" w16cid:durableId="1716731217">
    <w:abstractNumId w:val="8"/>
  </w:num>
  <w:num w:numId="13" w16cid:durableId="2031369594">
    <w:abstractNumId w:val="7"/>
  </w:num>
  <w:num w:numId="14" w16cid:durableId="1403717894">
    <w:abstractNumId w:val="6"/>
  </w:num>
  <w:num w:numId="15" w16cid:durableId="1032611648">
    <w:abstractNumId w:val="5"/>
  </w:num>
  <w:num w:numId="16" w16cid:durableId="307825367">
    <w:abstractNumId w:val="9"/>
  </w:num>
  <w:num w:numId="17" w16cid:durableId="1740321460">
    <w:abstractNumId w:val="4"/>
  </w:num>
  <w:num w:numId="18" w16cid:durableId="1373963850">
    <w:abstractNumId w:val="3"/>
  </w:num>
  <w:num w:numId="19" w16cid:durableId="361324642">
    <w:abstractNumId w:val="2"/>
  </w:num>
  <w:num w:numId="20" w16cid:durableId="2078816287">
    <w:abstractNumId w:val="1"/>
  </w:num>
  <w:num w:numId="21" w16cid:durableId="56429690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3E7B35"/>
    <w:rsid w:val="0000380A"/>
    <w:rsid w:val="00006210"/>
    <w:rsid w:val="00010A85"/>
    <w:rsid w:val="00011B96"/>
    <w:rsid w:val="00015402"/>
    <w:rsid w:val="000304A0"/>
    <w:rsid w:val="00051AA4"/>
    <w:rsid w:val="00055F74"/>
    <w:rsid w:val="00062BC6"/>
    <w:rsid w:val="00074FD5"/>
    <w:rsid w:val="00090369"/>
    <w:rsid w:val="00090527"/>
    <w:rsid w:val="000A0FAB"/>
    <w:rsid w:val="000A137F"/>
    <w:rsid w:val="000B1CE2"/>
    <w:rsid w:val="000D2C1E"/>
    <w:rsid w:val="000D566B"/>
    <w:rsid w:val="000F156B"/>
    <w:rsid w:val="0011405E"/>
    <w:rsid w:val="001201C2"/>
    <w:rsid w:val="00130EC0"/>
    <w:rsid w:val="00147894"/>
    <w:rsid w:val="00157343"/>
    <w:rsid w:val="001A1155"/>
    <w:rsid w:val="001D2240"/>
    <w:rsid w:val="001F6527"/>
    <w:rsid w:val="00213E5E"/>
    <w:rsid w:val="0022532A"/>
    <w:rsid w:val="00226EBC"/>
    <w:rsid w:val="00245991"/>
    <w:rsid w:val="00253392"/>
    <w:rsid w:val="0025559F"/>
    <w:rsid w:val="00257E51"/>
    <w:rsid w:val="00260726"/>
    <w:rsid w:val="00276FDE"/>
    <w:rsid w:val="00290A08"/>
    <w:rsid w:val="00297E7F"/>
    <w:rsid w:val="002C5F2F"/>
    <w:rsid w:val="002F13E3"/>
    <w:rsid w:val="00311E26"/>
    <w:rsid w:val="00321193"/>
    <w:rsid w:val="003313C3"/>
    <w:rsid w:val="00335925"/>
    <w:rsid w:val="003545D2"/>
    <w:rsid w:val="00356628"/>
    <w:rsid w:val="00375FAD"/>
    <w:rsid w:val="00392F9A"/>
    <w:rsid w:val="00393EB5"/>
    <w:rsid w:val="003A58DE"/>
    <w:rsid w:val="003B6D1D"/>
    <w:rsid w:val="003E7B35"/>
    <w:rsid w:val="003F083C"/>
    <w:rsid w:val="003F2081"/>
    <w:rsid w:val="00401E36"/>
    <w:rsid w:val="00434A25"/>
    <w:rsid w:val="00441D74"/>
    <w:rsid w:val="00443D72"/>
    <w:rsid w:val="00451EAB"/>
    <w:rsid w:val="00473DA5"/>
    <w:rsid w:val="00474079"/>
    <w:rsid w:val="004768E5"/>
    <w:rsid w:val="004866FA"/>
    <w:rsid w:val="004C73EF"/>
    <w:rsid w:val="005055B2"/>
    <w:rsid w:val="005113D2"/>
    <w:rsid w:val="005441CC"/>
    <w:rsid w:val="0055584E"/>
    <w:rsid w:val="00563A57"/>
    <w:rsid w:val="005868DA"/>
    <w:rsid w:val="005915DF"/>
    <w:rsid w:val="005C38CA"/>
    <w:rsid w:val="005E29C4"/>
    <w:rsid w:val="005F3024"/>
    <w:rsid w:val="0060304A"/>
    <w:rsid w:val="00611391"/>
    <w:rsid w:val="00624DAE"/>
    <w:rsid w:val="00626D3E"/>
    <w:rsid w:val="0063721D"/>
    <w:rsid w:val="00637407"/>
    <w:rsid w:val="006374A0"/>
    <w:rsid w:val="00644AB6"/>
    <w:rsid w:val="0069233B"/>
    <w:rsid w:val="006A1BF7"/>
    <w:rsid w:val="006C487E"/>
    <w:rsid w:val="006C61D1"/>
    <w:rsid w:val="007101AF"/>
    <w:rsid w:val="00737652"/>
    <w:rsid w:val="00750B32"/>
    <w:rsid w:val="007529BE"/>
    <w:rsid w:val="00756822"/>
    <w:rsid w:val="00761EE9"/>
    <w:rsid w:val="0077169F"/>
    <w:rsid w:val="007C5314"/>
    <w:rsid w:val="007D1E5A"/>
    <w:rsid w:val="007D2FE2"/>
    <w:rsid w:val="007F1502"/>
    <w:rsid w:val="007F4DBC"/>
    <w:rsid w:val="00824BD5"/>
    <w:rsid w:val="00842A37"/>
    <w:rsid w:val="00846D68"/>
    <w:rsid w:val="0087025B"/>
    <w:rsid w:val="00871AD4"/>
    <w:rsid w:val="00873869"/>
    <w:rsid w:val="0088104A"/>
    <w:rsid w:val="00894423"/>
    <w:rsid w:val="008B047D"/>
    <w:rsid w:val="008E040A"/>
    <w:rsid w:val="008F0FDD"/>
    <w:rsid w:val="008F515E"/>
    <w:rsid w:val="00995839"/>
    <w:rsid w:val="00996874"/>
    <w:rsid w:val="009A5B06"/>
    <w:rsid w:val="009D2DE4"/>
    <w:rsid w:val="009D34BE"/>
    <w:rsid w:val="009F3D29"/>
    <w:rsid w:val="00A10FF7"/>
    <w:rsid w:val="00A365F8"/>
    <w:rsid w:val="00A500BF"/>
    <w:rsid w:val="00A55DC5"/>
    <w:rsid w:val="00A566E3"/>
    <w:rsid w:val="00A5773A"/>
    <w:rsid w:val="00A82F53"/>
    <w:rsid w:val="00A90242"/>
    <w:rsid w:val="00A9450D"/>
    <w:rsid w:val="00AE37A4"/>
    <w:rsid w:val="00AF0532"/>
    <w:rsid w:val="00B326C8"/>
    <w:rsid w:val="00B35C8E"/>
    <w:rsid w:val="00B97482"/>
    <w:rsid w:val="00BD583D"/>
    <w:rsid w:val="00BE1DF7"/>
    <w:rsid w:val="00BE4377"/>
    <w:rsid w:val="00BF1C3F"/>
    <w:rsid w:val="00BF2A1C"/>
    <w:rsid w:val="00C06989"/>
    <w:rsid w:val="00C34332"/>
    <w:rsid w:val="00C431BE"/>
    <w:rsid w:val="00C5690E"/>
    <w:rsid w:val="00C819A7"/>
    <w:rsid w:val="00C85441"/>
    <w:rsid w:val="00C85DFD"/>
    <w:rsid w:val="00C91589"/>
    <w:rsid w:val="00C935C7"/>
    <w:rsid w:val="00CB214D"/>
    <w:rsid w:val="00CC6346"/>
    <w:rsid w:val="00CE0750"/>
    <w:rsid w:val="00D30EEB"/>
    <w:rsid w:val="00D35948"/>
    <w:rsid w:val="00D61CBC"/>
    <w:rsid w:val="00D71016"/>
    <w:rsid w:val="00D861DF"/>
    <w:rsid w:val="00D90BA6"/>
    <w:rsid w:val="00DA2A8A"/>
    <w:rsid w:val="00DC52E4"/>
    <w:rsid w:val="00DC6CC6"/>
    <w:rsid w:val="00DD13E2"/>
    <w:rsid w:val="00DD2091"/>
    <w:rsid w:val="00DD586D"/>
    <w:rsid w:val="00DD626D"/>
    <w:rsid w:val="00DE11AE"/>
    <w:rsid w:val="00DE2692"/>
    <w:rsid w:val="00DE7A1A"/>
    <w:rsid w:val="00DF1DC2"/>
    <w:rsid w:val="00DF25EA"/>
    <w:rsid w:val="00E34E31"/>
    <w:rsid w:val="00E36E96"/>
    <w:rsid w:val="00E47DB9"/>
    <w:rsid w:val="00E6021C"/>
    <w:rsid w:val="00ED1CD7"/>
    <w:rsid w:val="00EF4A57"/>
    <w:rsid w:val="00EF72FF"/>
    <w:rsid w:val="00F05A79"/>
    <w:rsid w:val="00F21941"/>
    <w:rsid w:val="00F22AEB"/>
    <w:rsid w:val="00F26BCF"/>
    <w:rsid w:val="00F50002"/>
    <w:rsid w:val="00F86B17"/>
    <w:rsid w:val="00F97804"/>
    <w:rsid w:val="00FA0518"/>
    <w:rsid w:val="00FB161F"/>
    <w:rsid w:val="00FD1C7B"/>
    <w:rsid w:val="00FD5891"/>
    <w:rsid w:val="00FE4BD4"/>
    <w:rsid w:val="00FE60D7"/>
    <w:rsid w:val="00FE7615"/>
    <w:rsid w:val="00FF3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1CA9E"/>
  <w15:chartTrackingRefBased/>
  <w15:docId w15:val="{3EF1AB4E-1EE3-734F-8B70-C2AB31246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B35"/>
    <w:pPr>
      <w:widowControl w:val="0"/>
      <w:jc w:val="both"/>
    </w:pPr>
    <w:rPr>
      <w:kern w:val="0"/>
      <w:sz w:val="21"/>
      <w:szCs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E7B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3E7B35"/>
    <w:rPr>
      <w:kern w:val="0"/>
      <w:sz w:val="18"/>
      <w:szCs w:val="18"/>
      <w:lang w:val="en-US"/>
      <w14:ligatures w14:val="none"/>
    </w:rPr>
  </w:style>
  <w:style w:type="paragraph" w:styleId="Footer">
    <w:name w:val="footer"/>
    <w:basedOn w:val="Normal"/>
    <w:link w:val="FooterChar"/>
    <w:rsid w:val="003E7B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3E7B35"/>
    <w:rPr>
      <w:kern w:val="0"/>
      <w:sz w:val="18"/>
      <w:szCs w:val="18"/>
      <w:lang w:val="en-US"/>
      <w14:ligatures w14:val="none"/>
    </w:rPr>
  </w:style>
  <w:style w:type="character" w:styleId="CommentReference">
    <w:name w:val="annotation reference"/>
    <w:basedOn w:val="DefaultParagraphFont"/>
    <w:uiPriority w:val="99"/>
    <w:rsid w:val="003E7B35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rsid w:val="003E7B35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3E7B35"/>
    <w:rPr>
      <w:kern w:val="0"/>
      <w:sz w:val="21"/>
      <w:szCs w:val="22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rsid w:val="003E7B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3E7B35"/>
    <w:rPr>
      <w:b/>
      <w:bCs/>
      <w:kern w:val="0"/>
      <w:sz w:val="21"/>
      <w:szCs w:val="22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3E7B35"/>
    <w:pPr>
      <w:ind w:firstLineChars="200" w:firstLine="420"/>
    </w:pPr>
    <w:rPr>
      <w:kern w:val="2"/>
    </w:rPr>
  </w:style>
  <w:style w:type="table" w:styleId="TableGrid">
    <w:name w:val="Table Grid"/>
    <w:basedOn w:val="TableNormal"/>
    <w:uiPriority w:val="39"/>
    <w:rsid w:val="003E7B35"/>
    <w:rPr>
      <w:sz w:val="21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E7B35"/>
    <w:rPr>
      <w:kern w:val="0"/>
      <w:sz w:val="21"/>
      <w:szCs w:val="22"/>
      <w:lang w:val="en-US"/>
      <w14:ligatures w14:val="none"/>
    </w:rPr>
  </w:style>
  <w:style w:type="character" w:styleId="Hyperlink">
    <w:name w:val="Hyperlink"/>
    <w:basedOn w:val="DefaultParagraphFont"/>
    <w:rsid w:val="003E7B35"/>
    <w:rPr>
      <w:color w:val="0563C1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3E7B3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rsid w:val="003E7B3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3E7B35"/>
    <w:rPr>
      <w:kern w:val="0"/>
      <w:sz w:val="18"/>
      <w:szCs w:val="18"/>
      <w:lang w:val="en-US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3E7B3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SimSun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E7B35"/>
    <w:rPr>
      <w:rFonts w:ascii="SimSun" w:eastAsia="SimSun" w:hAnsi="SimSun" w:cs="SimSun"/>
      <w:kern w:val="0"/>
      <w:lang w:val="en-US"/>
      <w14:ligatures w14:val="none"/>
    </w:rPr>
  </w:style>
  <w:style w:type="character" w:styleId="FollowedHyperlink">
    <w:name w:val="FollowedHyperlink"/>
    <w:basedOn w:val="DefaultParagraphFont"/>
    <w:rsid w:val="003E7B35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3E7B3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3E7B35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0"/>
    <w:rsid w:val="003E7B35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3E7B35"/>
    <w:rPr>
      <w:rFonts w:ascii="Calibri" w:hAnsi="Calibri" w:cs="Calibri"/>
      <w:noProof/>
      <w:kern w:val="0"/>
      <w:sz w:val="20"/>
      <w:szCs w:val="22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0"/>
    <w:rsid w:val="003E7B35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3E7B35"/>
    <w:rPr>
      <w:rFonts w:ascii="Calibri" w:hAnsi="Calibri" w:cs="Calibri"/>
      <w:noProof/>
      <w:kern w:val="0"/>
      <w:sz w:val="20"/>
      <w:szCs w:val="22"/>
      <w:lang w:val="en-US"/>
      <w14:ligatures w14:val="none"/>
    </w:rPr>
  </w:style>
  <w:style w:type="character" w:styleId="LineNumber">
    <w:name w:val="line number"/>
    <w:basedOn w:val="DefaultParagraphFont"/>
    <w:rsid w:val="003E7B35"/>
    <w:rPr>
      <w:rFonts w:ascii="Times New Roman" w:hAnsi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434A25"/>
    <w:rPr>
      <w:color w:val="605E5C"/>
      <w:shd w:val="clear" w:color="auto" w:fill="E1DFDD"/>
    </w:rPr>
  </w:style>
  <w:style w:type="paragraph" w:customStyle="1" w:styleId="Authors">
    <w:name w:val="Authors"/>
    <w:basedOn w:val="Normal"/>
    <w:rsid w:val="00DD626D"/>
    <w:pPr>
      <w:widowControl/>
      <w:spacing w:before="120" w:after="360"/>
      <w:jc w:val="center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Paragraph">
    <w:name w:val="Paragraph"/>
    <w:basedOn w:val="Normal"/>
    <w:rsid w:val="00DD626D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Acknowledgement">
    <w:name w:val="Acknowledgement"/>
    <w:basedOn w:val="Normal"/>
    <w:rsid w:val="00451EAB"/>
    <w:pPr>
      <w:widowControl/>
      <w:spacing w:before="120"/>
      <w:ind w:left="720" w:hanging="720"/>
      <w:jc w:val="left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sv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svg"/><Relationship Id="rId12" Type="http://schemas.openxmlformats.org/officeDocument/2006/relationships/image" Target="media/image8.png"/><Relationship Id="rId17" Type="http://schemas.openxmlformats.org/officeDocument/2006/relationships/image" Target="media/image13.sv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svg"/><Relationship Id="rId5" Type="http://schemas.openxmlformats.org/officeDocument/2006/relationships/image" Target="media/image1.png"/><Relationship Id="rId15" Type="http://schemas.openxmlformats.org/officeDocument/2006/relationships/image" Target="media/image11.svg"/><Relationship Id="rId10" Type="http://schemas.openxmlformats.org/officeDocument/2006/relationships/image" Target="media/image6.png"/><Relationship Id="rId19" Type="http://schemas.openxmlformats.org/officeDocument/2006/relationships/image" Target="media/image15.svg"/><Relationship Id="rId4" Type="http://schemas.openxmlformats.org/officeDocument/2006/relationships/webSettings" Target="webSettings.xml"/><Relationship Id="rId9" Type="http://schemas.openxmlformats.org/officeDocument/2006/relationships/image" Target="media/image5.sv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10</Pages>
  <Words>560</Words>
  <Characters>3193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 Ran</dc:creator>
  <cp:keywords/>
  <dc:description/>
  <cp:lastModifiedBy>Poonam Mutha</cp:lastModifiedBy>
  <cp:revision>189</cp:revision>
  <dcterms:created xsi:type="dcterms:W3CDTF">2024-01-10T09:24:00Z</dcterms:created>
  <dcterms:modified xsi:type="dcterms:W3CDTF">2024-02-16T12:09:00Z</dcterms:modified>
</cp:coreProperties>
</file>