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5EFEE" w14:textId="7B9316B7" w:rsidR="005546C7" w:rsidRDefault="005546C7" w:rsidP="004243FB">
      <w:pPr>
        <w:pStyle w:val="EndNoteBibliography"/>
        <w:ind w:firstLineChars="0" w:firstLine="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4DB5C72" wp14:editId="5CAF48A9">
            <wp:extent cx="5274310" cy="7242175"/>
            <wp:effectExtent l="0" t="0" r="2540" b="0"/>
            <wp:docPr id="2522891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289192" name="图片 25228919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1BF5E" w14:textId="67CC1CDB" w:rsidR="004243FB" w:rsidRDefault="004243FB" w:rsidP="004243FB">
      <w:pPr>
        <w:pStyle w:val="EndNoteBibliography"/>
        <w:ind w:firstLineChars="0" w:firstLine="0"/>
      </w:pPr>
      <w:r>
        <w:rPr>
          <w:b/>
          <w:bCs/>
        </w:rPr>
        <w:t xml:space="preserve">Supplementory </w:t>
      </w:r>
      <w:r>
        <w:rPr>
          <w:rFonts w:hint="eastAsia"/>
          <w:b/>
          <w:bCs/>
        </w:rPr>
        <w:t>fig</w:t>
      </w:r>
      <w:r w:rsidR="005546C7">
        <w:rPr>
          <w:b/>
          <w:bCs/>
        </w:rPr>
        <w:t>ure</w:t>
      </w:r>
      <w:r>
        <w:rPr>
          <w:b/>
          <w:bCs/>
        </w:rPr>
        <w:t xml:space="preserve"> 1</w:t>
      </w:r>
      <w:r w:rsidR="005546C7">
        <w:rPr>
          <w:b/>
          <w:bCs/>
        </w:rPr>
        <w:t>.</w:t>
      </w:r>
      <w:r>
        <w:t xml:space="preserve"> LPS-induced myocardial injury, oxidative stress, and lipid peroxidation can be alleviated by </w:t>
      </w:r>
      <w:r w:rsidR="00A0671D">
        <w:t>f</w:t>
      </w:r>
      <w:r>
        <w:t>errostatin-1.</w:t>
      </w:r>
    </w:p>
    <w:p w14:paraId="47073072" w14:textId="6F5EE9B3" w:rsidR="004243FB" w:rsidRDefault="004243FB" w:rsidP="005546C7">
      <w:pPr>
        <w:ind w:firstLineChars="0" w:firstLine="0"/>
      </w:pPr>
      <w:r w:rsidRPr="000C575B">
        <w:rPr>
          <w:b/>
          <w:bCs/>
        </w:rPr>
        <w:lastRenderedPageBreak/>
        <w:t>A-B</w:t>
      </w:r>
      <w:r>
        <w:t xml:space="preserve"> The levels of CK-MB and cTnT in serum</w:t>
      </w:r>
      <w:r w:rsidR="000C575B">
        <w:t>(</w:t>
      </w:r>
      <w:r w:rsidR="000C575B" w:rsidRPr="000C575B">
        <w:rPr>
          <w:b/>
          <w:bCs/>
        </w:rPr>
        <w:t>A</w:t>
      </w:r>
      <w:r w:rsidR="000C575B">
        <w:t>)</w:t>
      </w:r>
      <w:r>
        <w:t xml:space="preserve"> and myocardial tissue</w:t>
      </w:r>
      <w:r w:rsidR="000C575B">
        <w:t>(</w:t>
      </w:r>
      <w:r w:rsidR="000C575B" w:rsidRPr="000C575B">
        <w:rPr>
          <w:b/>
          <w:bCs/>
        </w:rPr>
        <w:t>B</w:t>
      </w:r>
      <w:r w:rsidR="000C575B">
        <w:t>)</w:t>
      </w:r>
      <w:r>
        <w:t xml:space="preserve"> in mice with injection of </w:t>
      </w:r>
      <w:proofErr w:type="gramStart"/>
      <w:r w:rsidR="00A0671D">
        <w:t>l</w:t>
      </w:r>
      <w:r w:rsidR="005546C7">
        <w:t>ipopolysaccharide(</w:t>
      </w:r>
      <w:proofErr w:type="gramEnd"/>
      <w:r>
        <w:t>LPS</w:t>
      </w:r>
      <w:r w:rsidR="005546C7">
        <w:t>)</w:t>
      </w:r>
      <w:r>
        <w:t xml:space="preserve">(10mg/kg) with or without administration of </w:t>
      </w:r>
      <w:r w:rsidR="00A0671D">
        <w:t>f</w:t>
      </w:r>
      <w:r>
        <w:t>errostatin-1</w:t>
      </w:r>
      <w:r w:rsidR="009A7488">
        <w:t xml:space="preserve"> </w:t>
      </w:r>
      <w:r>
        <w:t>(</w:t>
      </w:r>
      <w:r w:rsidR="009A7488" w:rsidRPr="009A7488">
        <w:rPr>
          <w:i/>
          <w:iCs/>
        </w:rPr>
        <w:t xml:space="preserve"> </w:t>
      </w:r>
      <w:r w:rsidR="009A7488" w:rsidRPr="00323CC0">
        <w:rPr>
          <w:i/>
          <w:iCs/>
        </w:rPr>
        <w:t>n</w:t>
      </w:r>
      <w:r w:rsidR="009A7488">
        <w:t xml:space="preserve"> </w:t>
      </w:r>
      <w:r>
        <w:t>=</w:t>
      </w:r>
      <w:r w:rsidR="000C575B">
        <w:t xml:space="preserve">5 </w:t>
      </w:r>
      <w:r w:rsidR="000C575B" w:rsidRPr="00F12F37">
        <w:t>per group</w:t>
      </w:r>
      <w:r>
        <w:t>).</w:t>
      </w:r>
      <w:r w:rsidR="005546C7">
        <w:t xml:space="preserve"> </w:t>
      </w:r>
      <w:r w:rsidRPr="000C575B">
        <w:rPr>
          <w:b/>
          <w:bCs/>
        </w:rPr>
        <w:t>C</w:t>
      </w:r>
      <w:r w:rsidR="000C575B">
        <w:t xml:space="preserve"> </w:t>
      </w:r>
      <w:r>
        <w:t xml:space="preserve">The level of </w:t>
      </w:r>
      <w:proofErr w:type="gramStart"/>
      <w:r w:rsidR="005546C7">
        <w:t>m</w:t>
      </w:r>
      <w:r w:rsidR="005546C7" w:rsidRPr="005546C7">
        <w:t>alondialdehyde</w:t>
      </w:r>
      <w:r w:rsidR="005546C7">
        <w:t>(</w:t>
      </w:r>
      <w:proofErr w:type="gramEnd"/>
      <w:r>
        <w:t>MDA</w:t>
      </w:r>
      <w:r w:rsidR="005546C7">
        <w:t>)</w:t>
      </w:r>
      <w:r>
        <w:t xml:space="preserve"> and </w:t>
      </w:r>
      <w:r w:rsidR="005546C7">
        <w:t>s</w:t>
      </w:r>
      <w:r w:rsidR="005546C7" w:rsidRPr="005546C7">
        <w:t xml:space="preserve">uperoxide </w:t>
      </w:r>
      <w:r w:rsidR="005546C7">
        <w:t>d</w:t>
      </w:r>
      <w:r w:rsidR="005546C7" w:rsidRPr="005546C7">
        <w:t>ismutase</w:t>
      </w:r>
      <w:r w:rsidR="005546C7">
        <w:t>(</w:t>
      </w:r>
      <w:r>
        <w:t>SOD</w:t>
      </w:r>
      <w:r w:rsidR="005546C7">
        <w:t>)</w:t>
      </w:r>
      <w:r>
        <w:t xml:space="preserve"> in serum with injection of LPS(10mg/kg) with or without administration of </w:t>
      </w:r>
      <w:r w:rsidR="00A0671D">
        <w:t>f</w:t>
      </w:r>
      <w:r>
        <w:t>errostatin-1</w:t>
      </w:r>
      <w:r w:rsidR="009A7488">
        <w:t xml:space="preserve"> </w:t>
      </w:r>
      <w:r>
        <w:t>(</w:t>
      </w:r>
      <w:r w:rsidR="009A7488" w:rsidRPr="009A7488">
        <w:rPr>
          <w:i/>
          <w:iCs/>
        </w:rPr>
        <w:t xml:space="preserve"> </w:t>
      </w:r>
      <w:r w:rsidR="009A7488" w:rsidRPr="00323CC0">
        <w:rPr>
          <w:i/>
          <w:iCs/>
        </w:rPr>
        <w:t>n</w:t>
      </w:r>
      <w:r w:rsidR="009A7488">
        <w:t xml:space="preserve"> </w:t>
      </w:r>
      <w:r>
        <w:t>=5</w:t>
      </w:r>
      <w:r w:rsidR="000C575B">
        <w:t xml:space="preserve"> </w:t>
      </w:r>
      <w:r w:rsidR="000C575B" w:rsidRPr="00F12F37">
        <w:t>per group</w:t>
      </w:r>
      <w:r>
        <w:t>).</w:t>
      </w:r>
      <w:r w:rsidR="005546C7">
        <w:t xml:space="preserve"> </w:t>
      </w:r>
      <w:r w:rsidRPr="000C575B">
        <w:rPr>
          <w:b/>
          <w:bCs/>
        </w:rPr>
        <w:t>D</w:t>
      </w:r>
      <w:r w:rsidR="000C575B">
        <w:t xml:space="preserve"> </w:t>
      </w:r>
      <w:r>
        <w:t xml:space="preserve">The mRNA level of PTGS2 and ACSL4 </w:t>
      </w:r>
      <w:proofErr w:type="gramStart"/>
      <w:r>
        <w:t>in  myocardial</w:t>
      </w:r>
      <w:proofErr w:type="gramEnd"/>
      <w:r>
        <w:t xml:space="preserve"> tissue(</w:t>
      </w:r>
      <w:r w:rsidR="009A7488" w:rsidRPr="00323CC0">
        <w:rPr>
          <w:i/>
          <w:iCs/>
        </w:rPr>
        <w:t>n</w:t>
      </w:r>
      <w:r w:rsidR="009A7488">
        <w:t xml:space="preserve"> </w:t>
      </w:r>
      <w:r>
        <w:t>=4</w:t>
      </w:r>
      <w:r w:rsidR="000C575B">
        <w:t xml:space="preserve"> </w:t>
      </w:r>
      <w:r w:rsidR="000C575B" w:rsidRPr="00F12F37">
        <w:t>per group</w:t>
      </w:r>
      <w:r>
        <w:t>).</w:t>
      </w:r>
      <w:r w:rsidR="005546C7">
        <w:t xml:space="preserve"> </w:t>
      </w:r>
      <w:r w:rsidRPr="000C575B">
        <w:rPr>
          <w:b/>
          <w:bCs/>
        </w:rPr>
        <w:t>E</w:t>
      </w:r>
      <w:r>
        <w:t xml:space="preserve"> Representative fluorescence images of SLC7A11,</w:t>
      </w:r>
      <w:r w:rsidR="005546C7">
        <w:t xml:space="preserve"> </w:t>
      </w:r>
      <w:r>
        <w:t xml:space="preserve">GPX4 and FTH1 in cardiac </w:t>
      </w:r>
      <w:proofErr w:type="gramStart"/>
      <w:r>
        <w:t>tissue</w:t>
      </w:r>
      <w:r w:rsidR="000C575B">
        <w:t>(</w:t>
      </w:r>
      <w:proofErr w:type="gramEnd"/>
      <w:r w:rsidR="000C575B" w:rsidRPr="00F12F37">
        <w:t>scale bar</w:t>
      </w:r>
      <w:r w:rsidR="000C575B">
        <w:t xml:space="preserve">, </w:t>
      </w:r>
      <w:r w:rsidR="000C575B" w:rsidRPr="00F12F37">
        <w:t>20 μM</w:t>
      </w:r>
      <w:r w:rsidR="000C575B">
        <w:t>)</w:t>
      </w:r>
      <w:r>
        <w:t>.</w:t>
      </w:r>
      <w:r w:rsidR="005546C7">
        <w:t xml:space="preserve"> </w:t>
      </w:r>
      <w:r w:rsidRPr="000C575B">
        <w:rPr>
          <w:b/>
          <w:bCs/>
        </w:rPr>
        <w:t>F</w:t>
      </w:r>
      <w:r>
        <w:t xml:space="preserve"> Quantitative fluorescence intensity of </w:t>
      </w:r>
      <w:r w:rsidR="005546C7">
        <w:t xml:space="preserve">reactive oxygen </w:t>
      </w:r>
      <w:proofErr w:type="gramStart"/>
      <w:r w:rsidR="005546C7">
        <w:t>species(</w:t>
      </w:r>
      <w:proofErr w:type="gramEnd"/>
      <w:r>
        <w:t>ROS</w:t>
      </w:r>
      <w:r w:rsidR="005546C7">
        <w:t>)</w:t>
      </w:r>
      <w:r>
        <w:t xml:space="preserve"> and E in cardiac tissue (</w:t>
      </w:r>
      <w:r w:rsidR="009A7488" w:rsidRPr="00323CC0">
        <w:rPr>
          <w:i/>
          <w:iCs/>
        </w:rPr>
        <w:t>n</w:t>
      </w:r>
      <w:r w:rsidR="009A7488">
        <w:t xml:space="preserve"> </w:t>
      </w:r>
      <w:r>
        <w:t>=4</w:t>
      </w:r>
      <w:r w:rsidR="000C575B">
        <w:t xml:space="preserve"> </w:t>
      </w:r>
      <w:r w:rsidR="000C575B" w:rsidRPr="00F12F37">
        <w:t>per group</w:t>
      </w:r>
      <w:r w:rsidR="000C575B">
        <w:t xml:space="preserve">, </w:t>
      </w:r>
      <w:r w:rsidR="000C575B" w:rsidRPr="00F12F37">
        <w:t>scale bar</w:t>
      </w:r>
      <w:r w:rsidR="000C575B">
        <w:t xml:space="preserve">, </w:t>
      </w:r>
      <w:r w:rsidR="000C575B" w:rsidRPr="00F12F37">
        <w:t>20 μM</w:t>
      </w:r>
      <w:r>
        <w:t>). Error bars represent mean</w:t>
      </w:r>
      <w:r w:rsidRPr="005546C7">
        <w:rPr>
          <w:rFonts w:eastAsia="MS Gothic"/>
        </w:rPr>
        <w:t> </w:t>
      </w:r>
      <w:r w:rsidRPr="005546C7">
        <w:rPr>
          <w:rFonts w:eastAsia="等线"/>
        </w:rPr>
        <w:t>±</w:t>
      </w:r>
      <w:r w:rsidRPr="005546C7">
        <w:rPr>
          <w:rFonts w:eastAsia="MS Gothic"/>
        </w:rPr>
        <w:t> </w:t>
      </w:r>
      <w:r>
        <w:t>s.e.m. n</w:t>
      </w:r>
      <w:r w:rsidRPr="005546C7">
        <w:rPr>
          <w:rFonts w:eastAsia="MS Gothic"/>
        </w:rPr>
        <w:t> </w:t>
      </w:r>
      <w:r>
        <w:t>numbers refer to individual mice. One-way ANOVA was used for statistical analysis in B-G.</w:t>
      </w:r>
      <w:r w:rsidR="005546C7">
        <w:t xml:space="preserve"> </w:t>
      </w:r>
      <w:r>
        <w:t>*P</w:t>
      </w:r>
      <w:r w:rsidRPr="005546C7">
        <w:rPr>
          <w:rFonts w:eastAsia="MS Gothic"/>
        </w:rPr>
        <w:t> </w:t>
      </w:r>
      <w:r>
        <w:t>&lt;</w:t>
      </w:r>
      <w:r w:rsidRPr="005546C7">
        <w:rPr>
          <w:rFonts w:eastAsia="MS Gothic"/>
        </w:rPr>
        <w:t> </w:t>
      </w:r>
      <w:r>
        <w:t>0.05; **P</w:t>
      </w:r>
      <w:r w:rsidRPr="005546C7">
        <w:rPr>
          <w:rFonts w:eastAsia="MS Gothic"/>
        </w:rPr>
        <w:t> </w:t>
      </w:r>
      <w:r>
        <w:t>&lt;</w:t>
      </w:r>
      <w:r w:rsidRPr="005546C7">
        <w:rPr>
          <w:rFonts w:eastAsia="MS Gothic"/>
        </w:rPr>
        <w:t> </w:t>
      </w:r>
      <w:r>
        <w:t>0.01;</w:t>
      </w:r>
      <w:r w:rsidR="005546C7">
        <w:t xml:space="preserve"> </w:t>
      </w:r>
      <w:r>
        <w:t>***P</w:t>
      </w:r>
      <w:r w:rsidRPr="005546C7">
        <w:rPr>
          <w:rFonts w:eastAsia="MS Gothic"/>
        </w:rPr>
        <w:t> </w:t>
      </w:r>
      <w:r>
        <w:t>&lt;</w:t>
      </w:r>
      <w:r w:rsidRPr="005546C7">
        <w:rPr>
          <w:rFonts w:eastAsia="MS Gothic"/>
        </w:rPr>
        <w:t> </w:t>
      </w:r>
      <w:r>
        <w:t>0.001;</w:t>
      </w:r>
      <w:r w:rsidR="005546C7">
        <w:t xml:space="preserve"> </w:t>
      </w:r>
      <w:r>
        <w:t>****P</w:t>
      </w:r>
      <w:r w:rsidRPr="005546C7">
        <w:rPr>
          <w:rFonts w:eastAsia="MS Gothic"/>
        </w:rPr>
        <w:t> </w:t>
      </w:r>
      <w:r>
        <w:t>&lt;</w:t>
      </w:r>
      <w:r w:rsidRPr="005546C7">
        <w:rPr>
          <w:rFonts w:eastAsia="MS Gothic"/>
        </w:rPr>
        <w:t> </w:t>
      </w:r>
      <w:r>
        <w:t>0.0001.</w:t>
      </w:r>
      <w:r w:rsidR="005546C7">
        <w:t xml:space="preserve"> </w:t>
      </w:r>
      <w:r>
        <w:t>Con:</w:t>
      </w:r>
      <w:r w:rsidR="005546C7">
        <w:t xml:space="preserve"> </w:t>
      </w:r>
      <w:r>
        <w:t>control.</w:t>
      </w:r>
      <w:r w:rsidR="005546C7">
        <w:t xml:space="preserve"> </w:t>
      </w:r>
      <w:r>
        <w:t>Fer-1: ferrostatin-1.</w:t>
      </w:r>
    </w:p>
    <w:p w14:paraId="04A0A497" w14:textId="1C1538A4" w:rsidR="005546C7" w:rsidRDefault="005546C7" w:rsidP="005546C7">
      <w:pPr>
        <w:pStyle w:val="EndNoteBibliography"/>
        <w:ind w:firstLineChars="0" w:firstLine="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52AAD96" wp14:editId="2CC20C2E">
            <wp:extent cx="5274310" cy="5607050"/>
            <wp:effectExtent l="0" t="0" r="2540" b="0"/>
            <wp:docPr id="4900910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91055" name="图片 49009105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A6133" w14:textId="4E56B96D" w:rsidR="004243FB" w:rsidRDefault="004243FB" w:rsidP="005546C7">
      <w:pPr>
        <w:pStyle w:val="EndNoteBibliography"/>
        <w:ind w:firstLineChars="0" w:firstLine="0"/>
      </w:pPr>
      <w:r>
        <w:rPr>
          <w:b/>
          <w:bCs/>
        </w:rPr>
        <w:t xml:space="preserve">Supplementory </w:t>
      </w:r>
      <w:r>
        <w:rPr>
          <w:rFonts w:hint="eastAsia"/>
          <w:b/>
          <w:bCs/>
        </w:rPr>
        <w:t>fig</w:t>
      </w:r>
      <w:r w:rsidR="005546C7">
        <w:rPr>
          <w:b/>
          <w:bCs/>
        </w:rPr>
        <w:t>ure</w:t>
      </w:r>
      <w:r>
        <w:rPr>
          <w:b/>
          <w:bCs/>
        </w:rPr>
        <w:t xml:space="preserve"> 2</w:t>
      </w:r>
      <w:r w:rsidR="005546C7">
        <w:t>.</w:t>
      </w:r>
      <w:r>
        <w:t xml:space="preserve"> LPS-induced ferroptosis and oxidative stress can be inhibited by </w:t>
      </w:r>
      <w:r w:rsidR="00A0671D">
        <w:t>d</w:t>
      </w:r>
      <w:r>
        <w:t>apagliflozin.</w:t>
      </w:r>
    </w:p>
    <w:p w14:paraId="49CFCEEC" w14:textId="5BC4FE1C" w:rsidR="004243FB" w:rsidRDefault="004243FB" w:rsidP="005546C7">
      <w:pPr>
        <w:ind w:firstLineChars="0" w:firstLine="0"/>
      </w:pPr>
      <w:r w:rsidRPr="000C575B">
        <w:rPr>
          <w:b/>
          <w:bCs/>
        </w:rPr>
        <w:t>A</w:t>
      </w:r>
      <w:r>
        <w:t xml:space="preserve"> The levels of MDA and SOD in serum following injection of LPS (10mg/kg) with or without </w:t>
      </w:r>
      <w:r w:rsidR="005546C7">
        <w:t>d</w:t>
      </w:r>
      <w:r>
        <w:t xml:space="preserve">apagliflozin. </w:t>
      </w:r>
      <w:r w:rsidRPr="000C575B">
        <w:rPr>
          <w:b/>
          <w:bCs/>
        </w:rPr>
        <w:t>B</w:t>
      </w:r>
      <w:r>
        <w:rPr>
          <w:color w:val="707070"/>
        </w:rPr>
        <w:t xml:space="preserve"> </w:t>
      </w:r>
      <w:r>
        <w:t>Representative fluorescence images of SLC7A11,</w:t>
      </w:r>
      <w:r w:rsidR="005546C7">
        <w:t xml:space="preserve"> </w:t>
      </w:r>
      <w:r>
        <w:t>GPX4 and FTH1</w:t>
      </w:r>
      <w:r w:rsidR="000C575B">
        <w:t>(</w:t>
      </w:r>
      <w:r w:rsidR="000C575B" w:rsidRPr="00F12F37">
        <w:t>scale bar</w:t>
      </w:r>
      <w:r w:rsidR="000C575B">
        <w:t xml:space="preserve">, </w:t>
      </w:r>
      <w:r w:rsidR="000C575B" w:rsidRPr="00F12F37">
        <w:t>20 μM</w:t>
      </w:r>
      <w:r w:rsidR="000C575B">
        <w:t>)</w:t>
      </w:r>
      <w:r w:rsidR="005546C7">
        <w:t xml:space="preserve">. </w:t>
      </w:r>
      <w:r w:rsidR="005546C7" w:rsidRPr="000C575B">
        <w:rPr>
          <w:b/>
          <w:bCs/>
        </w:rPr>
        <w:t>C</w:t>
      </w:r>
      <w:r w:rsidR="000C575B">
        <w:t xml:space="preserve"> </w:t>
      </w:r>
      <w:r w:rsidR="005546C7">
        <w:t>Q</w:t>
      </w:r>
      <w:r>
        <w:t>uantification of fluorescence intensity relative to the control group</w:t>
      </w:r>
      <w:r w:rsidR="005546C7">
        <w:t xml:space="preserve"> in </w:t>
      </w:r>
      <w:proofErr w:type="gramStart"/>
      <w:r w:rsidR="005546C7">
        <w:t>B</w:t>
      </w:r>
      <w:r>
        <w:t>(</w:t>
      </w:r>
      <w:proofErr w:type="gramEnd"/>
      <w:r w:rsidR="009A7488" w:rsidRPr="00323CC0">
        <w:rPr>
          <w:i/>
          <w:iCs/>
        </w:rPr>
        <w:t>n</w:t>
      </w:r>
      <w:r w:rsidR="009A7488">
        <w:t xml:space="preserve"> </w:t>
      </w:r>
      <w:r>
        <w:t>=</w:t>
      </w:r>
      <w:r w:rsidR="005546C7">
        <w:t>4</w:t>
      </w:r>
      <w:r w:rsidR="000C575B">
        <w:t xml:space="preserve"> </w:t>
      </w:r>
      <w:r w:rsidR="000C575B" w:rsidRPr="00F12F37">
        <w:t>per group</w:t>
      </w:r>
      <w:r>
        <w:t xml:space="preserve">). Error bars represent mean ± s.e.m. </w:t>
      </w:r>
      <w:r>
        <w:rPr>
          <w:color w:val="222222"/>
        </w:rPr>
        <w:t>n</w:t>
      </w:r>
      <w:r>
        <w:t xml:space="preserve"> numbers </w:t>
      </w:r>
      <w:r>
        <w:lastRenderedPageBreak/>
        <w:t>refer to individual mice</w:t>
      </w:r>
      <w:r>
        <w:rPr>
          <w:color w:val="222222"/>
        </w:rPr>
        <w:t>.</w:t>
      </w:r>
      <w:r>
        <w:t xml:space="preserve"> One-way ANOVA was used for statistical analysis in B-G. **P &lt; 0.01; ***P &lt; 0.001; ****P &lt; 0.0001.</w:t>
      </w:r>
      <w:r w:rsidR="005546C7">
        <w:t xml:space="preserve"> </w:t>
      </w:r>
      <w:r>
        <w:t>Con:</w:t>
      </w:r>
      <w:r w:rsidR="005546C7">
        <w:t xml:space="preserve"> </w:t>
      </w:r>
      <w:r>
        <w:t>control.</w:t>
      </w:r>
      <w:r w:rsidR="005546C7">
        <w:t xml:space="preserve"> </w:t>
      </w:r>
      <w:r>
        <w:t xml:space="preserve">Dapa: </w:t>
      </w:r>
      <w:r w:rsidR="005546C7">
        <w:t>d</w:t>
      </w:r>
      <w:r>
        <w:t>apagliflozin.</w:t>
      </w:r>
    </w:p>
    <w:p w14:paraId="2EEFB71D" w14:textId="77777777" w:rsidR="00DC0B62" w:rsidRPr="004243FB" w:rsidRDefault="00DC0B62"/>
    <w:sectPr w:rsidR="00DC0B62" w:rsidRPr="004243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5B536" w14:textId="77777777" w:rsidR="0059337A" w:rsidRDefault="0059337A" w:rsidP="000C575B">
      <w:pPr>
        <w:spacing w:before="120" w:line="240" w:lineRule="auto"/>
      </w:pPr>
      <w:r>
        <w:separator/>
      </w:r>
    </w:p>
  </w:endnote>
  <w:endnote w:type="continuationSeparator" w:id="0">
    <w:p w14:paraId="636F85EF" w14:textId="77777777" w:rsidR="0059337A" w:rsidRDefault="0059337A" w:rsidP="000C575B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2E905" w14:textId="77777777" w:rsidR="000C575B" w:rsidRDefault="000C575B">
    <w:pPr>
      <w:pStyle w:val="a6"/>
      <w:spacing w:before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1DEF1" w14:textId="77777777" w:rsidR="000C575B" w:rsidRDefault="000C575B">
    <w:pPr>
      <w:pStyle w:val="a6"/>
      <w:spacing w:before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7A738" w14:textId="77777777" w:rsidR="000C575B" w:rsidRDefault="000C575B">
    <w:pPr>
      <w:pStyle w:val="a6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3A9CC" w14:textId="77777777" w:rsidR="0059337A" w:rsidRDefault="0059337A" w:rsidP="000C575B">
      <w:pPr>
        <w:spacing w:before="120" w:line="240" w:lineRule="auto"/>
      </w:pPr>
      <w:r>
        <w:separator/>
      </w:r>
    </w:p>
  </w:footnote>
  <w:footnote w:type="continuationSeparator" w:id="0">
    <w:p w14:paraId="6FD6E9D6" w14:textId="77777777" w:rsidR="0059337A" w:rsidRDefault="0059337A" w:rsidP="000C575B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0E096" w14:textId="77777777" w:rsidR="000C575B" w:rsidRDefault="000C575B">
    <w:pPr>
      <w:pStyle w:val="a4"/>
      <w:spacing w:before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1AAF1" w14:textId="77777777" w:rsidR="000C575B" w:rsidRDefault="000C575B">
    <w:pPr>
      <w:pStyle w:val="a4"/>
      <w:spacing w:before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F3017" w14:textId="77777777" w:rsidR="000C575B" w:rsidRDefault="000C575B">
    <w:pPr>
      <w:pStyle w:val="a4"/>
      <w:spacing w:before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3FB"/>
    <w:rsid w:val="000C575B"/>
    <w:rsid w:val="00150A27"/>
    <w:rsid w:val="003B7608"/>
    <w:rsid w:val="004051B9"/>
    <w:rsid w:val="004243FB"/>
    <w:rsid w:val="005546C7"/>
    <w:rsid w:val="0059337A"/>
    <w:rsid w:val="009A7488"/>
    <w:rsid w:val="00A0671D"/>
    <w:rsid w:val="00D44FED"/>
    <w:rsid w:val="00D75988"/>
    <w:rsid w:val="00DC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62CB9"/>
  <w15:chartTrackingRefBased/>
  <w15:docId w15:val="{43FD23F9-9DA1-4B00-802E-5BEE4F68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243FB"/>
    <w:pPr>
      <w:spacing w:beforeLines="50" w:before="156" w:line="480" w:lineRule="auto"/>
      <w:ind w:firstLineChars="200" w:firstLine="480"/>
    </w:pPr>
    <w:rPr>
      <w:rFonts w:ascii="Times New Roman" w:hAnsi="Times New Roman" w:cs="Times New Roman"/>
      <w:color w:val="24292F"/>
      <w:sz w:val="24"/>
      <w:szCs w:val="2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autoRedefine/>
    <w:uiPriority w:val="34"/>
    <w:qFormat/>
    <w:rsid w:val="004243FB"/>
    <w:pPr>
      <w:ind w:left="360" w:firstLineChars="0" w:firstLine="0"/>
      <w:contextualSpacing/>
    </w:pPr>
  </w:style>
  <w:style w:type="paragraph" w:customStyle="1" w:styleId="EndNoteBibliography">
    <w:name w:val="EndNote Bibliography"/>
    <w:basedOn w:val="a"/>
    <w:link w:val="EndNoteBibliography0"/>
    <w:autoRedefine/>
    <w:qFormat/>
    <w:rsid w:val="004243FB"/>
  </w:style>
  <w:style w:type="character" w:customStyle="1" w:styleId="EndNoteBibliography0">
    <w:name w:val="EndNote Bibliography 字符"/>
    <w:basedOn w:val="a0"/>
    <w:link w:val="EndNoteBibliography"/>
    <w:autoRedefine/>
    <w:qFormat/>
    <w:rsid w:val="004243FB"/>
    <w:rPr>
      <w:rFonts w:ascii="Times New Roman" w:hAnsi="Times New Roman" w:cs="Times New Roman"/>
      <w:color w:val="24292F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C575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575B"/>
    <w:rPr>
      <w:rFonts w:ascii="Times New Roman" w:hAnsi="Times New Roman" w:cs="Times New Roman"/>
      <w:color w:val="24292F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575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575B"/>
    <w:rPr>
      <w:rFonts w:ascii="Times New Roman" w:hAnsi="Times New Roman" w:cs="Times New Roman"/>
      <w:color w:val="24292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hukehuichengong@163.com</dc:creator>
  <cp:keywords/>
  <dc:description/>
  <cp:lastModifiedBy>hukehuichengong@163.com</cp:lastModifiedBy>
  <cp:revision>8</cp:revision>
  <dcterms:created xsi:type="dcterms:W3CDTF">2024-02-05T16:05:00Z</dcterms:created>
  <dcterms:modified xsi:type="dcterms:W3CDTF">2024-02-15T03:30:00Z</dcterms:modified>
</cp:coreProperties>
</file>