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Videos caption: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a 49-year-old woman with metastatic squamous carcinoma from cervical cancer presents with a 16mm Lymph node located left paraaortic region above the </w:t>
      </w:r>
      <w:r>
        <w:rPr>
          <w:rFonts w:hint="default"/>
          <w:lang w:val="en-US" w:eastAsia="zh-CN"/>
        </w:rPr>
        <w:t>inferior mesenteric artery</w:t>
      </w:r>
      <w:r>
        <w:rPr>
          <w:rFonts w:hint="eastAsia"/>
          <w:lang w:val="en-US" w:eastAsia="zh-CN"/>
        </w:rPr>
        <w:t>(</w:t>
      </w:r>
      <w:r>
        <w:rPr>
          <w:rFonts w:hint="eastAsia"/>
          <w:color w:val="0000FF"/>
          <w:lang w:val="en-US" w:eastAsia="zh-CN"/>
        </w:rPr>
        <w:t>Ⅰ</w:t>
      </w:r>
      <w:r>
        <w:rPr>
          <w:rFonts w:hint="eastAsia"/>
          <w:lang w:val="en-US" w:eastAsia="zh-CN"/>
        </w:rPr>
        <w:t xml:space="preserve">).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Movie 1 manifested that the needle tip was displayed in real time throughout the procedure and the needle tip always remains within the lesion during sampling.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Movie 2 showed that when the needle tip was not clearly visualized, shaking the puncture needle was beneficial to the display of the needle tip. </w:t>
      </w: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376479"/>
    <w:rsid w:val="494F60C2"/>
    <w:rsid w:val="49612D26"/>
    <w:rsid w:val="537C2125"/>
    <w:rsid w:val="538B61B7"/>
    <w:rsid w:val="78FA3634"/>
    <w:rsid w:val="7BC908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liu</dc:creator>
  <cp:lastModifiedBy>liu</cp:lastModifiedBy>
  <dcterms:modified xsi:type="dcterms:W3CDTF">2021-04-05T14:46:42Z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