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298A" w14:textId="13CA8E11" w:rsidR="00FC0502" w:rsidRDefault="00FC05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Online Methods</w:t>
      </w:r>
    </w:p>
    <w:p w14:paraId="394280D7" w14:textId="77777777" w:rsidR="00FC0502" w:rsidRDefault="00FC05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CC7337" w14:textId="1617A211" w:rsidR="007D2D8A" w:rsidRPr="00AE401D" w:rsidRDefault="00AE40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401D">
        <w:rPr>
          <w:rFonts w:ascii="Times New Roman" w:hAnsi="Times New Roman" w:cs="Times New Roman"/>
          <w:b/>
          <w:bCs/>
          <w:sz w:val="24"/>
          <w:szCs w:val="24"/>
        </w:rPr>
        <w:t>Meta-analysis</w:t>
      </w:r>
    </w:p>
    <w:p w14:paraId="600D8D1F" w14:textId="3A21F197" w:rsidR="00DB4D14" w:rsidRDefault="00811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</w:t>
      </w:r>
      <w:r w:rsidR="00D12436">
        <w:rPr>
          <w:rFonts w:ascii="Times New Roman" w:hAnsi="Times New Roman" w:cs="Times New Roman"/>
          <w:sz w:val="24"/>
          <w:szCs w:val="24"/>
        </w:rPr>
        <w:t xml:space="preserve">SUD </w:t>
      </w:r>
      <w:r>
        <w:rPr>
          <w:rFonts w:ascii="Times New Roman" w:hAnsi="Times New Roman" w:cs="Times New Roman"/>
          <w:sz w:val="24"/>
          <w:szCs w:val="24"/>
        </w:rPr>
        <w:t xml:space="preserve">GWAS, we first removed all </w:t>
      </w:r>
      <w:r w:rsidR="00E02D3B">
        <w:rPr>
          <w:rFonts w:ascii="Times New Roman" w:hAnsi="Times New Roman" w:cs="Times New Roman"/>
          <w:sz w:val="24"/>
          <w:szCs w:val="24"/>
        </w:rPr>
        <w:t>palindromic</w:t>
      </w:r>
      <w:r w:rsidR="004D7BD0">
        <w:rPr>
          <w:rFonts w:ascii="Times New Roman" w:hAnsi="Times New Roman" w:cs="Times New Roman"/>
          <w:sz w:val="24"/>
          <w:szCs w:val="24"/>
        </w:rPr>
        <w:t xml:space="preserve"> variants (</w:t>
      </w:r>
      <w:r w:rsidR="00E02D3B">
        <w:rPr>
          <w:rFonts w:ascii="Times New Roman" w:hAnsi="Times New Roman" w:cs="Times New Roman"/>
          <w:sz w:val="24"/>
          <w:szCs w:val="24"/>
        </w:rPr>
        <w:t xml:space="preserve">e.g., </w:t>
      </w:r>
      <w:r>
        <w:rPr>
          <w:rFonts w:ascii="Times New Roman" w:hAnsi="Times New Roman" w:cs="Times New Roman"/>
          <w:sz w:val="24"/>
          <w:szCs w:val="24"/>
        </w:rPr>
        <w:t>A/T or C/G variants</w:t>
      </w:r>
      <w:r w:rsidR="0055576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due to strand ambiguity. We then </w:t>
      </w:r>
      <w:r w:rsidR="00D12436">
        <w:rPr>
          <w:rFonts w:ascii="Times New Roman" w:hAnsi="Times New Roman" w:cs="Times New Roman"/>
          <w:sz w:val="24"/>
          <w:szCs w:val="24"/>
        </w:rPr>
        <w:t>retained</w:t>
      </w:r>
      <w:r>
        <w:rPr>
          <w:rFonts w:ascii="Times New Roman" w:hAnsi="Times New Roman" w:cs="Times New Roman"/>
          <w:sz w:val="24"/>
          <w:szCs w:val="24"/>
        </w:rPr>
        <w:t xml:space="preserve"> variants with the same rs names, reference alleles, </w:t>
      </w:r>
      <w:r w:rsidR="00905AE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alternative alleles as those in </w:t>
      </w:r>
      <w:r w:rsidR="00D1243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1000 Genomes Project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 There were two GWAS of EA and AA OUD</w:t>
      </w:r>
      <w:r w:rsidR="008F21F0" w:rsidRPr="008F21F0">
        <w:rPr>
          <w:rFonts w:ascii="Times New Roman" w:hAnsi="Times New Roman" w:cs="Times New Roman"/>
          <w:noProof/>
          <w:sz w:val="24"/>
          <w:szCs w:val="24"/>
          <w:vertAlign w:val="superscript"/>
        </w:rPr>
        <w:t>2,3</w:t>
      </w:r>
      <w:r>
        <w:rPr>
          <w:rFonts w:ascii="Times New Roman" w:hAnsi="Times New Roman" w:cs="Times New Roman"/>
          <w:sz w:val="24"/>
          <w:szCs w:val="24"/>
        </w:rPr>
        <w:t>, EA NUD</w:t>
      </w:r>
      <w:r w:rsidR="008F21F0" w:rsidRPr="008F21F0">
        <w:rPr>
          <w:rFonts w:ascii="Times New Roman" w:hAnsi="Times New Roman" w:cs="Times New Roman"/>
          <w:noProof/>
          <w:sz w:val="24"/>
          <w:szCs w:val="24"/>
          <w:vertAlign w:val="superscript"/>
        </w:rPr>
        <w:t>4,5</w:t>
      </w:r>
      <w:r>
        <w:rPr>
          <w:rFonts w:ascii="Times New Roman" w:hAnsi="Times New Roman" w:cs="Times New Roman"/>
          <w:sz w:val="24"/>
          <w:szCs w:val="24"/>
        </w:rPr>
        <w:t>, AA AUD</w:t>
      </w:r>
      <w:r w:rsidR="008F21F0" w:rsidRPr="008F21F0">
        <w:rPr>
          <w:rFonts w:ascii="Times New Roman" w:hAnsi="Times New Roman" w:cs="Times New Roman"/>
          <w:noProof/>
          <w:sz w:val="24"/>
          <w:szCs w:val="24"/>
          <w:vertAlign w:val="superscript"/>
        </w:rPr>
        <w:t>6,7</w:t>
      </w:r>
      <w:r>
        <w:rPr>
          <w:rFonts w:ascii="Times New Roman" w:hAnsi="Times New Roman" w:cs="Times New Roman"/>
          <w:sz w:val="24"/>
          <w:szCs w:val="24"/>
        </w:rPr>
        <w:t xml:space="preserve">; therefore, they were meta-analyzed first to get one GWAS for each SUD in each ancestry population. </w:t>
      </w:r>
      <w:r w:rsidR="00AE401D">
        <w:rPr>
          <w:rFonts w:ascii="Times New Roman" w:hAnsi="Times New Roman" w:cs="Times New Roman"/>
          <w:sz w:val="24"/>
          <w:szCs w:val="24"/>
        </w:rPr>
        <w:t>All meta-analyses were performed using Metal</w:t>
      </w:r>
      <w:r w:rsidR="008F21F0" w:rsidRPr="008F21F0">
        <w:rPr>
          <w:rFonts w:ascii="Times New Roman" w:hAnsi="Times New Roman" w:cs="Times New Roman"/>
          <w:noProof/>
          <w:sz w:val="24"/>
          <w:szCs w:val="24"/>
          <w:vertAlign w:val="superscript"/>
        </w:rPr>
        <w:t>8</w:t>
      </w:r>
      <w:r w:rsidR="00AE401D">
        <w:rPr>
          <w:rFonts w:ascii="Times New Roman" w:hAnsi="Times New Roman" w:cs="Times New Roman"/>
          <w:sz w:val="24"/>
          <w:szCs w:val="24"/>
        </w:rPr>
        <w:t xml:space="preserve"> weighted by sample sizes. For each </w:t>
      </w:r>
      <w:r w:rsidR="008F21F0">
        <w:rPr>
          <w:rFonts w:ascii="Times New Roman" w:hAnsi="Times New Roman" w:cs="Times New Roman"/>
          <w:sz w:val="24"/>
          <w:szCs w:val="24"/>
        </w:rPr>
        <w:t>cross-SUDs and cross-</w:t>
      </w:r>
      <w:r w:rsidR="00AE2446">
        <w:rPr>
          <w:rFonts w:ascii="Times New Roman" w:hAnsi="Times New Roman" w:cs="Times New Roman"/>
          <w:sz w:val="24"/>
          <w:szCs w:val="24"/>
        </w:rPr>
        <w:t>ancestry</w:t>
      </w:r>
      <w:r w:rsidR="008F21F0">
        <w:rPr>
          <w:rFonts w:ascii="Times New Roman" w:hAnsi="Times New Roman" w:cs="Times New Roman"/>
          <w:sz w:val="24"/>
          <w:szCs w:val="24"/>
        </w:rPr>
        <w:t xml:space="preserve"> </w:t>
      </w:r>
      <w:r w:rsidR="00AE401D">
        <w:rPr>
          <w:rFonts w:ascii="Times New Roman" w:hAnsi="Times New Roman" w:cs="Times New Roman"/>
          <w:sz w:val="24"/>
          <w:szCs w:val="24"/>
        </w:rPr>
        <w:t>meta-analysis, we only retained variants with the same directions of effects. Meta-analysis results were uploaded to FUMA (Functional mapping and annotation of genetic associations)</w:t>
      </w:r>
      <w:r w:rsidR="008F21F0" w:rsidRPr="008F21F0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57671A">
        <w:rPr>
          <w:rFonts w:ascii="Times New Roman" w:hAnsi="Times New Roman" w:cs="Times New Roman"/>
          <w:sz w:val="24"/>
          <w:szCs w:val="24"/>
        </w:rPr>
        <w:t xml:space="preserve"> </w:t>
      </w:r>
      <w:r w:rsidR="00D12436">
        <w:rPr>
          <w:rFonts w:ascii="Times New Roman" w:hAnsi="Times New Roman" w:cs="Times New Roman"/>
          <w:sz w:val="24"/>
          <w:szCs w:val="24"/>
        </w:rPr>
        <w:t xml:space="preserve">to </w:t>
      </w:r>
      <w:r w:rsidR="0057671A">
        <w:rPr>
          <w:rFonts w:ascii="Times New Roman" w:hAnsi="Times New Roman" w:cs="Times New Roman"/>
          <w:sz w:val="24"/>
          <w:szCs w:val="24"/>
        </w:rPr>
        <w:t>identify independent lead variants and significant loci</w:t>
      </w:r>
      <w:r>
        <w:rPr>
          <w:rFonts w:ascii="Times New Roman" w:hAnsi="Times New Roman" w:cs="Times New Roman"/>
          <w:sz w:val="24"/>
          <w:szCs w:val="24"/>
        </w:rPr>
        <w:t xml:space="preserve">. European, African, and American mixed samples from </w:t>
      </w:r>
      <w:r w:rsidR="00D1243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1000 Genomes project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were used to determine linkage </w:t>
      </w:r>
      <w:r w:rsidR="00C95093">
        <w:rPr>
          <w:rFonts w:ascii="Times New Roman" w:hAnsi="Times New Roman" w:cs="Times New Roman"/>
          <w:sz w:val="24"/>
          <w:szCs w:val="24"/>
        </w:rPr>
        <w:t>disequilibrium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093">
        <w:rPr>
          <w:rFonts w:ascii="Times New Roman" w:hAnsi="Times New Roman" w:cs="Times New Roman"/>
          <w:sz w:val="24"/>
          <w:szCs w:val="24"/>
        </w:rPr>
        <w:t xml:space="preserve">(LD) </w:t>
      </w:r>
      <w:r>
        <w:rPr>
          <w:rFonts w:ascii="Times New Roman" w:hAnsi="Times New Roman" w:cs="Times New Roman"/>
          <w:sz w:val="24"/>
          <w:szCs w:val="24"/>
        </w:rPr>
        <w:t xml:space="preserve">for EA, AA, and LA samples, respectively. </w:t>
      </w:r>
      <w:r w:rsidR="00C95093">
        <w:rPr>
          <w:rFonts w:ascii="Times New Roman" w:hAnsi="Times New Roman" w:cs="Times New Roman"/>
          <w:sz w:val="24"/>
          <w:szCs w:val="24"/>
        </w:rPr>
        <w:t>FUMA</w:t>
      </w:r>
      <w:r w:rsidR="00D91656" w:rsidRPr="00D91656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C95093">
        <w:rPr>
          <w:rFonts w:ascii="Times New Roman" w:hAnsi="Times New Roman" w:cs="Times New Roman"/>
          <w:sz w:val="24"/>
          <w:szCs w:val="24"/>
        </w:rPr>
        <w:t xml:space="preserve"> was also used to </w:t>
      </w:r>
      <w:r w:rsidR="0057671A">
        <w:rPr>
          <w:rFonts w:ascii="Times New Roman" w:hAnsi="Times New Roman" w:cs="Times New Roman"/>
          <w:sz w:val="24"/>
          <w:szCs w:val="24"/>
        </w:rPr>
        <w:t>make Manhattan and LocusZoom plots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5093">
        <w:rPr>
          <w:rFonts w:ascii="Times New Roman" w:hAnsi="Times New Roman" w:cs="Times New Roman"/>
          <w:sz w:val="24"/>
          <w:szCs w:val="24"/>
        </w:rPr>
        <w:t xml:space="preserve"> </w:t>
      </w:r>
      <w:r w:rsidR="00CF045E">
        <w:rPr>
          <w:rFonts w:ascii="Times New Roman" w:hAnsi="Times New Roman" w:cs="Times New Roman"/>
          <w:sz w:val="24"/>
          <w:szCs w:val="24"/>
        </w:rPr>
        <w:t>A</w:t>
      </w:r>
      <w:r w:rsidR="0057671A">
        <w:rPr>
          <w:rFonts w:ascii="Times New Roman" w:hAnsi="Times New Roman" w:cs="Times New Roman"/>
          <w:sz w:val="24"/>
          <w:szCs w:val="24"/>
        </w:rPr>
        <w:t>llele frequencies of each variants</w:t>
      </w:r>
      <w:r w:rsidR="00C95093">
        <w:rPr>
          <w:rFonts w:ascii="Times New Roman" w:hAnsi="Times New Roman" w:cs="Times New Roman"/>
          <w:sz w:val="24"/>
          <w:szCs w:val="24"/>
        </w:rPr>
        <w:t xml:space="preserve"> </w:t>
      </w:r>
      <w:r w:rsidR="0057671A">
        <w:rPr>
          <w:rFonts w:ascii="Times New Roman" w:hAnsi="Times New Roman" w:cs="Times New Roman"/>
          <w:sz w:val="24"/>
          <w:szCs w:val="24"/>
        </w:rPr>
        <w:t xml:space="preserve">were obtained from </w:t>
      </w:r>
      <w:r w:rsidR="00D12436">
        <w:rPr>
          <w:rFonts w:ascii="Times New Roman" w:hAnsi="Times New Roman" w:cs="Times New Roman"/>
          <w:sz w:val="24"/>
          <w:szCs w:val="24"/>
        </w:rPr>
        <w:t xml:space="preserve">the </w:t>
      </w:r>
      <w:r w:rsidR="0057671A">
        <w:rPr>
          <w:rFonts w:ascii="Times New Roman" w:hAnsi="Times New Roman" w:cs="Times New Roman"/>
          <w:sz w:val="24"/>
          <w:szCs w:val="24"/>
        </w:rPr>
        <w:t>1000 Genomes Projects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8A0BEB">
        <w:rPr>
          <w:rFonts w:ascii="Times New Roman" w:hAnsi="Times New Roman" w:cs="Times New Roman"/>
          <w:sz w:val="24"/>
          <w:szCs w:val="24"/>
        </w:rPr>
        <w:t xml:space="preserve"> by using ANNOVAR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10</w:t>
      </w:r>
      <w:r w:rsidR="00DB4D14">
        <w:rPr>
          <w:rFonts w:ascii="Times New Roman" w:hAnsi="Times New Roman" w:cs="Times New Roman"/>
          <w:sz w:val="24"/>
          <w:szCs w:val="24"/>
        </w:rPr>
        <w:t>.</w:t>
      </w:r>
    </w:p>
    <w:p w14:paraId="2A4FD49B" w14:textId="140903D6" w:rsidR="00DB4D14" w:rsidRPr="003336AE" w:rsidRDefault="003336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36AE">
        <w:rPr>
          <w:rFonts w:ascii="Times New Roman" w:hAnsi="Times New Roman" w:cs="Times New Roman"/>
          <w:b/>
          <w:bCs/>
          <w:sz w:val="24"/>
          <w:szCs w:val="24"/>
        </w:rPr>
        <w:t>Gene-based analysis</w:t>
      </w:r>
    </w:p>
    <w:p w14:paraId="38E4DE51" w14:textId="783E68A4" w:rsidR="003336AE" w:rsidRDefault="00333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MAGMA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was used to perform gene-based analyses. </w:t>
      </w:r>
      <w:r w:rsidR="006D1D4F">
        <w:rPr>
          <w:rFonts w:ascii="Times New Roman" w:hAnsi="Times New Roman" w:cs="Times New Roman"/>
          <w:sz w:val="24"/>
          <w:szCs w:val="24"/>
        </w:rPr>
        <w:t xml:space="preserve">Only genes </w:t>
      </w:r>
      <w:r w:rsidR="002011A8">
        <w:rPr>
          <w:rFonts w:ascii="Times New Roman" w:hAnsi="Times New Roman" w:cs="Times New Roman"/>
          <w:sz w:val="24"/>
          <w:szCs w:val="24"/>
        </w:rPr>
        <w:t xml:space="preserve">(N=33,761) </w:t>
      </w:r>
      <w:r w:rsidR="006D1D4F">
        <w:rPr>
          <w:rFonts w:ascii="Times New Roman" w:hAnsi="Times New Roman" w:cs="Times New Roman"/>
          <w:sz w:val="24"/>
          <w:szCs w:val="24"/>
        </w:rPr>
        <w:t>having median t</w:t>
      </w:r>
      <w:r w:rsidR="006D1D4F" w:rsidRPr="00836410">
        <w:rPr>
          <w:rFonts w:ascii="Times New Roman" w:hAnsi="Times New Roman" w:cs="Times New Roman"/>
          <w:sz w:val="24"/>
          <w:szCs w:val="24"/>
        </w:rPr>
        <w:t xml:space="preserve">ranscripts </w:t>
      </w:r>
      <w:r w:rsidR="006D1D4F">
        <w:rPr>
          <w:rFonts w:ascii="Times New Roman" w:hAnsi="Times New Roman" w:cs="Times New Roman"/>
          <w:sz w:val="24"/>
          <w:szCs w:val="24"/>
        </w:rPr>
        <w:t>p</w:t>
      </w:r>
      <w:r w:rsidR="006D1D4F" w:rsidRPr="00836410">
        <w:rPr>
          <w:rFonts w:ascii="Times New Roman" w:hAnsi="Times New Roman" w:cs="Times New Roman"/>
          <w:sz w:val="24"/>
          <w:szCs w:val="24"/>
        </w:rPr>
        <w:t xml:space="preserve">er </w:t>
      </w:r>
      <w:r w:rsidR="006D1D4F">
        <w:rPr>
          <w:rFonts w:ascii="Times New Roman" w:hAnsi="Times New Roman" w:cs="Times New Roman"/>
          <w:sz w:val="24"/>
          <w:szCs w:val="24"/>
        </w:rPr>
        <w:t>k</w:t>
      </w:r>
      <w:r w:rsidR="006D1D4F" w:rsidRPr="00836410">
        <w:rPr>
          <w:rFonts w:ascii="Times New Roman" w:hAnsi="Times New Roman" w:cs="Times New Roman"/>
          <w:sz w:val="24"/>
          <w:szCs w:val="24"/>
        </w:rPr>
        <w:t xml:space="preserve">ilobase </w:t>
      </w:r>
      <w:r w:rsidR="006D1D4F">
        <w:rPr>
          <w:rFonts w:ascii="Times New Roman" w:hAnsi="Times New Roman" w:cs="Times New Roman"/>
          <w:sz w:val="24"/>
          <w:szCs w:val="24"/>
        </w:rPr>
        <w:t>m</w:t>
      </w:r>
      <w:r w:rsidR="006D1D4F" w:rsidRPr="00836410">
        <w:rPr>
          <w:rFonts w:ascii="Times New Roman" w:hAnsi="Times New Roman" w:cs="Times New Roman"/>
          <w:sz w:val="24"/>
          <w:szCs w:val="24"/>
        </w:rPr>
        <w:t>illion</w:t>
      </w:r>
      <w:r w:rsidR="006D1D4F">
        <w:rPr>
          <w:rFonts w:ascii="Times New Roman" w:hAnsi="Times New Roman" w:cs="Times New Roman"/>
          <w:sz w:val="24"/>
          <w:szCs w:val="24"/>
        </w:rPr>
        <w:t xml:space="preserve"> (TPM) &gt;0 in at least one of 13 brain tissues from GTEx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12</w:t>
      </w:r>
      <w:r w:rsidR="006D1D4F">
        <w:rPr>
          <w:rFonts w:ascii="Times New Roman" w:hAnsi="Times New Roman" w:cs="Times New Roman"/>
          <w:sz w:val="24"/>
          <w:szCs w:val="24"/>
        </w:rPr>
        <w:t xml:space="preserve"> were included in gene-based analyses. </w:t>
      </w:r>
      <w:r w:rsidR="00836410">
        <w:rPr>
          <w:rFonts w:ascii="Times New Roman" w:hAnsi="Times New Roman" w:cs="Times New Roman"/>
          <w:sz w:val="24"/>
          <w:szCs w:val="24"/>
        </w:rPr>
        <w:t>Within each ancestry</w:t>
      </w:r>
      <w:r w:rsidR="0046074B">
        <w:rPr>
          <w:rFonts w:ascii="Times New Roman" w:hAnsi="Times New Roman" w:cs="Times New Roman"/>
          <w:sz w:val="24"/>
          <w:szCs w:val="24"/>
        </w:rPr>
        <w:t xml:space="preserve"> </w:t>
      </w:r>
      <w:r w:rsidR="0054338E">
        <w:rPr>
          <w:rFonts w:ascii="Times New Roman" w:hAnsi="Times New Roman" w:cs="Times New Roman"/>
          <w:sz w:val="24"/>
          <w:szCs w:val="24"/>
        </w:rPr>
        <w:t>population</w:t>
      </w:r>
      <w:r w:rsidR="00836410">
        <w:rPr>
          <w:rFonts w:ascii="Times New Roman" w:hAnsi="Times New Roman" w:cs="Times New Roman"/>
          <w:sz w:val="24"/>
          <w:szCs w:val="24"/>
        </w:rPr>
        <w:t>, w</w:t>
      </w:r>
      <w:r>
        <w:rPr>
          <w:rFonts w:ascii="Times New Roman" w:hAnsi="Times New Roman" w:cs="Times New Roman"/>
          <w:sz w:val="24"/>
          <w:szCs w:val="24"/>
        </w:rPr>
        <w:t xml:space="preserve">e used </w:t>
      </w:r>
      <w:r w:rsidR="0083641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top χ</w:t>
      </w:r>
      <w:r w:rsidRPr="00FA5C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statistic </w:t>
      </w:r>
      <w:r w:rsidR="00D91656">
        <w:rPr>
          <w:rFonts w:ascii="Times New Roman" w:hAnsi="Times New Roman" w:cs="Times New Roman"/>
          <w:sz w:val="24"/>
          <w:szCs w:val="24"/>
        </w:rPr>
        <w:t>option in MAGMA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11</w:t>
      </w:r>
      <w:r w:rsidR="00D91656">
        <w:rPr>
          <w:rFonts w:ascii="Times New Roman" w:hAnsi="Times New Roman" w:cs="Times New Roman"/>
          <w:sz w:val="24"/>
          <w:szCs w:val="24"/>
        </w:rPr>
        <w:t xml:space="preserve"> </w:t>
      </w:r>
      <w:r w:rsidR="006D1D4F">
        <w:rPr>
          <w:rFonts w:ascii="Times New Roman" w:hAnsi="Times New Roman" w:cs="Times New Roman"/>
          <w:sz w:val="24"/>
          <w:szCs w:val="24"/>
        </w:rPr>
        <w:t xml:space="preserve">to perform </w:t>
      </w:r>
      <w:r w:rsidR="0054338E">
        <w:rPr>
          <w:rFonts w:ascii="Times New Roman" w:hAnsi="Times New Roman" w:cs="Times New Roman"/>
          <w:sz w:val="24"/>
          <w:szCs w:val="24"/>
        </w:rPr>
        <w:t xml:space="preserve">the </w:t>
      </w:r>
      <w:r w:rsidR="006D1D4F">
        <w:rPr>
          <w:rFonts w:ascii="Times New Roman" w:hAnsi="Times New Roman" w:cs="Times New Roman"/>
          <w:sz w:val="24"/>
          <w:szCs w:val="24"/>
        </w:rPr>
        <w:t>gene-based analysis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2436">
        <w:rPr>
          <w:rFonts w:ascii="Times New Roman" w:hAnsi="Times New Roman" w:cs="Times New Roman"/>
          <w:sz w:val="24"/>
          <w:szCs w:val="24"/>
        </w:rPr>
        <w:t xml:space="preserve"> C</w:t>
      </w:r>
      <w:r w:rsidR="00B7343D">
        <w:rPr>
          <w:rFonts w:ascii="Times New Roman" w:hAnsi="Times New Roman" w:cs="Times New Roman"/>
          <w:sz w:val="24"/>
          <w:szCs w:val="24"/>
        </w:rPr>
        <w:t xml:space="preserve">ross-ancestry </w:t>
      </w:r>
      <w:r w:rsidR="006D1D4F">
        <w:rPr>
          <w:rFonts w:ascii="Times New Roman" w:hAnsi="Times New Roman" w:cs="Times New Roman"/>
          <w:sz w:val="24"/>
          <w:szCs w:val="24"/>
        </w:rPr>
        <w:t xml:space="preserve">gene-based analyses were performed by using </w:t>
      </w:r>
      <w:r w:rsidR="00D12436">
        <w:rPr>
          <w:rFonts w:ascii="Times New Roman" w:hAnsi="Times New Roman" w:cs="Times New Roman"/>
          <w:sz w:val="24"/>
          <w:szCs w:val="24"/>
        </w:rPr>
        <w:t>the</w:t>
      </w:r>
      <w:r w:rsidR="00B7343D">
        <w:rPr>
          <w:rFonts w:ascii="Times New Roman" w:hAnsi="Times New Roman" w:cs="Times New Roman"/>
          <w:sz w:val="24"/>
          <w:szCs w:val="24"/>
        </w:rPr>
        <w:t xml:space="preserve"> meta-analysis </w:t>
      </w:r>
      <w:r w:rsidR="006D1D4F">
        <w:rPr>
          <w:rFonts w:ascii="Times New Roman" w:hAnsi="Times New Roman" w:cs="Times New Roman"/>
          <w:sz w:val="24"/>
          <w:szCs w:val="24"/>
        </w:rPr>
        <w:t>method in</w:t>
      </w:r>
      <w:r w:rsidR="00B7343D">
        <w:rPr>
          <w:rFonts w:ascii="Times New Roman" w:hAnsi="Times New Roman" w:cs="Times New Roman"/>
          <w:sz w:val="24"/>
          <w:szCs w:val="24"/>
        </w:rPr>
        <w:t xml:space="preserve"> MAGMA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11</w:t>
      </w:r>
      <w:r w:rsidR="006D1D4F">
        <w:rPr>
          <w:rFonts w:ascii="Times New Roman" w:hAnsi="Times New Roman" w:cs="Times New Roman"/>
          <w:sz w:val="24"/>
          <w:szCs w:val="24"/>
        </w:rPr>
        <w:t xml:space="preserve"> with </w:t>
      </w:r>
      <w:r w:rsidR="00B7343D">
        <w:rPr>
          <w:rFonts w:ascii="Times New Roman" w:hAnsi="Times New Roman" w:cs="Times New Roman"/>
          <w:sz w:val="24"/>
          <w:szCs w:val="24"/>
        </w:rPr>
        <w:t>gene-based analysis results</w:t>
      </w:r>
      <w:r w:rsidR="006D1D4F">
        <w:rPr>
          <w:rFonts w:ascii="Times New Roman" w:hAnsi="Times New Roman" w:cs="Times New Roman"/>
          <w:sz w:val="24"/>
          <w:szCs w:val="24"/>
        </w:rPr>
        <w:t xml:space="preserve"> from each ancestry </w:t>
      </w:r>
      <w:r w:rsidR="0054338E">
        <w:rPr>
          <w:rFonts w:ascii="Times New Roman" w:hAnsi="Times New Roman" w:cs="Times New Roman"/>
          <w:sz w:val="24"/>
          <w:szCs w:val="24"/>
        </w:rPr>
        <w:t xml:space="preserve">population </w:t>
      </w:r>
      <w:r w:rsidR="006D1D4F">
        <w:rPr>
          <w:rFonts w:ascii="Times New Roman" w:hAnsi="Times New Roman" w:cs="Times New Roman"/>
          <w:sz w:val="24"/>
          <w:szCs w:val="24"/>
        </w:rPr>
        <w:t>as the input files. F</w:t>
      </w:r>
      <w:r w:rsidR="00B7343D">
        <w:rPr>
          <w:rFonts w:ascii="Times New Roman" w:hAnsi="Times New Roman" w:cs="Times New Roman"/>
          <w:sz w:val="24"/>
          <w:szCs w:val="24"/>
        </w:rPr>
        <w:t xml:space="preserve">ixed effect meta-analysis weighted by sample sizes were </w:t>
      </w:r>
      <w:r w:rsidR="006D1D4F">
        <w:rPr>
          <w:rFonts w:ascii="Times New Roman" w:hAnsi="Times New Roman" w:cs="Times New Roman"/>
          <w:sz w:val="24"/>
          <w:szCs w:val="24"/>
        </w:rPr>
        <w:t>used</w:t>
      </w:r>
      <w:r w:rsidR="00B7343D">
        <w:rPr>
          <w:rFonts w:ascii="Times New Roman" w:hAnsi="Times New Roman" w:cs="Times New Roman"/>
          <w:sz w:val="24"/>
          <w:szCs w:val="24"/>
        </w:rPr>
        <w:t xml:space="preserve">. </w:t>
      </w:r>
      <w:r w:rsidR="0054338E">
        <w:rPr>
          <w:rFonts w:ascii="Times New Roman" w:hAnsi="Times New Roman" w:cs="Times New Roman"/>
          <w:sz w:val="24"/>
          <w:szCs w:val="24"/>
        </w:rPr>
        <w:t>G</w:t>
      </w:r>
      <w:r w:rsidR="00B7343D">
        <w:rPr>
          <w:rFonts w:ascii="Times New Roman" w:hAnsi="Times New Roman" w:cs="Times New Roman"/>
          <w:sz w:val="24"/>
          <w:szCs w:val="24"/>
        </w:rPr>
        <w:t>enes only present</w:t>
      </w:r>
      <w:r w:rsidR="0054338E">
        <w:rPr>
          <w:rFonts w:ascii="Times New Roman" w:hAnsi="Times New Roman" w:cs="Times New Roman"/>
          <w:sz w:val="24"/>
          <w:szCs w:val="24"/>
        </w:rPr>
        <w:t>ed</w:t>
      </w:r>
      <w:r w:rsidR="00B7343D">
        <w:rPr>
          <w:rFonts w:ascii="Times New Roman" w:hAnsi="Times New Roman" w:cs="Times New Roman"/>
          <w:sz w:val="24"/>
          <w:szCs w:val="24"/>
        </w:rPr>
        <w:t xml:space="preserve"> in </w:t>
      </w:r>
      <w:r w:rsidR="0054338E">
        <w:rPr>
          <w:rFonts w:ascii="Times New Roman" w:hAnsi="Times New Roman" w:cs="Times New Roman"/>
          <w:sz w:val="24"/>
          <w:szCs w:val="24"/>
        </w:rPr>
        <w:t>the analys</w:t>
      </w:r>
      <w:r w:rsidR="00B16781">
        <w:rPr>
          <w:rFonts w:ascii="Times New Roman" w:hAnsi="Times New Roman" w:cs="Times New Roman"/>
          <w:sz w:val="24"/>
          <w:szCs w:val="24"/>
        </w:rPr>
        <w:t>i</w:t>
      </w:r>
      <w:r w:rsidR="0054338E">
        <w:rPr>
          <w:rFonts w:ascii="Times New Roman" w:hAnsi="Times New Roman" w:cs="Times New Roman"/>
          <w:sz w:val="24"/>
          <w:szCs w:val="24"/>
        </w:rPr>
        <w:t xml:space="preserve">s results of </w:t>
      </w:r>
      <w:r w:rsidR="001F28B6">
        <w:rPr>
          <w:rFonts w:ascii="Times New Roman" w:hAnsi="Times New Roman" w:cs="Times New Roman"/>
          <w:sz w:val="24"/>
          <w:szCs w:val="24"/>
        </w:rPr>
        <w:t xml:space="preserve">only </w:t>
      </w:r>
      <w:r w:rsidR="00B7343D">
        <w:rPr>
          <w:rFonts w:ascii="Times New Roman" w:hAnsi="Times New Roman" w:cs="Times New Roman"/>
          <w:sz w:val="24"/>
          <w:szCs w:val="24"/>
        </w:rPr>
        <w:t xml:space="preserve">one ancestry </w:t>
      </w:r>
      <w:r w:rsidR="0054338E">
        <w:rPr>
          <w:rFonts w:ascii="Times New Roman" w:hAnsi="Times New Roman" w:cs="Times New Roman"/>
          <w:sz w:val="24"/>
          <w:szCs w:val="24"/>
        </w:rPr>
        <w:t>population</w:t>
      </w:r>
      <w:r w:rsidR="00D91656">
        <w:rPr>
          <w:rFonts w:ascii="Times New Roman" w:hAnsi="Times New Roman" w:cs="Times New Roman"/>
          <w:sz w:val="24"/>
          <w:szCs w:val="24"/>
        </w:rPr>
        <w:t xml:space="preserve"> </w:t>
      </w:r>
      <w:r w:rsidR="0054338E">
        <w:rPr>
          <w:rFonts w:ascii="Times New Roman" w:hAnsi="Times New Roman" w:cs="Times New Roman"/>
          <w:sz w:val="24"/>
          <w:szCs w:val="24"/>
        </w:rPr>
        <w:t>were excluded.</w:t>
      </w:r>
    </w:p>
    <w:p w14:paraId="262674AE" w14:textId="34A28CD9" w:rsidR="00DB4D14" w:rsidRPr="00B7343D" w:rsidRDefault="00B734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343D">
        <w:rPr>
          <w:rFonts w:ascii="Times New Roman" w:hAnsi="Times New Roman" w:cs="Times New Roman"/>
          <w:b/>
          <w:bCs/>
          <w:sz w:val="24"/>
          <w:szCs w:val="24"/>
        </w:rPr>
        <w:t xml:space="preserve">Mapping significant </w:t>
      </w:r>
      <w:r>
        <w:rPr>
          <w:rFonts w:ascii="Times New Roman" w:hAnsi="Times New Roman" w:cs="Times New Roman"/>
          <w:b/>
          <w:bCs/>
          <w:sz w:val="24"/>
          <w:szCs w:val="24"/>
        </w:rPr>
        <w:t>variant</w:t>
      </w:r>
      <w:r w:rsidRPr="00B7343D">
        <w:rPr>
          <w:rFonts w:ascii="Times New Roman" w:hAnsi="Times New Roman" w:cs="Times New Roman"/>
          <w:b/>
          <w:bCs/>
          <w:sz w:val="24"/>
          <w:szCs w:val="24"/>
        </w:rPr>
        <w:t>s to genes</w:t>
      </w:r>
    </w:p>
    <w:p w14:paraId="483E4E02" w14:textId="35DA6ECF" w:rsidR="00AE401D" w:rsidRDefault="00D104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7343D">
        <w:rPr>
          <w:rFonts w:ascii="Times New Roman" w:hAnsi="Times New Roman" w:cs="Times New Roman"/>
          <w:sz w:val="24"/>
          <w:szCs w:val="24"/>
        </w:rPr>
        <w:t xml:space="preserve">hree strategies </w:t>
      </w:r>
      <w:r>
        <w:rPr>
          <w:rFonts w:ascii="Times New Roman" w:hAnsi="Times New Roman" w:cs="Times New Roman"/>
          <w:sz w:val="24"/>
          <w:szCs w:val="24"/>
        </w:rPr>
        <w:t xml:space="preserve">were used </w:t>
      </w:r>
      <w:r w:rsidR="00B7343D">
        <w:rPr>
          <w:rFonts w:ascii="Times New Roman" w:hAnsi="Times New Roman" w:cs="Times New Roman"/>
          <w:sz w:val="24"/>
          <w:szCs w:val="24"/>
        </w:rPr>
        <w:t>to map significant variants to genes. The first</w:t>
      </w:r>
      <w:r w:rsidR="00394DC3">
        <w:rPr>
          <w:rFonts w:ascii="Times New Roman" w:hAnsi="Times New Roman" w:cs="Times New Roman"/>
          <w:sz w:val="24"/>
          <w:szCs w:val="24"/>
        </w:rPr>
        <w:t xml:space="preserve"> one</w:t>
      </w:r>
      <w:r w:rsidR="00B7343D">
        <w:rPr>
          <w:rFonts w:ascii="Times New Roman" w:hAnsi="Times New Roman" w:cs="Times New Roman"/>
          <w:sz w:val="24"/>
          <w:szCs w:val="24"/>
        </w:rPr>
        <w:t xml:space="preserve"> </w:t>
      </w:r>
      <w:r w:rsidR="00995F9F">
        <w:rPr>
          <w:rFonts w:ascii="Times New Roman" w:hAnsi="Times New Roman" w:cs="Times New Roman"/>
          <w:sz w:val="24"/>
          <w:szCs w:val="24"/>
        </w:rPr>
        <w:t>wa</w:t>
      </w:r>
      <w:r w:rsidR="00B7343D">
        <w:rPr>
          <w:rFonts w:ascii="Times New Roman" w:hAnsi="Times New Roman" w:cs="Times New Roman"/>
          <w:sz w:val="24"/>
          <w:szCs w:val="24"/>
        </w:rPr>
        <w:t>s positional mapping</w:t>
      </w:r>
      <w:r w:rsidR="00B16781" w:rsidRPr="00B16781">
        <w:rPr>
          <w:rFonts w:ascii="Times New Roman" w:hAnsi="Times New Roman" w:cs="Times New Roman"/>
          <w:sz w:val="24"/>
          <w:szCs w:val="24"/>
        </w:rPr>
        <w:t xml:space="preserve"> </w:t>
      </w:r>
      <w:r w:rsidR="00B16781">
        <w:rPr>
          <w:rFonts w:ascii="Times New Roman" w:hAnsi="Times New Roman" w:cs="Times New Roman"/>
          <w:sz w:val="24"/>
          <w:szCs w:val="24"/>
        </w:rPr>
        <w:t>using FUMA</w:t>
      </w:r>
      <w:r w:rsidR="00B16781" w:rsidRPr="00D91656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B7343D">
        <w:rPr>
          <w:rFonts w:ascii="Times New Roman" w:hAnsi="Times New Roman" w:cs="Times New Roman"/>
          <w:sz w:val="24"/>
          <w:szCs w:val="24"/>
        </w:rPr>
        <w:t xml:space="preserve">, i.e., whether a significant variant is located </w:t>
      </w:r>
      <w:r>
        <w:rPr>
          <w:rFonts w:ascii="Times New Roman" w:hAnsi="Times New Roman" w:cs="Times New Roman"/>
          <w:sz w:val="24"/>
          <w:szCs w:val="24"/>
        </w:rPr>
        <w:t>within</w:t>
      </w:r>
      <w:r w:rsidR="00B7343D">
        <w:rPr>
          <w:rFonts w:ascii="Times New Roman" w:hAnsi="Times New Roman" w:cs="Times New Roman"/>
          <w:sz w:val="24"/>
          <w:szCs w:val="24"/>
        </w:rPr>
        <w:t xml:space="preserve"> a gene (±</w:t>
      </w:r>
      <w:r w:rsidR="00B16781">
        <w:rPr>
          <w:rFonts w:ascii="Times New Roman" w:hAnsi="Times New Roman" w:cs="Times New Roman"/>
          <w:sz w:val="24"/>
          <w:szCs w:val="24"/>
        </w:rPr>
        <w:t>1</w:t>
      </w:r>
      <w:r w:rsidR="001F28B6">
        <w:rPr>
          <w:rFonts w:ascii="Times New Roman" w:hAnsi="Times New Roman" w:cs="Times New Roman"/>
          <w:sz w:val="24"/>
          <w:szCs w:val="24"/>
        </w:rPr>
        <w:t xml:space="preserve"> </w:t>
      </w:r>
      <w:r w:rsidR="00B7343D">
        <w:rPr>
          <w:rFonts w:ascii="Times New Roman" w:hAnsi="Times New Roman" w:cs="Times New Roman"/>
          <w:sz w:val="24"/>
          <w:szCs w:val="24"/>
        </w:rPr>
        <w:t>kb from transcription start and end sites</w:t>
      </w:r>
      <w:r w:rsidR="003C5C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Gene annotations were </w:t>
      </w:r>
      <w:r w:rsidR="0010756B">
        <w:rPr>
          <w:rFonts w:ascii="Times New Roman" w:hAnsi="Times New Roman" w:cs="Times New Roman"/>
          <w:sz w:val="24"/>
          <w:szCs w:val="24"/>
        </w:rPr>
        <w:t>obtained from ENSEMBL gene v92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13</w:t>
      </w:r>
      <w:r w:rsidR="0010756B">
        <w:rPr>
          <w:rFonts w:ascii="Times New Roman" w:hAnsi="Times New Roman" w:cs="Times New Roman"/>
          <w:sz w:val="24"/>
          <w:szCs w:val="24"/>
        </w:rPr>
        <w:t xml:space="preserve"> by using</w:t>
      </w:r>
      <w:r w:rsidR="00317664">
        <w:rPr>
          <w:rFonts w:ascii="Times New Roman" w:hAnsi="Times New Roman" w:cs="Times New Roman"/>
          <w:sz w:val="24"/>
          <w:szCs w:val="24"/>
        </w:rPr>
        <w:t xml:space="preserve"> ANNOVAR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10</w:t>
      </w:r>
      <w:r w:rsidR="00317664">
        <w:rPr>
          <w:rFonts w:ascii="Times New Roman" w:hAnsi="Times New Roman" w:cs="Times New Roman"/>
          <w:sz w:val="24"/>
          <w:szCs w:val="24"/>
        </w:rPr>
        <w:t xml:space="preserve">. The second strategy </w:t>
      </w:r>
      <w:r w:rsidR="00995F9F">
        <w:rPr>
          <w:rFonts w:ascii="Times New Roman" w:hAnsi="Times New Roman" w:cs="Times New Roman"/>
          <w:sz w:val="24"/>
          <w:szCs w:val="24"/>
        </w:rPr>
        <w:t>wa</w:t>
      </w:r>
      <w:r w:rsidR="00317664">
        <w:rPr>
          <w:rFonts w:ascii="Times New Roman" w:hAnsi="Times New Roman" w:cs="Times New Roman"/>
          <w:sz w:val="24"/>
          <w:szCs w:val="24"/>
        </w:rPr>
        <w:t>s eQTL mapping, i.e., whether a significant variant is an eQTL of a gene</w:t>
      </w:r>
      <w:r w:rsidR="00D91656">
        <w:rPr>
          <w:rFonts w:ascii="Times New Roman" w:hAnsi="Times New Roman" w:cs="Times New Roman"/>
          <w:sz w:val="24"/>
          <w:szCs w:val="24"/>
        </w:rPr>
        <w:t xml:space="preserve"> (cis-eQTL only)</w:t>
      </w:r>
      <w:r w:rsidR="00317664">
        <w:rPr>
          <w:rFonts w:ascii="Times New Roman" w:hAnsi="Times New Roman" w:cs="Times New Roman"/>
          <w:sz w:val="24"/>
          <w:szCs w:val="24"/>
        </w:rPr>
        <w:t>. FUMA</w:t>
      </w:r>
      <w:r w:rsidR="00D91656" w:rsidRPr="00D91656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317664">
        <w:rPr>
          <w:rFonts w:ascii="Times New Roman" w:hAnsi="Times New Roman" w:cs="Times New Roman"/>
          <w:sz w:val="24"/>
          <w:szCs w:val="24"/>
        </w:rPr>
        <w:t xml:space="preserve"> was </w:t>
      </w:r>
      <w:r w:rsidR="00B16781">
        <w:rPr>
          <w:rFonts w:ascii="Times New Roman" w:hAnsi="Times New Roman" w:cs="Times New Roman"/>
          <w:sz w:val="24"/>
          <w:szCs w:val="24"/>
        </w:rPr>
        <w:t xml:space="preserve">also </w:t>
      </w:r>
      <w:r w:rsidR="00317664">
        <w:rPr>
          <w:rFonts w:ascii="Times New Roman" w:hAnsi="Times New Roman" w:cs="Times New Roman"/>
          <w:sz w:val="24"/>
          <w:szCs w:val="24"/>
        </w:rPr>
        <w:t xml:space="preserve">used to perform eQTL mapping and </w:t>
      </w:r>
      <w:r w:rsidR="00DB4D14">
        <w:rPr>
          <w:rFonts w:ascii="Times New Roman" w:hAnsi="Times New Roman" w:cs="Times New Roman"/>
          <w:sz w:val="24"/>
          <w:szCs w:val="24"/>
        </w:rPr>
        <w:t xml:space="preserve">eQTL </w:t>
      </w:r>
      <w:r w:rsidR="00317664">
        <w:rPr>
          <w:rFonts w:ascii="Times New Roman" w:hAnsi="Times New Roman" w:cs="Times New Roman"/>
          <w:sz w:val="24"/>
          <w:szCs w:val="24"/>
        </w:rPr>
        <w:t xml:space="preserve">datasets </w:t>
      </w:r>
      <w:r w:rsidR="00DB4D14">
        <w:rPr>
          <w:rFonts w:ascii="Times New Roman" w:hAnsi="Times New Roman" w:cs="Times New Roman"/>
          <w:sz w:val="24"/>
          <w:szCs w:val="24"/>
        </w:rPr>
        <w:t>from PsychENCODE</w:t>
      </w:r>
      <w:r w:rsidR="00394DC3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14</w:t>
      </w:r>
      <w:r w:rsidR="0010756B">
        <w:rPr>
          <w:rFonts w:ascii="Times New Roman" w:hAnsi="Times New Roman" w:cs="Times New Roman"/>
          <w:sz w:val="24"/>
          <w:szCs w:val="24"/>
        </w:rPr>
        <w:t xml:space="preserve"> were used</w:t>
      </w:r>
      <w:r w:rsidR="00317664">
        <w:rPr>
          <w:rFonts w:ascii="Times New Roman" w:hAnsi="Times New Roman" w:cs="Times New Roman"/>
          <w:sz w:val="24"/>
          <w:szCs w:val="24"/>
        </w:rPr>
        <w:t xml:space="preserve">. </w:t>
      </w:r>
      <w:r w:rsidR="00995F9F">
        <w:rPr>
          <w:rFonts w:ascii="Times New Roman" w:hAnsi="Times New Roman" w:cs="Times New Roman"/>
          <w:sz w:val="24"/>
          <w:szCs w:val="24"/>
        </w:rPr>
        <w:t xml:space="preserve">The third strategy is chromatin interaction mapping, i.e., whether a significant variant </w:t>
      </w:r>
      <w:r w:rsidR="003C5C9B">
        <w:rPr>
          <w:rFonts w:ascii="Times New Roman" w:hAnsi="Times New Roman" w:cs="Times New Roman"/>
          <w:sz w:val="24"/>
          <w:szCs w:val="24"/>
        </w:rPr>
        <w:t>contacts a gene by chromosomal looping</w:t>
      </w:r>
      <w:r w:rsidR="00995F9F">
        <w:rPr>
          <w:rFonts w:ascii="Times New Roman" w:hAnsi="Times New Roman" w:cs="Times New Roman"/>
          <w:sz w:val="24"/>
          <w:szCs w:val="24"/>
        </w:rPr>
        <w:t xml:space="preserve"> (with</w:t>
      </w:r>
      <w:r w:rsidR="003C5C9B">
        <w:rPr>
          <w:rFonts w:ascii="Times New Roman" w:hAnsi="Times New Roman" w:cs="Times New Roman"/>
          <w:sz w:val="24"/>
          <w:szCs w:val="24"/>
        </w:rPr>
        <w:t>in</w:t>
      </w:r>
      <w:r w:rsidR="00995F9F">
        <w:rPr>
          <w:rFonts w:ascii="Times New Roman" w:hAnsi="Times New Roman" w:cs="Times New Roman"/>
          <w:sz w:val="24"/>
          <w:szCs w:val="24"/>
        </w:rPr>
        <w:t xml:space="preserve"> 2</w:t>
      </w:r>
      <w:r w:rsidR="003C5C9B">
        <w:rPr>
          <w:rFonts w:ascii="Times New Roman" w:hAnsi="Times New Roman" w:cs="Times New Roman"/>
          <w:sz w:val="24"/>
          <w:szCs w:val="24"/>
        </w:rPr>
        <w:t xml:space="preserve"> </w:t>
      </w:r>
      <w:r w:rsidR="00995F9F">
        <w:rPr>
          <w:rFonts w:ascii="Times New Roman" w:hAnsi="Times New Roman" w:cs="Times New Roman"/>
          <w:sz w:val="24"/>
          <w:szCs w:val="24"/>
        </w:rPr>
        <w:t xml:space="preserve">Mb). </w:t>
      </w:r>
      <w:r w:rsidR="00866813">
        <w:rPr>
          <w:rFonts w:ascii="Times New Roman" w:hAnsi="Times New Roman" w:cs="Times New Roman"/>
          <w:sz w:val="24"/>
          <w:szCs w:val="24"/>
        </w:rPr>
        <w:t>We used the Hi-C datasets from human germinal zone and cortical plates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15</w:t>
      </w:r>
      <w:r w:rsidR="00866813">
        <w:rPr>
          <w:rFonts w:ascii="Times New Roman" w:hAnsi="Times New Roman" w:cs="Times New Roman"/>
          <w:sz w:val="24"/>
          <w:szCs w:val="24"/>
        </w:rPr>
        <w:t xml:space="preserve"> and performed loop calling using HiCorr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16</w:t>
      </w:r>
      <w:r w:rsidR="00866813" w:rsidRPr="002B014E">
        <w:rPr>
          <w:rFonts w:ascii="Times New Roman" w:hAnsi="Times New Roman" w:cs="Times New Roman"/>
          <w:sz w:val="24"/>
          <w:szCs w:val="24"/>
        </w:rPr>
        <w:t xml:space="preserve"> and DeepLoop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17</w:t>
      </w:r>
      <w:r w:rsidR="00866813">
        <w:rPr>
          <w:rFonts w:ascii="Times New Roman" w:hAnsi="Times New Roman" w:cs="Times New Roman"/>
          <w:sz w:val="24"/>
          <w:szCs w:val="24"/>
        </w:rPr>
        <w:t>. The top 300K loops within 2</w:t>
      </w:r>
      <w:r w:rsidR="00045008">
        <w:rPr>
          <w:rFonts w:ascii="Times New Roman" w:hAnsi="Times New Roman" w:cs="Times New Roman"/>
          <w:sz w:val="24"/>
          <w:szCs w:val="24"/>
        </w:rPr>
        <w:t xml:space="preserve"> </w:t>
      </w:r>
      <w:r w:rsidR="00866813">
        <w:rPr>
          <w:rFonts w:ascii="Times New Roman" w:hAnsi="Times New Roman" w:cs="Times New Roman"/>
          <w:sz w:val="24"/>
          <w:szCs w:val="24"/>
        </w:rPr>
        <w:t>Mb were used to find loop-directed variant-gene pairs.</w:t>
      </w:r>
      <w:r w:rsidR="0055576A">
        <w:rPr>
          <w:rFonts w:ascii="Times New Roman" w:hAnsi="Times New Roman" w:cs="Times New Roman"/>
          <w:sz w:val="24"/>
          <w:szCs w:val="24"/>
        </w:rPr>
        <w:t xml:space="preserve"> </w:t>
      </w:r>
      <w:r w:rsidR="00EE3E31">
        <w:rPr>
          <w:rFonts w:ascii="Times New Roman" w:hAnsi="Times New Roman" w:cs="Times New Roman"/>
          <w:sz w:val="24"/>
          <w:szCs w:val="24"/>
        </w:rPr>
        <w:t>Genes mapped by any of these strategies were include</w:t>
      </w:r>
      <w:r w:rsidR="000E4D07">
        <w:rPr>
          <w:rFonts w:ascii="Times New Roman" w:hAnsi="Times New Roman" w:cs="Times New Roman"/>
          <w:sz w:val="24"/>
          <w:szCs w:val="24"/>
        </w:rPr>
        <w:t>d</w:t>
      </w:r>
      <w:r w:rsidR="00EE3E31">
        <w:rPr>
          <w:rFonts w:ascii="Times New Roman" w:hAnsi="Times New Roman" w:cs="Times New Roman"/>
          <w:sz w:val="24"/>
          <w:szCs w:val="24"/>
        </w:rPr>
        <w:t xml:space="preserve"> </w:t>
      </w:r>
      <w:r w:rsidR="000E4D07">
        <w:rPr>
          <w:rFonts w:ascii="Times New Roman" w:hAnsi="Times New Roman" w:cs="Times New Roman"/>
          <w:sz w:val="24"/>
          <w:szCs w:val="24"/>
        </w:rPr>
        <w:t>in</w:t>
      </w:r>
      <w:r w:rsidR="00EE3E31">
        <w:rPr>
          <w:rFonts w:ascii="Times New Roman" w:hAnsi="Times New Roman" w:cs="Times New Roman"/>
          <w:sz w:val="24"/>
          <w:szCs w:val="24"/>
        </w:rPr>
        <w:t xml:space="preserve"> gene prioritization.</w:t>
      </w:r>
    </w:p>
    <w:p w14:paraId="4B372D8F" w14:textId="79E86225" w:rsidR="00AE401D" w:rsidRPr="00927C9B" w:rsidRDefault="00927C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7C9B">
        <w:rPr>
          <w:rFonts w:ascii="Times New Roman" w:hAnsi="Times New Roman" w:cs="Times New Roman"/>
          <w:b/>
          <w:bCs/>
          <w:sz w:val="24"/>
          <w:szCs w:val="24"/>
        </w:rPr>
        <w:t>Gene prioritization</w:t>
      </w:r>
    </w:p>
    <w:p w14:paraId="630A1A8D" w14:textId="42185117" w:rsidR="00927C9B" w:rsidRDefault="00394DC3" w:rsidP="00F54E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B16781">
        <w:rPr>
          <w:rFonts w:ascii="Times New Roman" w:hAnsi="Times New Roman" w:cs="Times New Roman"/>
          <w:sz w:val="24"/>
          <w:szCs w:val="24"/>
        </w:rPr>
        <w:t>ince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FF382D">
        <w:rPr>
          <w:rFonts w:ascii="Times New Roman" w:hAnsi="Times New Roman" w:cs="Times New Roman"/>
          <w:sz w:val="24"/>
          <w:szCs w:val="24"/>
        </w:rPr>
        <w:t xml:space="preserve">enes mapped </w:t>
      </w:r>
      <w:r w:rsidR="00102C7E">
        <w:rPr>
          <w:rFonts w:ascii="Times New Roman" w:hAnsi="Times New Roman" w:cs="Times New Roman"/>
          <w:sz w:val="24"/>
          <w:szCs w:val="24"/>
        </w:rPr>
        <w:t>include</w:t>
      </w:r>
      <w:r w:rsidR="00FF382D">
        <w:rPr>
          <w:rFonts w:ascii="Times New Roman" w:hAnsi="Times New Roman" w:cs="Times New Roman"/>
          <w:sz w:val="24"/>
          <w:szCs w:val="24"/>
        </w:rPr>
        <w:t xml:space="preserve"> those </w:t>
      </w:r>
      <w:r w:rsidR="00402C1B">
        <w:rPr>
          <w:rFonts w:ascii="Times New Roman" w:hAnsi="Times New Roman" w:cs="Times New Roman"/>
          <w:sz w:val="24"/>
          <w:szCs w:val="24"/>
        </w:rPr>
        <w:t xml:space="preserve">close in physical proximity to </w:t>
      </w:r>
      <w:r w:rsidR="00B16781">
        <w:rPr>
          <w:rFonts w:ascii="Times New Roman" w:hAnsi="Times New Roman" w:cs="Times New Roman"/>
          <w:sz w:val="24"/>
          <w:szCs w:val="24"/>
        </w:rPr>
        <w:t>SUD-a</w:t>
      </w:r>
      <w:r w:rsidR="00FF382D">
        <w:rPr>
          <w:rFonts w:ascii="Times New Roman" w:hAnsi="Times New Roman" w:cs="Times New Roman"/>
          <w:sz w:val="24"/>
          <w:szCs w:val="24"/>
        </w:rPr>
        <w:t>ssociated genes but</w:t>
      </w:r>
      <w:r w:rsidR="00402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may not be </w:t>
      </w:r>
      <w:r w:rsidR="00402C1B">
        <w:rPr>
          <w:rFonts w:ascii="Times New Roman" w:hAnsi="Times New Roman" w:cs="Times New Roman"/>
          <w:sz w:val="24"/>
          <w:szCs w:val="24"/>
        </w:rPr>
        <w:t>biological relevance</w:t>
      </w:r>
      <w:r w:rsidR="00FF382D">
        <w:rPr>
          <w:rFonts w:ascii="Times New Roman" w:hAnsi="Times New Roman" w:cs="Times New Roman"/>
          <w:sz w:val="24"/>
          <w:szCs w:val="24"/>
        </w:rPr>
        <w:t xml:space="preserve"> to SUDs; therefore, </w:t>
      </w:r>
      <w:r w:rsidR="00EE3E31">
        <w:rPr>
          <w:rFonts w:ascii="Times New Roman" w:hAnsi="Times New Roman" w:cs="Times New Roman"/>
          <w:sz w:val="24"/>
          <w:szCs w:val="24"/>
        </w:rPr>
        <w:t xml:space="preserve">we used a series of steps to prioritize mapped genes. </w:t>
      </w:r>
      <w:r w:rsidR="000A71B8">
        <w:rPr>
          <w:rFonts w:ascii="Times New Roman" w:hAnsi="Times New Roman" w:cs="Times New Roman"/>
          <w:sz w:val="24"/>
          <w:szCs w:val="24"/>
        </w:rPr>
        <w:t xml:space="preserve">First, we checked whether mapped genes </w:t>
      </w:r>
      <w:r w:rsidR="00DB652F">
        <w:rPr>
          <w:rFonts w:ascii="Times New Roman" w:hAnsi="Times New Roman" w:cs="Times New Roman"/>
          <w:sz w:val="24"/>
          <w:szCs w:val="24"/>
        </w:rPr>
        <w:t xml:space="preserve">were </w:t>
      </w:r>
      <w:r w:rsidR="00BE02C0">
        <w:rPr>
          <w:rFonts w:ascii="Times New Roman" w:hAnsi="Times New Roman" w:cs="Times New Roman"/>
          <w:sz w:val="24"/>
          <w:szCs w:val="24"/>
        </w:rPr>
        <w:t>in</w:t>
      </w:r>
      <w:r w:rsidR="000A71B8">
        <w:rPr>
          <w:rFonts w:ascii="Times New Roman" w:hAnsi="Times New Roman" w:cs="Times New Roman"/>
          <w:sz w:val="24"/>
          <w:szCs w:val="24"/>
        </w:rPr>
        <w:t xml:space="preserve"> </w:t>
      </w:r>
      <w:r w:rsidR="00DB652F">
        <w:rPr>
          <w:rFonts w:ascii="Times New Roman" w:hAnsi="Times New Roman" w:cs="Times New Roman"/>
          <w:sz w:val="24"/>
          <w:szCs w:val="24"/>
        </w:rPr>
        <w:t>SUD-</w:t>
      </w:r>
      <w:r w:rsidR="000A71B8">
        <w:rPr>
          <w:rFonts w:ascii="Times New Roman" w:hAnsi="Times New Roman" w:cs="Times New Roman"/>
          <w:sz w:val="24"/>
          <w:szCs w:val="24"/>
        </w:rPr>
        <w:t xml:space="preserve">related pathways (alcoholism, amphetamine addiction, cocaine addiction, morphine addiction, nicotine addiction, dopaminergic synapse, GABAergic synapse, glutamatergic synapse, and MAPK signaling) defined by </w:t>
      </w:r>
      <w:r w:rsidR="00DB652F">
        <w:rPr>
          <w:rFonts w:ascii="Times New Roman" w:hAnsi="Times New Roman" w:cs="Times New Roman"/>
          <w:sz w:val="24"/>
          <w:szCs w:val="24"/>
        </w:rPr>
        <w:t xml:space="preserve">the </w:t>
      </w:r>
      <w:r w:rsidR="000A71B8">
        <w:rPr>
          <w:rFonts w:ascii="Times New Roman" w:hAnsi="Times New Roman" w:cs="Times New Roman"/>
          <w:sz w:val="24"/>
          <w:szCs w:val="24"/>
        </w:rPr>
        <w:t>Kyoto Encyclopedia of Genes and Genomics (KEGG</w:t>
      </w:r>
      <w:r w:rsidR="00841ED3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841ED3" w:rsidRPr="00547E6F">
          <w:rPr>
            <w:rStyle w:val="Hyperlink"/>
            <w:rFonts w:ascii="Times New Roman" w:hAnsi="Times New Roman" w:cs="Times New Roman"/>
            <w:sz w:val="24"/>
            <w:szCs w:val="24"/>
          </w:rPr>
          <w:t>https://www.genome.jp/kegg/</w:t>
        </w:r>
      </w:hyperlink>
      <w:r w:rsidR="000A71B8">
        <w:rPr>
          <w:rFonts w:ascii="Times New Roman" w:hAnsi="Times New Roman" w:cs="Times New Roman"/>
          <w:sz w:val="24"/>
          <w:szCs w:val="24"/>
        </w:rPr>
        <w:t xml:space="preserve">). </w:t>
      </w:r>
      <w:r w:rsidR="00DF7C94" w:rsidRPr="00DF7C94">
        <w:rPr>
          <w:rFonts w:ascii="Times New Roman" w:hAnsi="Times New Roman" w:cs="Times New Roman"/>
          <w:sz w:val="24"/>
          <w:szCs w:val="24"/>
        </w:rPr>
        <w:t xml:space="preserve">As </w:t>
      </w:r>
      <w:r w:rsidR="00DF7C94">
        <w:rPr>
          <w:rFonts w:ascii="Times New Roman" w:hAnsi="Times New Roman" w:cs="Times New Roman"/>
          <w:sz w:val="24"/>
          <w:szCs w:val="24"/>
        </w:rPr>
        <w:t xml:space="preserve">part of </w:t>
      </w:r>
      <w:r w:rsidR="00DF7C94" w:rsidRPr="00DF7C94">
        <w:rPr>
          <w:rFonts w:ascii="Times New Roman" w:hAnsi="Times New Roman" w:cs="Times New Roman"/>
          <w:sz w:val="24"/>
          <w:szCs w:val="24"/>
        </w:rPr>
        <w:t>these pathways were derived from animal studies and different genes with similar functions may cause SUDs in human</w:t>
      </w:r>
      <w:r w:rsidR="00DF7C94">
        <w:rPr>
          <w:rFonts w:ascii="Times New Roman" w:hAnsi="Times New Roman" w:cs="Times New Roman"/>
          <w:sz w:val="24"/>
          <w:szCs w:val="24"/>
        </w:rPr>
        <w:t>; therefore, we</w:t>
      </w:r>
      <w:r w:rsidR="00686B70">
        <w:rPr>
          <w:rFonts w:ascii="Times New Roman" w:hAnsi="Times New Roman" w:cs="Times New Roman"/>
          <w:sz w:val="24"/>
          <w:szCs w:val="24"/>
        </w:rPr>
        <w:t xml:space="preserve"> also checked whether any of </w:t>
      </w:r>
      <w:r>
        <w:rPr>
          <w:rFonts w:ascii="Times New Roman" w:hAnsi="Times New Roman" w:cs="Times New Roman"/>
          <w:sz w:val="24"/>
          <w:szCs w:val="24"/>
        </w:rPr>
        <w:t>prioritized genes</w:t>
      </w:r>
      <w:r w:rsidR="00686B70" w:rsidRPr="00686B70">
        <w:rPr>
          <w:rFonts w:ascii="Times New Roman" w:hAnsi="Times New Roman" w:cs="Times New Roman"/>
          <w:sz w:val="24"/>
          <w:szCs w:val="24"/>
        </w:rPr>
        <w:t xml:space="preserve"> </w:t>
      </w:r>
      <w:r w:rsidR="00686B70">
        <w:rPr>
          <w:rFonts w:ascii="Times New Roman" w:hAnsi="Times New Roman" w:cs="Times New Roman"/>
          <w:sz w:val="24"/>
          <w:szCs w:val="24"/>
        </w:rPr>
        <w:t>belongs to the same gene families as those in KEGG SUDs pathways, or directly interact</w:t>
      </w:r>
      <w:r w:rsidR="00B16781">
        <w:rPr>
          <w:rFonts w:ascii="Times New Roman" w:hAnsi="Times New Roman" w:cs="Times New Roman"/>
          <w:sz w:val="24"/>
          <w:szCs w:val="24"/>
        </w:rPr>
        <w:t>s</w:t>
      </w:r>
      <w:r w:rsidR="00686B70">
        <w:rPr>
          <w:rFonts w:ascii="Times New Roman" w:hAnsi="Times New Roman" w:cs="Times New Roman"/>
          <w:sz w:val="24"/>
          <w:szCs w:val="24"/>
        </w:rPr>
        <w:t xml:space="preserve"> with genes</w:t>
      </w:r>
      <w:r w:rsidR="00146CCB">
        <w:rPr>
          <w:rFonts w:ascii="Times New Roman" w:hAnsi="Times New Roman" w:cs="Times New Roman"/>
          <w:sz w:val="24"/>
          <w:szCs w:val="24"/>
        </w:rPr>
        <w:t xml:space="preserve"> in the pathways</w:t>
      </w:r>
      <w:r w:rsidR="000A71B8">
        <w:rPr>
          <w:rFonts w:ascii="Times New Roman" w:hAnsi="Times New Roman" w:cs="Times New Roman"/>
          <w:sz w:val="24"/>
          <w:szCs w:val="24"/>
        </w:rPr>
        <w:t xml:space="preserve">. </w:t>
      </w:r>
      <w:r w:rsidR="00F54E47">
        <w:rPr>
          <w:rFonts w:ascii="Times New Roman" w:hAnsi="Times New Roman" w:cs="Times New Roman"/>
          <w:sz w:val="24"/>
          <w:szCs w:val="24"/>
        </w:rPr>
        <w:t xml:space="preserve">Gene-gene interactions were obtained from </w:t>
      </w:r>
      <w:r w:rsidR="00F54E47" w:rsidRPr="00F54E47">
        <w:rPr>
          <w:rFonts w:ascii="Times New Roman" w:hAnsi="Times New Roman" w:cs="Times New Roman"/>
          <w:sz w:val="24"/>
          <w:szCs w:val="24"/>
        </w:rPr>
        <w:t>the STRING database (</w:t>
      </w:r>
      <w:hyperlink r:id="rId5" w:history="1">
        <w:r w:rsidR="00F54E47" w:rsidRPr="00547E6F">
          <w:rPr>
            <w:rStyle w:val="Hyperlink"/>
            <w:rFonts w:ascii="Times New Roman" w:hAnsi="Times New Roman" w:cs="Times New Roman"/>
            <w:sz w:val="24"/>
            <w:szCs w:val="24"/>
          </w:rPr>
          <w:t>https://stringdb.org/</w:t>
        </w:r>
      </w:hyperlink>
      <w:r w:rsidR="00F54E47" w:rsidRPr="00F54E47">
        <w:rPr>
          <w:rFonts w:ascii="Times New Roman" w:hAnsi="Times New Roman" w:cs="Times New Roman"/>
          <w:sz w:val="24"/>
          <w:szCs w:val="24"/>
        </w:rPr>
        <w:t>)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18</w:t>
      </w:r>
      <w:r w:rsidR="00F54E47">
        <w:rPr>
          <w:rFonts w:ascii="Times New Roman" w:hAnsi="Times New Roman" w:cs="Times New Roman"/>
          <w:sz w:val="24"/>
          <w:szCs w:val="24"/>
        </w:rPr>
        <w:t xml:space="preserve">. </w:t>
      </w:r>
      <w:r w:rsidR="00F54E47" w:rsidRPr="00F54E47">
        <w:rPr>
          <w:rFonts w:ascii="Times New Roman" w:hAnsi="Times New Roman" w:cs="Times New Roman"/>
          <w:sz w:val="24"/>
          <w:szCs w:val="24"/>
        </w:rPr>
        <w:t xml:space="preserve">We only retained </w:t>
      </w:r>
      <w:r w:rsidR="00146CCB">
        <w:rPr>
          <w:rFonts w:ascii="Times New Roman" w:hAnsi="Times New Roman" w:cs="Times New Roman"/>
          <w:sz w:val="24"/>
          <w:szCs w:val="24"/>
        </w:rPr>
        <w:t xml:space="preserve">genes </w:t>
      </w:r>
      <w:r w:rsidR="00F54E47">
        <w:rPr>
          <w:rFonts w:ascii="Times New Roman" w:hAnsi="Times New Roman" w:cs="Times New Roman"/>
          <w:sz w:val="24"/>
          <w:szCs w:val="24"/>
        </w:rPr>
        <w:t xml:space="preserve">with </w:t>
      </w:r>
      <w:r w:rsidR="00F54E47" w:rsidRPr="00F54E47">
        <w:rPr>
          <w:rFonts w:ascii="Times New Roman" w:hAnsi="Times New Roman" w:cs="Times New Roman"/>
          <w:sz w:val="24"/>
          <w:szCs w:val="24"/>
        </w:rPr>
        <w:t>high confidence interactions</w:t>
      </w:r>
      <w:r w:rsidR="00686B70">
        <w:rPr>
          <w:rFonts w:ascii="Times New Roman" w:hAnsi="Times New Roman" w:cs="Times New Roman"/>
          <w:sz w:val="24"/>
          <w:szCs w:val="24"/>
        </w:rPr>
        <w:t xml:space="preserve"> </w:t>
      </w:r>
      <w:r w:rsidR="00F54E47" w:rsidRPr="00F54E47">
        <w:rPr>
          <w:rFonts w:ascii="Times New Roman" w:hAnsi="Times New Roman" w:cs="Times New Roman"/>
          <w:sz w:val="24"/>
          <w:szCs w:val="24"/>
        </w:rPr>
        <w:t>(i.e., having confidence score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E47" w:rsidRPr="00F54E47">
        <w:rPr>
          <w:rFonts w:ascii="Times New Roman" w:hAnsi="Times New Roman" w:cs="Times New Roman"/>
          <w:sz w:val="24"/>
          <w:szCs w:val="24"/>
        </w:rPr>
        <w:t>≥0.7 or</w:t>
      </w:r>
      <w:r w:rsidR="00F54E47">
        <w:rPr>
          <w:rFonts w:ascii="Times New Roman" w:hAnsi="Times New Roman" w:cs="Times New Roman"/>
          <w:sz w:val="24"/>
          <w:szCs w:val="24"/>
        </w:rPr>
        <w:t xml:space="preserve"> </w:t>
      </w:r>
      <w:r w:rsidR="00F54E47" w:rsidRPr="00F54E47">
        <w:rPr>
          <w:rFonts w:ascii="Times New Roman" w:hAnsi="Times New Roman" w:cs="Times New Roman"/>
          <w:sz w:val="24"/>
          <w:szCs w:val="24"/>
        </w:rPr>
        <w:t>obtained from high-throughput laboratory experiments</w:t>
      </w:r>
      <w:r w:rsidR="00F54E47">
        <w:rPr>
          <w:rFonts w:ascii="Times New Roman" w:hAnsi="Times New Roman" w:cs="Times New Roman"/>
          <w:sz w:val="24"/>
          <w:szCs w:val="24"/>
        </w:rPr>
        <w:t xml:space="preserve"> </w:t>
      </w:r>
      <w:r w:rsidR="00F54E47" w:rsidRPr="00F54E47">
        <w:rPr>
          <w:rFonts w:ascii="Times New Roman" w:hAnsi="Times New Roman" w:cs="Times New Roman"/>
          <w:sz w:val="24"/>
          <w:szCs w:val="24"/>
        </w:rPr>
        <w:t>and previous knowledge in databases).</w:t>
      </w:r>
      <w:r w:rsidR="00F54E47">
        <w:rPr>
          <w:rFonts w:ascii="Times New Roman" w:hAnsi="Times New Roman" w:cs="Times New Roman"/>
          <w:sz w:val="24"/>
          <w:szCs w:val="24"/>
        </w:rPr>
        <w:t xml:space="preserve"> </w:t>
      </w:r>
      <w:r w:rsidR="000A71B8">
        <w:rPr>
          <w:rFonts w:ascii="Times New Roman" w:hAnsi="Times New Roman" w:cs="Times New Roman"/>
          <w:sz w:val="24"/>
          <w:szCs w:val="24"/>
        </w:rPr>
        <w:t>Finally, we check</w:t>
      </w:r>
      <w:r w:rsidR="00045008">
        <w:rPr>
          <w:rFonts w:ascii="Times New Roman" w:hAnsi="Times New Roman" w:cs="Times New Roman"/>
          <w:sz w:val="24"/>
          <w:szCs w:val="24"/>
        </w:rPr>
        <w:t>ed</w:t>
      </w:r>
      <w:r w:rsidR="000A71B8">
        <w:rPr>
          <w:rFonts w:ascii="Times New Roman" w:hAnsi="Times New Roman" w:cs="Times New Roman"/>
          <w:sz w:val="24"/>
          <w:szCs w:val="24"/>
        </w:rPr>
        <w:t xml:space="preserve"> </w:t>
      </w:r>
      <w:r w:rsidR="00686B70">
        <w:rPr>
          <w:rFonts w:ascii="Times New Roman" w:hAnsi="Times New Roman" w:cs="Times New Roman"/>
          <w:sz w:val="24"/>
          <w:szCs w:val="24"/>
        </w:rPr>
        <w:t xml:space="preserve">the </w:t>
      </w:r>
      <w:r w:rsidR="000A71B8">
        <w:rPr>
          <w:rFonts w:ascii="Times New Roman" w:hAnsi="Times New Roman" w:cs="Times New Roman"/>
          <w:sz w:val="24"/>
          <w:szCs w:val="24"/>
        </w:rPr>
        <w:t>GWAS catalog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19</w:t>
      </w:r>
      <w:r w:rsidR="000A71B8">
        <w:rPr>
          <w:rFonts w:ascii="Times New Roman" w:hAnsi="Times New Roman" w:cs="Times New Roman"/>
          <w:sz w:val="24"/>
          <w:szCs w:val="24"/>
        </w:rPr>
        <w:t xml:space="preserve"> and retained genes </w:t>
      </w:r>
      <w:r w:rsidR="00841ED3">
        <w:rPr>
          <w:rFonts w:ascii="Times New Roman" w:hAnsi="Times New Roman" w:cs="Times New Roman"/>
          <w:sz w:val="24"/>
          <w:szCs w:val="24"/>
        </w:rPr>
        <w:t xml:space="preserve">that </w:t>
      </w:r>
      <w:r w:rsidR="000A71B8">
        <w:rPr>
          <w:rFonts w:ascii="Times New Roman" w:hAnsi="Times New Roman" w:cs="Times New Roman"/>
          <w:sz w:val="24"/>
          <w:szCs w:val="24"/>
        </w:rPr>
        <w:t xml:space="preserve">were associated with </w:t>
      </w:r>
      <w:r w:rsidR="000A71B8" w:rsidRPr="000A71B8">
        <w:rPr>
          <w:rFonts w:ascii="Times New Roman" w:hAnsi="Times New Roman" w:cs="Times New Roman"/>
          <w:sz w:val="24"/>
          <w:szCs w:val="24"/>
        </w:rPr>
        <w:t>psychiatric traits, brain measurements, and brain functions</w:t>
      </w:r>
      <w:r w:rsidR="000A71B8">
        <w:rPr>
          <w:rFonts w:ascii="Times New Roman" w:hAnsi="Times New Roman" w:cs="Times New Roman"/>
          <w:sz w:val="24"/>
          <w:szCs w:val="24"/>
        </w:rPr>
        <w:t xml:space="preserve">. Gene </w:t>
      </w:r>
      <w:r w:rsidR="00BE02C0">
        <w:rPr>
          <w:rFonts w:ascii="Times New Roman" w:hAnsi="Times New Roman" w:cs="Times New Roman"/>
          <w:sz w:val="24"/>
          <w:szCs w:val="24"/>
        </w:rPr>
        <w:t>identified</w:t>
      </w:r>
      <w:r w:rsidR="000A71B8">
        <w:rPr>
          <w:rFonts w:ascii="Times New Roman" w:hAnsi="Times New Roman" w:cs="Times New Roman"/>
          <w:sz w:val="24"/>
          <w:szCs w:val="24"/>
        </w:rPr>
        <w:t xml:space="preserve"> by any of these steps were </w:t>
      </w:r>
      <w:r w:rsidR="00BE02C0">
        <w:rPr>
          <w:rFonts w:ascii="Times New Roman" w:hAnsi="Times New Roman" w:cs="Times New Roman"/>
          <w:sz w:val="24"/>
          <w:szCs w:val="24"/>
        </w:rPr>
        <w:t>prioritized</w:t>
      </w:r>
      <w:r w:rsidR="000A71B8">
        <w:rPr>
          <w:rFonts w:ascii="Times New Roman" w:hAnsi="Times New Roman" w:cs="Times New Roman"/>
          <w:sz w:val="24"/>
          <w:szCs w:val="24"/>
        </w:rPr>
        <w:t>.</w:t>
      </w:r>
    </w:p>
    <w:p w14:paraId="7D3744F4" w14:textId="1AFF8CA4" w:rsidR="00430667" w:rsidRDefault="0077666D">
      <w:pPr>
        <w:rPr>
          <w:rFonts w:ascii="Times New Roman" w:hAnsi="Times New Roman" w:cs="Times New Roman"/>
          <w:sz w:val="24"/>
          <w:szCs w:val="24"/>
        </w:rPr>
      </w:pPr>
      <w:r w:rsidRPr="00F66977">
        <w:rPr>
          <w:rFonts w:ascii="Times New Roman" w:hAnsi="Times New Roman" w:cs="Times New Roman"/>
          <w:b/>
          <w:bCs/>
          <w:sz w:val="24"/>
          <w:szCs w:val="24"/>
        </w:rPr>
        <w:t xml:space="preserve">Brain dissection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 cell type </w:t>
      </w:r>
      <w:r w:rsidRPr="00F66977">
        <w:rPr>
          <w:rFonts w:ascii="Times New Roman" w:hAnsi="Times New Roman" w:cs="Times New Roman"/>
          <w:b/>
          <w:bCs/>
          <w:sz w:val="24"/>
          <w:szCs w:val="24"/>
        </w:rPr>
        <w:t>enrichment analyses</w:t>
      </w:r>
    </w:p>
    <w:p w14:paraId="42D88643" w14:textId="1BB5FBE5" w:rsidR="0077666D" w:rsidRDefault="00336E1A" w:rsidP="00902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performed four enrichment analyses to </w:t>
      </w:r>
      <w:r w:rsidR="00B16781">
        <w:rPr>
          <w:rFonts w:ascii="Times New Roman" w:hAnsi="Times New Roman" w:cs="Times New Roman"/>
          <w:sz w:val="24"/>
          <w:szCs w:val="24"/>
        </w:rPr>
        <w:t>identify:</w:t>
      </w:r>
      <w:r w:rsidR="00721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94DC3">
        <w:rPr>
          <w:rFonts w:ascii="Times New Roman" w:hAnsi="Times New Roman" w:cs="Times New Roman"/>
          <w:sz w:val="24"/>
          <w:szCs w:val="24"/>
        </w:rPr>
        <w:t>in which</w:t>
      </w:r>
      <w:r>
        <w:rPr>
          <w:rFonts w:ascii="Times New Roman" w:hAnsi="Times New Roman" w:cs="Times New Roman"/>
          <w:sz w:val="24"/>
          <w:szCs w:val="24"/>
        </w:rPr>
        <w:t xml:space="preserve"> brain dissections</w:t>
      </w:r>
      <w:r w:rsidR="00B16781">
        <w:rPr>
          <w:rFonts w:ascii="Times New Roman" w:hAnsi="Times New Roman" w:cs="Times New Roman"/>
          <w:sz w:val="24"/>
          <w:szCs w:val="24"/>
        </w:rPr>
        <w:t xml:space="preserve"> prioritized genes were highly expressed</w:t>
      </w:r>
      <w:r>
        <w:rPr>
          <w:rFonts w:ascii="Times New Roman" w:hAnsi="Times New Roman" w:cs="Times New Roman"/>
          <w:sz w:val="24"/>
          <w:szCs w:val="24"/>
        </w:rPr>
        <w:t xml:space="preserve">, 2) </w:t>
      </w:r>
      <w:r w:rsidR="00B16781">
        <w:rPr>
          <w:rFonts w:ascii="Times New Roman" w:hAnsi="Times New Roman" w:cs="Times New Roman"/>
          <w:sz w:val="24"/>
          <w:szCs w:val="24"/>
        </w:rPr>
        <w:t>in which brain dissections prioritized genes were lowly expressed</w:t>
      </w:r>
      <w:r w:rsidR="00053577">
        <w:rPr>
          <w:rFonts w:ascii="Times New Roman" w:hAnsi="Times New Roman" w:cs="Times New Roman"/>
          <w:sz w:val="24"/>
          <w:szCs w:val="24"/>
        </w:rPr>
        <w:t xml:space="preserve">, 3) </w:t>
      </w:r>
      <w:r w:rsidR="00B16781">
        <w:rPr>
          <w:rFonts w:ascii="Times New Roman" w:hAnsi="Times New Roman" w:cs="Times New Roman"/>
          <w:sz w:val="24"/>
          <w:szCs w:val="24"/>
        </w:rPr>
        <w:t>in which brain cell types prioritized genes were highly expressed</w:t>
      </w:r>
      <w:r>
        <w:rPr>
          <w:rFonts w:ascii="Times New Roman" w:hAnsi="Times New Roman" w:cs="Times New Roman"/>
          <w:sz w:val="24"/>
          <w:szCs w:val="24"/>
        </w:rPr>
        <w:t xml:space="preserve">, and 4) </w:t>
      </w:r>
      <w:r w:rsidR="00B16781">
        <w:rPr>
          <w:rFonts w:ascii="Times New Roman" w:hAnsi="Times New Roman" w:cs="Times New Roman"/>
          <w:sz w:val="24"/>
          <w:szCs w:val="24"/>
        </w:rPr>
        <w:t>in which brain cell types prioritized genes were lowly expressed</w:t>
      </w:r>
      <w:r>
        <w:rPr>
          <w:rFonts w:ascii="Times New Roman" w:hAnsi="Times New Roman" w:cs="Times New Roman"/>
          <w:sz w:val="24"/>
          <w:szCs w:val="24"/>
        </w:rPr>
        <w:t>. We</w:t>
      </w:r>
      <w:r w:rsidR="00721A01">
        <w:rPr>
          <w:rFonts w:ascii="Times New Roman" w:hAnsi="Times New Roman" w:cs="Times New Roman"/>
          <w:sz w:val="24"/>
          <w:szCs w:val="24"/>
        </w:rPr>
        <w:t xml:space="preserve"> us</w:t>
      </w:r>
      <w:r>
        <w:rPr>
          <w:rFonts w:ascii="Times New Roman" w:hAnsi="Times New Roman" w:cs="Times New Roman"/>
          <w:sz w:val="24"/>
          <w:szCs w:val="24"/>
        </w:rPr>
        <w:t>e</w:t>
      </w:r>
      <w:r w:rsidR="00394DC3">
        <w:rPr>
          <w:rFonts w:ascii="Times New Roman" w:hAnsi="Times New Roman" w:cs="Times New Roman"/>
          <w:sz w:val="24"/>
          <w:szCs w:val="24"/>
        </w:rPr>
        <w:t>d</w:t>
      </w:r>
      <w:r w:rsidR="00721A01">
        <w:rPr>
          <w:rFonts w:ascii="Times New Roman" w:hAnsi="Times New Roman" w:cs="Times New Roman"/>
          <w:sz w:val="24"/>
          <w:szCs w:val="24"/>
        </w:rPr>
        <w:t xml:space="preserve"> the </w:t>
      </w:r>
      <w:r w:rsidR="0015400E" w:rsidRPr="008930E5">
        <w:rPr>
          <w:rFonts w:ascii="Times New Roman" w:hAnsi="Times New Roman" w:cs="Times New Roman"/>
          <w:sz w:val="24"/>
          <w:szCs w:val="24"/>
        </w:rPr>
        <w:t>single-</w:t>
      </w:r>
      <w:r w:rsidR="001F28B6">
        <w:rPr>
          <w:rFonts w:ascii="Times New Roman" w:hAnsi="Times New Roman" w:cs="Times New Roman"/>
          <w:sz w:val="24"/>
          <w:szCs w:val="24"/>
        </w:rPr>
        <w:t>cell</w:t>
      </w:r>
      <w:r w:rsidR="0015400E" w:rsidRPr="008930E5">
        <w:rPr>
          <w:rFonts w:ascii="Times New Roman" w:hAnsi="Times New Roman" w:cs="Times New Roman"/>
          <w:sz w:val="24"/>
          <w:szCs w:val="24"/>
        </w:rPr>
        <w:t xml:space="preserve"> RNA sequencing</w:t>
      </w:r>
      <w:r w:rsidR="0015400E">
        <w:rPr>
          <w:rFonts w:ascii="Times New Roman" w:hAnsi="Times New Roman" w:cs="Times New Roman"/>
          <w:sz w:val="24"/>
          <w:szCs w:val="24"/>
        </w:rPr>
        <w:t xml:space="preserve"> </w:t>
      </w:r>
      <w:r w:rsidR="00BB05EA">
        <w:rPr>
          <w:rFonts w:ascii="Times New Roman" w:hAnsi="Times New Roman" w:cs="Times New Roman"/>
          <w:sz w:val="24"/>
          <w:szCs w:val="24"/>
        </w:rPr>
        <w:t xml:space="preserve">data </w:t>
      </w:r>
      <w:r w:rsidR="0015400E">
        <w:rPr>
          <w:rFonts w:ascii="Times New Roman" w:hAnsi="Times New Roman" w:cs="Times New Roman"/>
          <w:sz w:val="24"/>
          <w:szCs w:val="24"/>
        </w:rPr>
        <w:t xml:space="preserve">from </w:t>
      </w:r>
      <w:r w:rsidR="00F20604">
        <w:rPr>
          <w:rFonts w:ascii="Times New Roman" w:hAnsi="Times New Roman" w:cs="Times New Roman"/>
          <w:sz w:val="24"/>
          <w:szCs w:val="24"/>
        </w:rPr>
        <w:t>105 dissections and 461 cell types generated by t</w:t>
      </w:r>
      <w:r w:rsidR="0015400E">
        <w:rPr>
          <w:rFonts w:ascii="Times New Roman" w:hAnsi="Times New Roman" w:cs="Times New Roman"/>
          <w:sz w:val="24"/>
          <w:szCs w:val="24"/>
        </w:rPr>
        <w:t>he BRAIN Initiative cell census network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20</w:t>
      </w:r>
      <w:r>
        <w:rPr>
          <w:rFonts w:ascii="Times New Roman" w:hAnsi="Times New Roman" w:cs="Times New Roman"/>
          <w:sz w:val="24"/>
          <w:szCs w:val="24"/>
        </w:rPr>
        <w:t>; and t</w:t>
      </w:r>
      <w:r w:rsidR="00BF43F8">
        <w:rPr>
          <w:rFonts w:ascii="Times New Roman" w:hAnsi="Times New Roman" w:cs="Times New Roman"/>
          <w:sz w:val="24"/>
          <w:szCs w:val="24"/>
        </w:rPr>
        <w:t xml:space="preserve">o be consistent with the original publication, we used the same naming system. </w:t>
      </w:r>
      <w:r>
        <w:rPr>
          <w:rFonts w:ascii="Times New Roman" w:hAnsi="Times New Roman" w:cs="Times New Roman"/>
          <w:sz w:val="24"/>
          <w:szCs w:val="24"/>
        </w:rPr>
        <w:t>For the first enrichment analysis, f</w:t>
      </w:r>
      <w:r w:rsidR="009025F4">
        <w:rPr>
          <w:rFonts w:ascii="Times New Roman" w:hAnsi="Times New Roman" w:cs="Times New Roman"/>
          <w:sz w:val="24"/>
          <w:szCs w:val="24"/>
        </w:rPr>
        <w:t xml:space="preserve">or each gene, we </w:t>
      </w:r>
      <w:r w:rsidR="000E259F">
        <w:rPr>
          <w:rFonts w:ascii="Times New Roman" w:hAnsi="Times New Roman" w:cs="Times New Roman"/>
          <w:sz w:val="24"/>
          <w:szCs w:val="24"/>
        </w:rPr>
        <w:t xml:space="preserve">calculated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E259F">
        <w:rPr>
          <w:rFonts w:ascii="Times New Roman" w:hAnsi="Times New Roman" w:cs="Times New Roman"/>
          <w:sz w:val="24"/>
          <w:szCs w:val="24"/>
        </w:rPr>
        <w:t xml:space="preserve">mean </w:t>
      </w:r>
      <w:r w:rsidR="00CD40A8">
        <w:rPr>
          <w:rFonts w:ascii="Times New Roman" w:hAnsi="Times New Roman" w:cs="Times New Roman"/>
          <w:sz w:val="24"/>
          <w:szCs w:val="24"/>
        </w:rPr>
        <w:t xml:space="preserve">and standard error </w:t>
      </w:r>
      <w:r w:rsidR="00394DC3">
        <w:rPr>
          <w:rFonts w:ascii="Times New Roman" w:hAnsi="Times New Roman" w:cs="Times New Roman"/>
          <w:sz w:val="24"/>
          <w:szCs w:val="24"/>
        </w:rPr>
        <w:t xml:space="preserve">(SE) </w:t>
      </w:r>
      <w:r w:rsidR="00CD40A8">
        <w:rPr>
          <w:rFonts w:ascii="Times New Roman" w:hAnsi="Times New Roman" w:cs="Times New Roman"/>
          <w:sz w:val="24"/>
          <w:szCs w:val="24"/>
        </w:rPr>
        <w:t xml:space="preserve">of </w:t>
      </w:r>
      <w:r w:rsidR="00394DC3">
        <w:rPr>
          <w:rFonts w:ascii="Times New Roman" w:hAnsi="Times New Roman" w:cs="Times New Roman"/>
          <w:sz w:val="24"/>
          <w:szCs w:val="24"/>
        </w:rPr>
        <w:t xml:space="preserve">RNA </w:t>
      </w:r>
      <w:r w:rsidR="000E259F">
        <w:rPr>
          <w:rFonts w:ascii="Times New Roman" w:hAnsi="Times New Roman" w:cs="Times New Roman"/>
          <w:sz w:val="24"/>
          <w:szCs w:val="24"/>
        </w:rPr>
        <w:t>expression</w:t>
      </w:r>
      <w:r w:rsidR="004C6A05">
        <w:rPr>
          <w:rFonts w:ascii="Times New Roman" w:hAnsi="Times New Roman" w:cs="Times New Roman"/>
          <w:sz w:val="24"/>
          <w:szCs w:val="24"/>
        </w:rPr>
        <w:t xml:space="preserve"> </w:t>
      </w:r>
      <w:r w:rsidR="00721A01">
        <w:rPr>
          <w:rFonts w:ascii="Times New Roman" w:hAnsi="Times New Roman" w:cs="Times New Roman"/>
          <w:sz w:val="24"/>
          <w:szCs w:val="24"/>
        </w:rPr>
        <w:t xml:space="preserve">across </w:t>
      </w:r>
      <w:r w:rsidR="006875EA">
        <w:rPr>
          <w:rFonts w:ascii="Times New Roman" w:hAnsi="Times New Roman" w:cs="Times New Roman"/>
          <w:sz w:val="24"/>
          <w:szCs w:val="24"/>
        </w:rPr>
        <w:t>all</w:t>
      </w:r>
      <w:r w:rsidR="000E259F">
        <w:rPr>
          <w:rFonts w:ascii="Times New Roman" w:hAnsi="Times New Roman" w:cs="Times New Roman"/>
          <w:sz w:val="24"/>
          <w:szCs w:val="24"/>
        </w:rPr>
        <w:t xml:space="preserve"> dissections</w:t>
      </w:r>
      <w:r w:rsidR="006875EA">
        <w:rPr>
          <w:rFonts w:ascii="Times New Roman" w:hAnsi="Times New Roman" w:cs="Times New Roman"/>
          <w:sz w:val="24"/>
          <w:szCs w:val="24"/>
        </w:rPr>
        <w:t>; t</w:t>
      </w:r>
      <w:r w:rsidR="000E259F">
        <w:rPr>
          <w:rFonts w:ascii="Times New Roman" w:hAnsi="Times New Roman" w:cs="Times New Roman"/>
          <w:sz w:val="24"/>
          <w:szCs w:val="24"/>
        </w:rPr>
        <w:t xml:space="preserve">hen we </w:t>
      </w:r>
      <w:r w:rsidR="009025F4">
        <w:rPr>
          <w:rFonts w:ascii="Times New Roman" w:hAnsi="Times New Roman" w:cs="Times New Roman"/>
          <w:sz w:val="24"/>
          <w:szCs w:val="24"/>
        </w:rPr>
        <w:t xml:space="preserve">tested whether </w:t>
      </w:r>
      <w:r w:rsidR="004C6A05">
        <w:rPr>
          <w:rFonts w:ascii="Times New Roman" w:hAnsi="Times New Roman" w:cs="Times New Roman"/>
          <w:sz w:val="24"/>
          <w:szCs w:val="24"/>
        </w:rPr>
        <w:t xml:space="preserve">the expression of </w:t>
      </w:r>
      <w:r w:rsidR="006875EA">
        <w:rPr>
          <w:rFonts w:ascii="Times New Roman" w:hAnsi="Times New Roman" w:cs="Times New Roman"/>
          <w:sz w:val="24"/>
          <w:szCs w:val="24"/>
        </w:rPr>
        <w:t>th</w:t>
      </w:r>
      <w:r w:rsidR="00394DC3">
        <w:rPr>
          <w:rFonts w:ascii="Times New Roman" w:hAnsi="Times New Roman" w:cs="Times New Roman"/>
          <w:sz w:val="24"/>
          <w:szCs w:val="24"/>
        </w:rPr>
        <w:t>at</w:t>
      </w:r>
      <w:r w:rsidR="000E259F">
        <w:rPr>
          <w:rFonts w:ascii="Times New Roman" w:hAnsi="Times New Roman" w:cs="Times New Roman"/>
          <w:sz w:val="24"/>
          <w:szCs w:val="24"/>
        </w:rPr>
        <w:t xml:space="preserve"> gene</w:t>
      </w:r>
      <w:r w:rsidR="009025F4">
        <w:rPr>
          <w:rFonts w:ascii="Times New Roman" w:hAnsi="Times New Roman" w:cs="Times New Roman"/>
          <w:sz w:val="24"/>
          <w:szCs w:val="24"/>
        </w:rPr>
        <w:t xml:space="preserve"> </w:t>
      </w:r>
      <w:r w:rsidR="006875EA">
        <w:rPr>
          <w:rFonts w:ascii="Times New Roman" w:hAnsi="Times New Roman" w:cs="Times New Roman"/>
          <w:sz w:val="24"/>
          <w:szCs w:val="24"/>
        </w:rPr>
        <w:t xml:space="preserve">in a particular dissection </w:t>
      </w:r>
      <w:r w:rsidR="004C6A05">
        <w:rPr>
          <w:rFonts w:ascii="Times New Roman" w:hAnsi="Times New Roman" w:cs="Times New Roman"/>
          <w:sz w:val="24"/>
          <w:szCs w:val="24"/>
        </w:rPr>
        <w:t xml:space="preserve">was </w:t>
      </w:r>
      <w:r w:rsidR="009025F4">
        <w:rPr>
          <w:rFonts w:ascii="Times New Roman" w:hAnsi="Times New Roman" w:cs="Times New Roman"/>
          <w:sz w:val="24"/>
          <w:szCs w:val="24"/>
        </w:rPr>
        <w:t>significantly</w:t>
      </w:r>
      <w:r w:rsidR="00032B7F">
        <w:rPr>
          <w:rFonts w:ascii="Times New Roman" w:hAnsi="Times New Roman" w:cs="Times New Roman"/>
          <w:sz w:val="24"/>
          <w:szCs w:val="24"/>
        </w:rPr>
        <w:t xml:space="preserve"> </w:t>
      </w:r>
      <w:r w:rsidR="009025F4">
        <w:rPr>
          <w:rFonts w:ascii="Times New Roman" w:hAnsi="Times New Roman" w:cs="Times New Roman"/>
          <w:sz w:val="24"/>
          <w:szCs w:val="24"/>
        </w:rPr>
        <w:t xml:space="preserve">higher </w:t>
      </w:r>
      <w:r w:rsidR="004C6A05">
        <w:rPr>
          <w:rFonts w:ascii="Times New Roman" w:hAnsi="Times New Roman" w:cs="Times New Roman"/>
          <w:sz w:val="24"/>
          <w:szCs w:val="24"/>
        </w:rPr>
        <w:t xml:space="preserve">than the mean </w:t>
      </w:r>
      <w:r w:rsidR="006875EA">
        <w:rPr>
          <w:rFonts w:ascii="Times New Roman" w:hAnsi="Times New Roman" w:cs="Times New Roman"/>
          <w:sz w:val="24"/>
          <w:szCs w:val="24"/>
        </w:rPr>
        <w:t xml:space="preserve">expression </w:t>
      </w:r>
      <w:r w:rsidR="004C6A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&gt;</w:t>
      </w:r>
      <w:r w:rsidR="00EA28A3">
        <w:rPr>
          <w:rFonts w:ascii="Times New Roman" w:hAnsi="Times New Roman" w:cs="Times New Roman"/>
          <w:sz w:val="24"/>
          <w:szCs w:val="24"/>
        </w:rPr>
        <w:t xml:space="preserve">mean </w:t>
      </w:r>
      <w:r>
        <w:rPr>
          <w:rFonts w:ascii="Times New Roman" w:hAnsi="Times New Roman" w:cs="Times New Roman"/>
          <w:sz w:val="24"/>
          <w:szCs w:val="24"/>
        </w:rPr>
        <w:t>+</w:t>
      </w:r>
      <w:r w:rsidR="00EA28A3">
        <w:rPr>
          <w:rFonts w:ascii="Times New Roman" w:hAnsi="Times New Roman" w:cs="Times New Roman"/>
          <w:sz w:val="24"/>
          <w:szCs w:val="24"/>
        </w:rPr>
        <w:t xml:space="preserve"> 1.645*SE; α=0.05)</w:t>
      </w:r>
      <w:r w:rsidR="00053577">
        <w:rPr>
          <w:rFonts w:ascii="Times New Roman" w:hAnsi="Times New Roman" w:cs="Times New Roman"/>
          <w:sz w:val="24"/>
          <w:szCs w:val="24"/>
        </w:rPr>
        <w:t>. Each gene in each dissection was labeled as either high</w:t>
      </w:r>
      <w:r w:rsidR="00394DC3">
        <w:rPr>
          <w:rFonts w:ascii="Times New Roman" w:hAnsi="Times New Roman" w:cs="Times New Roman"/>
          <w:sz w:val="24"/>
          <w:szCs w:val="24"/>
        </w:rPr>
        <w:t>ly</w:t>
      </w:r>
      <w:r w:rsidR="00053577">
        <w:rPr>
          <w:rFonts w:ascii="Times New Roman" w:hAnsi="Times New Roman" w:cs="Times New Roman"/>
          <w:sz w:val="24"/>
          <w:szCs w:val="24"/>
        </w:rPr>
        <w:t xml:space="preserve"> or not </w:t>
      </w:r>
      <w:r w:rsidR="00394DC3">
        <w:rPr>
          <w:rFonts w:ascii="Times New Roman" w:hAnsi="Times New Roman" w:cs="Times New Roman"/>
          <w:sz w:val="24"/>
          <w:szCs w:val="24"/>
        </w:rPr>
        <w:t xml:space="preserve">highly </w:t>
      </w:r>
      <w:r w:rsidR="00053577">
        <w:rPr>
          <w:rFonts w:ascii="Times New Roman" w:hAnsi="Times New Roman" w:cs="Times New Roman"/>
          <w:sz w:val="24"/>
          <w:szCs w:val="24"/>
        </w:rPr>
        <w:t xml:space="preserve">expressed. </w:t>
      </w:r>
      <w:r w:rsidR="009025F4">
        <w:rPr>
          <w:rFonts w:ascii="Times New Roman" w:hAnsi="Times New Roman" w:cs="Times New Roman"/>
          <w:sz w:val="24"/>
          <w:szCs w:val="24"/>
        </w:rPr>
        <w:t>Then</w:t>
      </w:r>
      <w:r w:rsidR="00053577">
        <w:rPr>
          <w:rFonts w:ascii="Times New Roman" w:hAnsi="Times New Roman" w:cs="Times New Roman"/>
          <w:sz w:val="24"/>
          <w:szCs w:val="24"/>
        </w:rPr>
        <w:t>, f</w:t>
      </w:r>
      <w:r w:rsidR="009025F4">
        <w:rPr>
          <w:rFonts w:ascii="Times New Roman" w:hAnsi="Times New Roman" w:cs="Times New Roman"/>
          <w:sz w:val="24"/>
          <w:szCs w:val="24"/>
        </w:rPr>
        <w:t>or</w:t>
      </w:r>
      <w:r w:rsidR="00EA28A3">
        <w:rPr>
          <w:rFonts w:ascii="Times New Roman" w:hAnsi="Times New Roman" w:cs="Times New Roman"/>
          <w:sz w:val="24"/>
          <w:szCs w:val="24"/>
        </w:rPr>
        <w:t xml:space="preserve"> </w:t>
      </w:r>
      <w:r w:rsidR="009025F4">
        <w:rPr>
          <w:rFonts w:ascii="Times New Roman" w:hAnsi="Times New Roman" w:cs="Times New Roman"/>
          <w:sz w:val="24"/>
          <w:szCs w:val="24"/>
        </w:rPr>
        <w:t>each dissection</w:t>
      </w:r>
      <w:r w:rsidR="00053577">
        <w:rPr>
          <w:rFonts w:ascii="Times New Roman" w:hAnsi="Times New Roman" w:cs="Times New Roman"/>
          <w:sz w:val="24"/>
          <w:szCs w:val="24"/>
        </w:rPr>
        <w:t xml:space="preserve">, </w:t>
      </w:r>
      <w:r w:rsidR="009025F4">
        <w:rPr>
          <w:rFonts w:ascii="Times New Roman" w:hAnsi="Times New Roman" w:cs="Times New Roman"/>
          <w:sz w:val="24"/>
          <w:szCs w:val="24"/>
        </w:rPr>
        <w:t>we tested whether the frequenc</w:t>
      </w:r>
      <w:r w:rsidR="00394DC3">
        <w:rPr>
          <w:rFonts w:ascii="Times New Roman" w:hAnsi="Times New Roman" w:cs="Times New Roman"/>
          <w:sz w:val="24"/>
          <w:szCs w:val="24"/>
        </w:rPr>
        <w:t>y</w:t>
      </w:r>
      <w:r w:rsidR="009025F4">
        <w:rPr>
          <w:rFonts w:ascii="Times New Roman" w:hAnsi="Times New Roman" w:cs="Times New Roman"/>
          <w:sz w:val="24"/>
          <w:szCs w:val="24"/>
        </w:rPr>
        <w:t xml:space="preserve"> of high</w:t>
      </w:r>
      <w:r w:rsidR="00394DC3">
        <w:rPr>
          <w:rFonts w:ascii="Times New Roman" w:hAnsi="Times New Roman" w:cs="Times New Roman"/>
          <w:sz w:val="24"/>
          <w:szCs w:val="24"/>
        </w:rPr>
        <w:t>ly expressed p</w:t>
      </w:r>
      <w:r w:rsidR="009025F4">
        <w:rPr>
          <w:rFonts w:ascii="Times New Roman" w:hAnsi="Times New Roman" w:cs="Times New Roman"/>
          <w:sz w:val="24"/>
          <w:szCs w:val="24"/>
        </w:rPr>
        <w:t xml:space="preserve">rioritized genes was significantly </w:t>
      </w:r>
      <w:r w:rsidR="00EA28A3">
        <w:rPr>
          <w:rFonts w:ascii="Times New Roman" w:hAnsi="Times New Roman" w:cs="Times New Roman"/>
          <w:sz w:val="24"/>
          <w:szCs w:val="24"/>
        </w:rPr>
        <w:t xml:space="preserve">greater </w:t>
      </w:r>
      <w:r w:rsidR="00D825C0">
        <w:rPr>
          <w:rFonts w:ascii="Times New Roman" w:hAnsi="Times New Roman" w:cs="Times New Roman"/>
          <w:sz w:val="24"/>
          <w:szCs w:val="24"/>
        </w:rPr>
        <w:t xml:space="preserve">than </w:t>
      </w:r>
      <w:r w:rsidR="00394DC3">
        <w:rPr>
          <w:rFonts w:ascii="Times New Roman" w:hAnsi="Times New Roman" w:cs="Times New Roman"/>
          <w:sz w:val="24"/>
          <w:szCs w:val="24"/>
        </w:rPr>
        <w:t xml:space="preserve">the frequency </w:t>
      </w:r>
      <w:r w:rsidR="00934D29">
        <w:rPr>
          <w:rFonts w:ascii="Times New Roman" w:hAnsi="Times New Roman" w:cs="Times New Roman"/>
          <w:sz w:val="24"/>
          <w:szCs w:val="24"/>
        </w:rPr>
        <w:t xml:space="preserve">in </w:t>
      </w:r>
      <w:r w:rsidR="00694920">
        <w:rPr>
          <w:rFonts w:ascii="Times New Roman" w:hAnsi="Times New Roman" w:cs="Times New Roman"/>
          <w:sz w:val="24"/>
          <w:szCs w:val="24"/>
        </w:rPr>
        <w:t>all other</w:t>
      </w:r>
      <w:r w:rsidR="00EA28A3">
        <w:rPr>
          <w:rFonts w:ascii="Times New Roman" w:hAnsi="Times New Roman" w:cs="Times New Roman"/>
          <w:sz w:val="24"/>
          <w:szCs w:val="24"/>
        </w:rPr>
        <w:t xml:space="preserve"> </w:t>
      </w:r>
      <w:r w:rsidR="009025F4">
        <w:rPr>
          <w:rFonts w:ascii="Times New Roman" w:hAnsi="Times New Roman" w:cs="Times New Roman"/>
          <w:sz w:val="24"/>
          <w:szCs w:val="24"/>
        </w:rPr>
        <w:t xml:space="preserve">genes using </w:t>
      </w:r>
      <w:r w:rsidR="00934D29">
        <w:rPr>
          <w:rFonts w:ascii="Times New Roman" w:hAnsi="Times New Roman" w:cs="Times New Roman"/>
          <w:sz w:val="24"/>
          <w:szCs w:val="24"/>
        </w:rPr>
        <w:t xml:space="preserve">the </w:t>
      </w:r>
      <w:r w:rsidR="009025F4">
        <w:rPr>
          <w:rFonts w:ascii="Times New Roman" w:hAnsi="Times New Roman" w:cs="Times New Roman"/>
          <w:sz w:val="24"/>
          <w:szCs w:val="24"/>
        </w:rPr>
        <w:t xml:space="preserve">Fisher’s exact test. </w:t>
      </w:r>
      <w:r w:rsidR="00AD0A5C" w:rsidRPr="00AD0A5C">
        <w:rPr>
          <w:rFonts w:ascii="Times New Roman" w:hAnsi="Times New Roman" w:cs="Times New Roman"/>
          <w:sz w:val="24"/>
          <w:szCs w:val="24"/>
        </w:rPr>
        <w:t>Benjamini</w:t>
      </w:r>
      <w:r w:rsidR="00AD0A5C">
        <w:rPr>
          <w:rFonts w:ascii="Times New Roman" w:hAnsi="Times New Roman" w:cs="Times New Roman"/>
          <w:sz w:val="24"/>
          <w:szCs w:val="24"/>
        </w:rPr>
        <w:t>-</w:t>
      </w:r>
      <w:r w:rsidR="00AD0A5C" w:rsidRPr="00AD0A5C">
        <w:rPr>
          <w:rFonts w:ascii="Times New Roman" w:hAnsi="Times New Roman" w:cs="Times New Roman"/>
          <w:sz w:val="24"/>
          <w:szCs w:val="24"/>
        </w:rPr>
        <w:t xml:space="preserve">Hochberg </w:t>
      </w:r>
      <w:r w:rsidR="00AD0A5C">
        <w:rPr>
          <w:rFonts w:ascii="Times New Roman" w:hAnsi="Times New Roman" w:cs="Times New Roman"/>
          <w:sz w:val="24"/>
          <w:szCs w:val="24"/>
        </w:rPr>
        <w:t>false discover</w:t>
      </w:r>
      <w:r w:rsidR="009B27E4">
        <w:rPr>
          <w:rFonts w:ascii="Times New Roman" w:hAnsi="Times New Roman" w:cs="Times New Roman"/>
          <w:sz w:val="24"/>
          <w:szCs w:val="24"/>
        </w:rPr>
        <w:t>y</w:t>
      </w:r>
      <w:r w:rsidR="00AD0A5C">
        <w:rPr>
          <w:rFonts w:ascii="Times New Roman" w:hAnsi="Times New Roman" w:cs="Times New Roman"/>
          <w:sz w:val="24"/>
          <w:szCs w:val="24"/>
        </w:rPr>
        <w:t xml:space="preserve"> rate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21</w:t>
      </w:r>
      <w:r w:rsidR="00AD0A5C">
        <w:rPr>
          <w:rFonts w:ascii="Times New Roman" w:hAnsi="Times New Roman" w:cs="Times New Roman"/>
          <w:sz w:val="24"/>
          <w:szCs w:val="24"/>
        </w:rPr>
        <w:t xml:space="preserve"> was used to correct for multiple testing.</w:t>
      </w:r>
      <w:r w:rsidR="00053577">
        <w:rPr>
          <w:rFonts w:ascii="Times New Roman" w:hAnsi="Times New Roman" w:cs="Times New Roman"/>
          <w:sz w:val="24"/>
          <w:szCs w:val="24"/>
        </w:rPr>
        <w:t xml:space="preserve"> The same procedure was performed in the second enrichment analysis except we tested whether the gene expression was significantly lower than the mean expression (&lt;mean - 1.645*SE; α=0.05). The other two enrichment analyses used the same procedure but were testing cell types.</w:t>
      </w:r>
      <w:r w:rsidR="00555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97C84" w14:textId="57C1EC56" w:rsidR="000A71B8" w:rsidRDefault="00BF79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45E3">
        <w:rPr>
          <w:rFonts w:ascii="Times New Roman" w:hAnsi="Times New Roman" w:cs="Times New Roman"/>
          <w:b/>
          <w:bCs/>
          <w:sz w:val="24"/>
          <w:szCs w:val="24"/>
        </w:rPr>
        <w:t xml:space="preserve">Heritability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estimation and </w:t>
      </w:r>
      <w:r w:rsidR="00A20083">
        <w:rPr>
          <w:rFonts w:ascii="Times New Roman" w:hAnsi="Times New Roman" w:cs="Times New Roman"/>
          <w:b/>
          <w:bCs/>
          <w:sz w:val="24"/>
          <w:szCs w:val="24"/>
        </w:rPr>
        <w:t xml:space="preserve">calculating </w:t>
      </w:r>
      <w:r w:rsidR="00430667">
        <w:rPr>
          <w:rFonts w:ascii="Times New Roman" w:hAnsi="Times New Roman" w:cs="Times New Roman"/>
          <w:b/>
          <w:bCs/>
          <w:sz w:val="24"/>
          <w:szCs w:val="24"/>
        </w:rPr>
        <w:t xml:space="preserve">heritability explained by </w:t>
      </w:r>
      <w:r w:rsidR="00694920">
        <w:rPr>
          <w:rFonts w:ascii="Times New Roman" w:hAnsi="Times New Roman" w:cs="Times New Roman"/>
          <w:b/>
          <w:bCs/>
          <w:sz w:val="24"/>
          <w:szCs w:val="24"/>
        </w:rPr>
        <w:t>SUD-</w:t>
      </w:r>
      <w:r w:rsidR="00430667">
        <w:rPr>
          <w:rFonts w:ascii="Times New Roman" w:hAnsi="Times New Roman" w:cs="Times New Roman"/>
          <w:b/>
          <w:bCs/>
          <w:sz w:val="24"/>
          <w:szCs w:val="24"/>
        </w:rPr>
        <w:t>concordant variants</w:t>
      </w:r>
    </w:p>
    <w:p w14:paraId="69A6FE4B" w14:textId="187B0EFB" w:rsidR="002B3281" w:rsidRDefault="00321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calculated </w:t>
      </w:r>
      <w:r w:rsidR="00402D13">
        <w:rPr>
          <w:rFonts w:ascii="Times New Roman" w:hAnsi="Times New Roman" w:cs="Times New Roman"/>
          <w:sz w:val="24"/>
          <w:szCs w:val="24"/>
        </w:rPr>
        <w:t>heritability using LDSc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22,23</w:t>
      </w:r>
      <w:r w:rsidR="00402D13">
        <w:rPr>
          <w:rFonts w:ascii="Times New Roman" w:hAnsi="Times New Roman" w:cs="Times New Roman"/>
          <w:sz w:val="24"/>
          <w:szCs w:val="24"/>
        </w:rPr>
        <w:t xml:space="preserve"> model implemented in </w:t>
      </w:r>
      <w:r w:rsidR="00F24AEC">
        <w:rPr>
          <w:rFonts w:ascii="Times New Roman" w:hAnsi="Times New Roman" w:cs="Times New Roman"/>
          <w:sz w:val="24"/>
          <w:szCs w:val="24"/>
        </w:rPr>
        <w:t>LDAK (v5.2</w:t>
      </w:r>
      <w:r w:rsidR="00934D29">
        <w:rPr>
          <w:rFonts w:ascii="Times New Roman" w:hAnsi="Times New Roman" w:cs="Times New Roman"/>
          <w:sz w:val="24"/>
          <w:szCs w:val="24"/>
        </w:rPr>
        <w:t>)</w:t>
      </w:r>
      <w:r w:rsidR="008F21F0" w:rsidRPr="008F21F0">
        <w:rPr>
          <w:rFonts w:ascii="Times New Roman" w:hAnsi="Times New Roman" w:cs="Times New Roman"/>
          <w:noProof/>
          <w:sz w:val="24"/>
          <w:szCs w:val="24"/>
          <w:vertAlign w:val="superscript"/>
        </w:rPr>
        <w:t>24,25</w:t>
      </w:r>
      <w:r w:rsidR="006D769D">
        <w:rPr>
          <w:rFonts w:ascii="Times New Roman" w:hAnsi="Times New Roman" w:cs="Times New Roman"/>
          <w:sz w:val="24"/>
          <w:szCs w:val="24"/>
        </w:rPr>
        <w:t>.</w:t>
      </w:r>
      <w:r w:rsidR="0055576A">
        <w:rPr>
          <w:rFonts w:ascii="Times New Roman" w:hAnsi="Times New Roman" w:cs="Times New Roman"/>
          <w:sz w:val="24"/>
          <w:szCs w:val="24"/>
        </w:rPr>
        <w:t xml:space="preserve"> </w:t>
      </w:r>
      <w:r w:rsidR="00430667">
        <w:rPr>
          <w:rFonts w:ascii="Times New Roman" w:hAnsi="Times New Roman" w:cs="Times New Roman"/>
          <w:sz w:val="24"/>
          <w:szCs w:val="24"/>
        </w:rPr>
        <w:t xml:space="preserve">SNP heritability </w:t>
      </w:r>
      <w:r w:rsidR="00173CBF">
        <w:rPr>
          <w:rFonts w:ascii="Times New Roman" w:hAnsi="Times New Roman" w:cs="Times New Roman"/>
          <w:sz w:val="24"/>
          <w:szCs w:val="24"/>
        </w:rPr>
        <w:t xml:space="preserve">was </w:t>
      </w:r>
      <w:r w:rsidR="00430667">
        <w:rPr>
          <w:rFonts w:ascii="Times New Roman" w:hAnsi="Times New Roman" w:cs="Times New Roman"/>
          <w:sz w:val="24"/>
          <w:szCs w:val="24"/>
        </w:rPr>
        <w:t xml:space="preserve">estimated </w:t>
      </w:r>
      <w:r w:rsidR="00173CBF">
        <w:rPr>
          <w:rFonts w:ascii="Times New Roman" w:hAnsi="Times New Roman" w:cs="Times New Roman"/>
          <w:sz w:val="24"/>
          <w:szCs w:val="24"/>
        </w:rPr>
        <w:t xml:space="preserve">on </w:t>
      </w:r>
      <w:r w:rsidR="00430667">
        <w:rPr>
          <w:rFonts w:ascii="Times New Roman" w:hAnsi="Times New Roman" w:cs="Times New Roman"/>
          <w:sz w:val="24"/>
          <w:szCs w:val="24"/>
        </w:rPr>
        <w:t xml:space="preserve">the observed scale. </w:t>
      </w:r>
      <w:r w:rsidR="006D769D">
        <w:rPr>
          <w:rFonts w:ascii="Times New Roman" w:hAnsi="Times New Roman" w:cs="Times New Roman"/>
          <w:sz w:val="24"/>
          <w:szCs w:val="24"/>
        </w:rPr>
        <w:t xml:space="preserve">We limited the heritability estimation to </w:t>
      </w:r>
      <w:r w:rsidR="00934D29">
        <w:rPr>
          <w:rFonts w:ascii="Times New Roman" w:hAnsi="Times New Roman" w:cs="Times New Roman"/>
          <w:sz w:val="24"/>
          <w:szCs w:val="24"/>
        </w:rPr>
        <w:t xml:space="preserve">EA </w:t>
      </w:r>
      <w:r w:rsidR="00DF6D72">
        <w:rPr>
          <w:rFonts w:ascii="Times New Roman" w:hAnsi="Times New Roman" w:cs="Times New Roman"/>
          <w:sz w:val="24"/>
          <w:szCs w:val="24"/>
        </w:rPr>
        <w:t>s</w:t>
      </w:r>
      <w:r w:rsidR="00934D29">
        <w:rPr>
          <w:rFonts w:ascii="Times New Roman" w:hAnsi="Times New Roman" w:cs="Times New Roman"/>
          <w:sz w:val="24"/>
          <w:szCs w:val="24"/>
        </w:rPr>
        <w:t>amples</w:t>
      </w:r>
      <w:r w:rsidR="00DF6D72">
        <w:rPr>
          <w:rFonts w:ascii="Times New Roman" w:hAnsi="Times New Roman" w:cs="Times New Roman"/>
          <w:sz w:val="24"/>
          <w:szCs w:val="24"/>
        </w:rPr>
        <w:t xml:space="preserve"> due to the lack of access to individual level data f</w:t>
      </w:r>
      <w:r w:rsidR="006D769D">
        <w:rPr>
          <w:rFonts w:ascii="Times New Roman" w:hAnsi="Times New Roman" w:cs="Times New Roman"/>
          <w:sz w:val="24"/>
          <w:szCs w:val="24"/>
        </w:rPr>
        <w:t>or AA and LA</w:t>
      </w:r>
      <w:r w:rsidR="00DF6D72">
        <w:rPr>
          <w:rFonts w:ascii="Times New Roman" w:hAnsi="Times New Roman" w:cs="Times New Roman"/>
          <w:sz w:val="24"/>
          <w:szCs w:val="24"/>
        </w:rPr>
        <w:t xml:space="preserve"> </w:t>
      </w:r>
      <w:r w:rsidR="00934D29">
        <w:rPr>
          <w:rFonts w:ascii="Times New Roman" w:hAnsi="Times New Roman" w:cs="Times New Roman"/>
          <w:sz w:val="24"/>
          <w:szCs w:val="24"/>
        </w:rPr>
        <w:t>samples</w:t>
      </w:r>
      <w:r w:rsidR="00DF6D72">
        <w:rPr>
          <w:rFonts w:ascii="Times New Roman" w:hAnsi="Times New Roman" w:cs="Times New Roman"/>
          <w:sz w:val="24"/>
          <w:szCs w:val="24"/>
        </w:rPr>
        <w:t xml:space="preserve"> to estimate LD</w:t>
      </w:r>
      <w:r w:rsidR="00686E38">
        <w:rPr>
          <w:rFonts w:ascii="Times New Roman" w:hAnsi="Times New Roman" w:cs="Times New Roman"/>
          <w:sz w:val="24"/>
          <w:szCs w:val="24"/>
        </w:rPr>
        <w:t xml:space="preserve"> patterns. </w:t>
      </w:r>
      <w:r w:rsidR="00D46B9A">
        <w:rPr>
          <w:rFonts w:ascii="Times New Roman" w:hAnsi="Times New Roman" w:cs="Times New Roman"/>
          <w:sz w:val="24"/>
          <w:szCs w:val="24"/>
        </w:rPr>
        <w:t xml:space="preserve">Although </w:t>
      </w:r>
      <w:r w:rsidR="00AC0743">
        <w:rPr>
          <w:rFonts w:ascii="Times New Roman" w:hAnsi="Times New Roman" w:cs="Times New Roman"/>
          <w:sz w:val="24"/>
          <w:szCs w:val="24"/>
        </w:rPr>
        <w:t xml:space="preserve">publicly available reference </w:t>
      </w:r>
      <w:r w:rsidR="00934D29">
        <w:rPr>
          <w:rFonts w:ascii="Times New Roman" w:hAnsi="Times New Roman" w:cs="Times New Roman"/>
          <w:sz w:val="24"/>
          <w:szCs w:val="24"/>
        </w:rPr>
        <w:t>panels</w:t>
      </w:r>
      <w:r w:rsidR="00AC0743">
        <w:rPr>
          <w:rFonts w:ascii="Times New Roman" w:hAnsi="Times New Roman" w:cs="Times New Roman"/>
          <w:sz w:val="24"/>
          <w:szCs w:val="24"/>
        </w:rPr>
        <w:t xml:space="preserve"> for </w:t>
      </w:r>
      <w:r w:rsidR="00934D29">
        <w:rPr>
          <w:rFonts w:ascii="Times New Roman" w:hAnsi="Times New Roman" w:cs="Times New Roman"/>
          <w:sz w:val="24"/>
          <w:szCs w:val="24"/>
        </w:rPr>
        <w:t>AA and LA samples</w:t>
      </w:r>
      <w:r w:rsidR="00AC0743">
        <w:rPr>
          <w:rFonts w:ascii="Times New Roman" w:hAnsi="Times New Roman" w:cs="Times New Roman"/>
          <w:sz w:val="24"/>
          <w:szCs w:val="24"/>
        </w:rPr>
        <w:t xml:space="preserve"> exist but due to differences in admixture proportions</w:t>
      </w:r>
      <w:r w:rsidR="00934D29">
        <w:rPr>
          <w:rFonts w:ascii="Times New Roman" w:hAnsi="Times New Roman" w:cs="Times New Roman"/>
          <w:sz w:val="24"/>
          <w:szCs w:val="24"/>
        </w:rPr>
        <w:t xml:space="preserve">, </w:t>
      </w:r>
      <w:r w:rsidR="00AC0743">
        <w:rPr>
          <w:rFonts w:ascii="Times New Roman" w:hAnsi="Times New Roman" w:cs="Times New Roman"/>
          <w:sz w:val="24"/>
          <w:szCs w:val="24"/>
        </w:rPr>
        <w:t xml:space="preserve">the LD patterns </w:t>
      </w:r>
      <w:r w:rsidR="00742F19">
        <w:rPr>
          <w:rFonts w:ascii="Times New Roman" w:hAnsi="Times New Roman" w:cs="Times New Roman"/>
          <w:sz w:val="24"/>
          <w:szCs w:val="24"/>
        </w:rPr>
        <w:t>may</w:t>
      </w:r>
      <w:r w:rsidR="00AC0743">
        <w:rPr>
          <w:rFonts w:ascii="Times New Roman" w:hAnsi="Times New Roman" w:cs="Times New Roman"/>
          <w:sz w:val="24"/>
          <w:szCs w:val="24"/>
        </w:rPr>
        <w:t xml:space="preserve"> not have been a good proxy of AA and LA </w:t>
      </w:r>
      <w:r w:rsidR="00934D29">
        <w:rPr>
          <w:rFonts w:ascii="Times New Roman" w:hAnsi="Times New Roman" w:cs="Times New Roman"/>
          <w:sz w:val="24"/>
          <w:szCs w:val="24"/>
        </w:rPr>
        <w:t>samples studied</w:t>
      </w:r>
      <w:r w:rsidR="00AC0743">
        <w:rPr>
          <w:rFonts w:ascii="Times New Roman" w:hAnsi="Times New Roman" w:cs="Times New Roman"/>
          <w:sz w:val="24"/>
          <w:szCs w:val="24"/>
        </w:rPr>
        <w:t xml:space="preserve">. </w:t>
      </w:r>
      <w:r w:rsidR="00934D29">
        <w:rPr>
          <w:rFonts w:ascii="Times New Roman" w:hAnsi="Times New Roman" w:cs="Times New Roman"/>
          <w:sz w:val="24"/>
          <w:szCs w:val="24"/>
        </w:rPr>
        <w:t xml:space="preserve">To estimate heritability in EA samples, </w:t>
      </w:r>
      <w:r w:rsidR="00315536">
        <w:rPr>
          <w:rFonts w:ascii="Times New Roman" w:hAnsi="Times New Roman" w:cs="Times New Roman"/>
          <w:sz w:val="24"/>
          <w:szCs w:val="24"/>
        </w:rPr>
        <w:t>we</w:t>
      </w:r>
      <w:r w:rsidR="00DD5CB4">
        <w:rPr>
          <w:rFonts w:ascii="Times New Roman" w:hAnsi="Times New Roman" w:cs="Times New Roman"/>
          <w:sz w:val="24"/>
          <w:szCs w:val="24"/>
        </w:rPr>
        <w:t xml:space="preserve"> made a European ancestry reference panel by including Finnish samples </w:t>
      </w:r>
      <w:r w:rsidR="00430667">
        <w:rPr>
          <w:rFonts w:ascii="Times New Roman" w:hAnsi="Times New Roman" w:cs="Times New Roman"/>
          <w:sz w:val="24"/>
          <w:szCs w:val="24"/>
        </w:rPr>
        <w:t xml:space="preserve">from </w:t>
      </w:r>
      <w:r w:rsidR="00A20083">
        <w:rPr>
          <w:rFonts w:ascii="Times New Roman" w:hAnsi="Times New Roman" w:cs="Times New Roman"/>
          <w:sz w:val="24"/>
          <w:szCs w:val="24"/>
        </w:rPr>
        <w:t xml:space="preserve">the </w:t>
      </w:r>
      <w:r w:rsidR="00430667">
        <w:rPr>
          <w:rFonts w:ascii="Times New Roman" w:hAnsi="Times New Roman" w:cs="Times New Roman"/>
          <w:sz w:val="24"/>
          <w:szCs w:val="24"/>
        </w:rPr>
        <w:t>1000 Genomes project</w:t>
      </w:r>
      <w:r w:rsidR="00934D29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430667">
        <w:rPr>
          <w:rFonts w:ascii="Times New Roman" w:hAnsi="Times New Roman" w:cs="Times New Roman"/>
          <w:sz w:val="24"/>
          <w:szCs w:val="24"/>
        </w:rPr>
        <w:t xml:space="preserve"> </w:t>
      </w:r>
      <w:r w:rsidR="00DD5CB4">
        <w:rPr>
          <w:rFonts w:ascii="Times New Roman" w:hAnsi="Times New Roman" w:cs="Times New Roman"/>
          <w:sz w:val="24"/>
          <w:szCs w:val="24"/>
        </w:rPr>
        <w:t>following the instruction of LDAK</w:t>
      </w:r>
      <w:r w:rsidR="00934D29" w:rsidRPr="008F21F0">
        <w:rPr>
          <w:rFonts w:ascii="Times New Roman" w:hAnsi="Times New Roman" w:cs="Times New Roman"/>
          <w:noProof/>
          <w:sz w:val="24"/>
          <w:szCs w:val="24"/>
          <w:vertAlign w:val="superscript"/>
        </w:rPr>
        <w:t>24,25</w:t>
      </w:r>
      <w:r w:rsidR="00315536">
        <w:rPr>
          <w:rFonts w:ascii="Times New Roman" w:hAnsi="Times New Roman" w:cs="Times New Roman"/>
          <w:sz w:val="24"/>
          <w:szCs w:val="24"/>
        </w:rPr>
        <w:t xml:space="preserve"> </w:t>
      </w:r>
      <w:r w:rsidR="00934D29">
        <w:rPr>
          <w:rFonts w:ascii="Times New Roman" w:hAnsi="Times New Roman" w:cs="Times New Roman"/>
          <w:sz w:val="24"/>
          <w:szCs w:val="24"/>
        </w:rPr>
        <w:t>as data from the</w:t>
      </w:r>
      <w:r w:rsidR="00D46B9A">
        <w:rPr>
          <w:rFonts w:ascii="Times New Roman" w:hAnsi="Times New Roman" w:cs="Times New Roman"/>
          <w:sz w:val="24"/>
          <w:szCs w:val="24"/>
        </w:rPr>
        <w:t xml:space="preserve"> FinnGen consortium</w:t>
      </w:r>
      <w:r w:rsidR="00694920">
        <w:rPr>
          <w:rFonts w:ascii="Times New Roman" w:hAnsi="Times New Roman" w:cs="Times New Roman"/>
          <w:sz w:val="24"/>
          <w:szCs w:val="24"/>
        </w:rPr>
        <w:t xml:space="preserve"> were included</w:t>
      </w:r>
      <w:r w:rsidR="00D46B9A">
        <w:rPr>
          <w:rFonts w:ascii="Times New Roman" w:hAnsi="Times New Roman" w:cs="Times New Roman"/>
          <w:sz w:val="24"/>
          <w:szCs w:val="24"/>
        </w:rPr>
        <w:t xml:space="preserve"> </w:t>
      </w:r>
      <w:r w:rsidR="00934D29">
        <w:rPr>
          <w:rFonts w:ascii="Times New Roman" w:hAnsi="Times New Roman" w:cs="Times New Roman"/>
          <w:sz w:val="24"/>
          <w:szCs w:val="24"/>
        </w:rPr>
        <w:t>in our analyses</w:t>
      </w:r>
      <w:r w:rsidR="00D46B9A">
        <w:rPr>
          <w:rFonts w:ascii="Times New Roman" w:hAnsi="Times New Roman" w:cs="Times New Roman"/>
          <w:sz w:val="24"/>
          <w:szCs w:val="24"/>
        </w:rPr>
        <w:t>.</w:t>
      </w:r>
      <w:r w:rsidR="002B3281">
        <w:rPr>
          <w:rFonts w:ascii="Times New Roman" w:hAnsi="Times New Roman" w:cs="Times New Roman"/>
          <w:sz w:val="24"/>
          <w:szCs w:val="24"/>
        </w:rPr>
        <w:t xml:space="preserve"> </w:t>
      </w:r>
      <w:r w:rsidR="002B3281">
        <w:rPr>
          <w:rFonts w:ascii="Times New Roman" w:hAnsi="Times New Roman" w:cs="Times New Roman"/>
          <w:sz w:val="24"/>
          <w:szCs w:val="24"/>
        </w:rPr>
        <w:lastRenderedPageBreak/>
        <w:t xml:space="preserve">We estimated heritability by using all available variants and </w:t>
      </w:r>
      <w:r w:rsidR="00694920">
        <w:rPr>
          <w:rFonts w:ascii="Times New Roman" w:hAnsi="Times New Roman" w:cs="Times New Roman"/>
          <w:sz w:val="24"/>
          <w:szCs w:val="24"/>
        </w:rPr>
        <w:t>SUD-</w:t>
      </w:r>
      <w:r w:rsidR="002B3281">
        <w:rPr>
          <w:rFonts w:ascii="Times New Roman" w:hAnsi="Times New Roman" w:cs="Times New Roman"/>
          <w:sz w:val="24"/>
          <w:szCs w:val="24"/>
        </w:rPr>
        <w:t>concordant variants</w:t>
      </w:r>
      <w:r w:rsidR="00430667">
        <w:rPr>
          <w:rFonts w:ascii="Times New Roman" w:hAnsi="Times New Roman" w:cs="Times New Roman"/>
          <w:sz w:val="24"/>
          <w:szCs w:val="24"/>
        </w:rPr>
        <w:t xml:space="preserve"> only</w:t>
      </w:r>
      <w:r w:rsidR="002B3281">
        <w:rPr>
          <w:rFonts w:ascii="Times New Roman" w:hAnsi="Times New Roman" w:cs="Times New Roman"/>
          <w:sz w:val="24"/>
          <w:szCs w:val="24"/>
        </w:rPr>
        <w:t>, respectively</w:t>
      </w:r>
      <w:r w:rsidR="002013F5">
        <w:rPr>
          <w:rFonts w:ascii="Times New Roman" w:hAnsi="Times New Roman" w:cs="Times New Roman"/>
          <w:sz w:val="24"/>
          <w:szCs w:val="24"/>
        </w:rPr>
        <w:t>, with latter divided by former as the h</w:t>
      </w:r>
      <w:r w:rsidR="002B3281">
        <w:rPr>
          <w:rFonts w:ascii="Times New Roman" w:hAnsi="Times New Roman" w:cs="Times New Roman"/>
          <w:sz w:val="24"/>
          <w:szCs w:val="24"/>
        </w:rPr>
        <w:t xml:space="preserve">eritability </w:t>
      </w:r>
      <w:r w:rsidR="002013F5">
        <w:rPr>
          <w:rFonts w:ascii="Times New Roman" w:hAnsi="Times New Roman" w:cs="Times New Roman"/>
          <w:sz w:val="24"/>
          <w:szCs w:val="24"/>
        </w:rPr>
        <w:t xml:space="preserve">explained by </w:t>
      </w:r>
      <w:r w:rsidR="00694920">
        <w:rPr>
          <w:rFonts w:ascii="Times New Roman" w:hAnsi="Times New Roman" w:cs="Times New Roman"/>
          <w:sz w:val="24"/>
          <w:szCs w:val="24"/>
        </w:rPr>
        <w:t>SUD</w:t>
      </w:r>
      <w:r w:rsidR="001F28B6">
        <w:rPr>
          <w:rFonts w:ascii="Times New Roman" w:hAnsi="Times New Roman" w:cs="Times New Roman"/>
          <w:sz w:val="24"/>
          <w:szCs w:val="24"/>
        </w:rPr>
        <w:t>-</w:t>
      </w:r>
      <w:r w:rsidR="002B3281">
        <w:rPr>
          <w:rFonts w:ascii="Times New Roman" w:hAnsi="Times New Roman" w:cs="Times New Roman"/>
          <w:sz w:val="24"/>
          <w:szCs w:val="24"/>
        </w:rPr>
        <w:t>concordant variants.</w:t>
      </w:r>
    </w:p>
    <w:p w14:paraId="222BED1D" w14:textId="529D5760" w:rsidR="002B3281" w:rsidRPr="002B3281" w:rsidRDefault="004807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Calculating g</w:t>
      </w:r>
      <w:r w:rsidR="002B3281" w:rsidRPr="002B3281">
        <w:rPr>
          <w:rFonts w:ascii="Times New Roman" w:hAnsi="Times New Roman" w:cs="Times New Roman"/>
          <w:b/>
          <w:bCs/>
          <w:sz w:val="24"/>
          <w:szCs w:val="24"/>
        </w:rPr>
        <w:t>enetic correlation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317EDBE" w14:textId="38A8CD10" w:rsidR="00AE401D" w:rsidRDefault="002B3281" w:rsidP="002B3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Complex Traits Genetics Virtual Lab (CT</w:t>
      </w:r>
      <w:r w:rsidR="00884A1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-VL </w:t>
      </w:r>
      <w:hyperlink r:id="rId6" w:history="1">
        <w:r w:rsidR="00AE401D" w:rsidRPr="00AE401D">
          <w:rPr>
            <w:rStyle w:val="Hyperlink"/>
            <w:rFonts w:ascii="Times New Roman" w:hAnsi="Times New Roman" w:cs="Times New Roman"/>
            <w:sz w:val="24"/>
            <w:szCs w:val="24"/>
          </w:rPr>
          <w:t>https://vl.genoma.io/data</w:t>
        </w:r>
      </w:hyperlink>
      <w:r>
        <w:rPr>
          <w:rFonts w:ascii="Times New Roman" w:hAnsi="Times New Roman" w:cs="Times New Roman"/>
          <w:sz w:val="24"/>
          <w:szCs w:val="24"/>
        </w:rPr>
        <w:t>, accessed 04/26/2023) was used to perform genetic correlation analys</w:t>
      </w:r>
      <w:r w:rsidR="00E95D0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using LD score regression</w:t>
      </w:r>
      <w:r w:rsidR="0054338E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23</w:t>
      </w:r>
      <w:r w:rsidR="006C5850">
        <w:rPr>
          <w:rFonts w:ascii="Times New Roman" w:hAnsi="Times New Roman" w:cs="Times New Roman"/>
          <w:sz w:val="24"/>
          <w:szCs w:val="24"/>
        </w:rPr>
        <w:t>.</w:t>
      </w:r>
      <w:r w:rsidR="00884A14">
        <w:rPr>
          <w:rFonts w:ascii="Times New Roman" w:hAnsi="Times New Roman" w:cs="Times New Roman"/>
          <w:sz w:val="24"/>
          <w:szCs w:val="24"/>
        </w:rPr>
        <w:t xml:space="preserve"> For genetic correlations among different SUDs, we uploaded each SUD GWAS to CTG-VL and</w:t>
      </w:r>
      <w:r w:rsidR="00E95D0C">
        <w:rPr>
          <w:rFonts w:ascii="Times New Roman" w:hAnsi="Times New Roman" w:cs="Times New Roman"/>
          <w:sz w:val="24"/>
          <w:szCs w:val="24"/>
        </w:rPr>
        <w:t xml:space="preserve"> calculated</w:t>
      </w:r>
      <w:r w:rsidR="00884A14">
        <w:rPr>
          <w:rFonts w:ascii="Times New Roman" w:hAnsi="Times New Roman" w:cs="Times New Roman"/>
          <w:sz w:val="24"/>
          <w:szCs w:val="24"/>
        </w:rPr>
        <w:t xml:space="preserve"> genetic correlation</w:t>
      </w:r>
      <w:r w:rsidR="00E95D0C">
        <w:rPr>
          <w:rFonts w:ascii="Times New Roman" w:hAnsi="Times New Roman" w:cs="Times New Roman"/>
          <w:sz w:val="24"/>
          <w:szCs w:val="24"/>
        </w:rPr>
        <w:t>s</w:t>
      </w:r>
      <w:r w:rsidR="00884A14">
        <w:rPr>
          <w:rFonts w:ascii="Times New Roman" w:hAnsi="Times New Roman" w:cs="Times New Roman"/>
          <w:sz w:val="24"/>
          <w:szCs w:val="24"/>
        </w:rPr>
        <w:t xml:space="preserve">. All variants from each SUD GWAS were included. We also performed genetic correlations between </w:t>
      </w:r>
      <w:r w:rsidR="00934D29">
        <w:rPr>
          <w:rFonts w:ascii="Times New Roman" w:hAnsi="Times New Roman" w:cs="Times New Roman"/>
          <w:sz w:val="24"/>
          <w:szCs w:val="24"/>
        </w:rPr>
        <w:t>cross-</w:t>
      </w:r>
      <w:r w:rsidR="00884A14">
        <w:rPr>
          <w:rFonts w:ascii="Times New Roman" w:hAnsi="Times New Roman" w:cs="Times New Roman"/>
          <w:sz w:val="24"/>
          <w:szCs w:val="24"/>
        </w:rPr>
        <w:t xml:space="preserve">SUD </w:t>
      </w:r>
      <w:r w:rsidR="00934D29">
        <w:rPr>
          <w:rFonts w:ascii="Times New Roman" w:hAnsi="Times New Roman" w:cs="Times New Roman"/>
          <w:sz w:val="24"/>
          <w:szCs w:val="24"/>
        </w:rPr>
        <w:t xml:space="preserve">meta-analysis </w:t>
      </w:r>
      <w:r w:rsidR="00FF43AB">
        <w:rPr>
          <w:rFonts w:ascii="Times New Roman" w:hAnsi="Times New Roman" w:cs="Times New Roman"/>
          <w:sz w:val="24"/>
          <w:szCs w:val="24"/>
        </w:rPr>
        <w:t xml:space="preserve">(only </w:t>
      </w:r>
      <w:r w:rsidR="00694920">
        <w:rPr>
          <w:rFonts w:ascii="Times New Roman" w:hAnsi="Times New Roman" w:cs="Times New Roman"/>
          <w:sz w:val="24"/>
          <w:szCs w:val="24"/>
        </w:rPr>
        <w:t>SUD-</w:t>
      </w:r>
      <w:r w:rsidR="00FF43AB">
        <w:rPr>
          <w:rFonts w:ascii="Times New Roman" w:hAnsi="Times New Roman" w:cs="Times New Roman"/>
          <w:sz w:val="24"/>
          <w:szCs w:val="24"/>
        </w:rPr>
        <w:t xml:space="preserve">concordant variants were included) </w:t>
      </w:r>
      <w:r w:rsidR="00884A14">
        <w:rPr>
          <w:rFonts w:ascii="Times New Roman" w:hAnsi="Times New Roman" w:cs="Times New Roman"/>
          <w:sz w:val="24"/>
          <w:szCs w:val="24"/>
        </w:rPr>
        <w:t xml:space="preserve">and other publicly available GWAS, which are available at CGT-VL. </w:t>
      </w:r>
      <w:r w:rsidR="004807B6">
        <w:rPr>
          <w:rFonts w:ascii="Times New Roman" w:hAnsi="Times New Roman" w:cs="Times New Roman"/>
          <w:sz w:val="24"/>
          <w:szCs w:val="24"/>
        </w:rPr>
        <w:t>Significant correlations were determined by using Bonferroni correction</w:t>
      </w:r>
      <w:r w:rsidR="00884A14">
        <w:rPr>
          <w:rFonts w:ascii="Times New Roman" w:hAnsi="Times New Roman" w:cs="Times New Roman"/>
          <w:sz w:val="24"/>
          <w:szCs w:val="24"/>
        </w:rPr>
        <w:t xml:space="preserve">. </w:t>
      </w:r>
      <w:r w:rsidR="000C6BFB">
        <w:rPr>
          <w:rFonts w:ascii="Times New Roman" w:hAnsi="Times New Roman" w:cs="Times New Roman"/>
          <w:sz w:val="24"/>
          <w:szCs w:val="24"/>
        </w:rPr>
        <w:t>Again</w:t>
      </w:r>
      <w:r w:rsidR="009326F2">
        <w:rPr>
          <w:rFonts w:ascii="Times New Roman" w:hAnsi="Times New Roman" w:cs="Times New Roman"/>
          <w:sz w:val="24"/>
          <w:szCs w:val="24"/>
        </w:rPr>
        <w:t>, genetic correlation</w:t>
      </w:r>
      <w:r w:rsidR="001F28B6">
        <w:rPr>
          <w:rFonts w:ascii="Times New Roman" w:hAnsi="Times New Roman" w:cs="Times New Roman"/>
          <w:sz w:val="24"/>
          <w:szCs w:val="24"/>
        </w:rPr>
        <w:t xml:space="preserve"> </w:t>
      </w:r>
      <w:r w:rsidR="009326F2">
        <w:rPr>
          <w:rFonts w:ascii="Times New Roman" w:hAnsi="Times New Roman" w:cs="Times New Roman"/>
          <w:sz w:val="24"/>
          <w:szCs w:val="24"/>
        </w:rPr>
        <w:t xml:space="preserve">analyses were limited to </w:t>
      </w:r>
      <w:r w:rsidR="00A5495D">
        <w:rPr>
          <w:rFonts w:ascii="Times New Roman" w:hAnsi="Times New Roman" w:cs="Times New Roman"/>
          <w:sz w:val="24"/>
          <w:szCs w:val="24"/>
        </w:rPr>
        <w:t>EA</w:t>
      </w:r>
      <w:r w:rsidR="009326F2">
        <w:rPr>
          <w:rFonts w:ascii="Times New Roman" w:hAnsi="Times New Roman" w:cs="Times New Roman"/>
          <w:sz w:val="24"/>
          <w:szCs w:val="24"/>
        </w:rPr>
        <w:t>.</w:t>
      </w:r>
    </w:p>
    <w:p w14:paraId="370E1DB8" w14:textId="51CDE9DF" w:rsidR="0001603A" w:rsidRPr="0001603A" w:rsidRDefault="0001603A" w:rsidP="002012F4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 w:rsidRPr="0001603A">
        <w:rPr>
          <w:rFonts w:ascii="Times New Roman" w:hAnsi="Times New Roman" w:cs="Times New Roman"/>
          <w:b/>
          <w:bCs/>
          <w:sz w:val="24"/>
          <w:szCs w:val="24"/>
        </w:rPr>
        <w:t xml:space="preserve">Polygenic scores </w:t>
      </w:r>
      <w:r w:rsidR="002D3708">
        <w:rPr>
          <w:rFonts w:ascii="Times New Roman" w:hAnsi="Times New Roman" w:cs="Times New Roman"/>
          <w:b/>
          <w:bCs/>
          <w:sz w:val="24"/>
          <w:szCs w:val="24"/>
        </w:rPr>
        <w:t xml:space="preserve">(PGS) </w:t>
      </w:r>
      <w:r w:rsidRPr="0001603A">
        <w:rPr>
          <w:rFonts w:ascii="Times New Roman" w:hAnsi="Times New Roman" w:cs="Times New Roman"/>
          <w:b/>
          <w:bCs/>
          <w:sz w:val="24"/>
          <w:szCs w:val="24"/>
        </w:rPr>
        <w:t>analys</w:t>
      </w:r>
      <w:r w:rsidR="002D370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1603A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1AD60675" w14:textId="10B3E687" w:rsidR="004807B6" w:rsidRDefault="0001603A" w:rsidP="00C75B2E">
      <w:pPr>
        <w:rPr>
          <w:rFonts w:ascii="Times New Roman" w:hAnsi="Times New Roman" w:cs="Times New Roman"/>
          <w:iCs/>
          <w:sz w:val="24"/>
        </w:rPr>
      </w:pPr>
      <w:r w:rsidRPr="00E85A33">
        <w:rPr>
          <w:rFonts w:ascii="Times New Roman" w:hAnsi="Times New Roman" w:cs="Times New Roman"/>
          <w:sz w:val="24"/>
          <w:szCs w:val="24"/>
        </w:rPr>
        <w:t xml:space="preserve">We </w:t>
      </w:r>
      <w:r w:rsidR="002D3708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samples from</w:t>
      </w:r>
      <w:r w:rsidR="003352BB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All of Us research program and </w:t>
      </w:r>
      <w:r w:rsidR="00D0691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Indiana Biobank </w:t>
      </w:r>
      <w:r w:rsidR="00151EFD">
        <w:rPr>
          <w:rFonts w:ascii="Times New Roman" w:hAnsi="Times New Roman" w:cs="Times New Roman"/>
          <w:sz w:val="24"/>
          <w:szCs w:val="24"/>
        </w:rPr>
        <w:t xml:space="preserve">as </w:t>
      </w:r>
      <w:r w:rsidR="002D3708">
        <w:rPr>
          <w:rFonts w:ascii="Times New Roman" w:hAnsi="Times New Roman" w:cs="Times New Roman"/>
          <w:sz w:val="24"/>
          <w:szCs w:val="24"/>
        </w:rPr>
        <w:t>the target datasets to perform PGS analyses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691B">
        <w:rPr>
          <w:rFonts w:ascii="Times New Roman" w:hAnsi="Times New Roman" w:cs="Times New Roman"/>
          <w:sz w:val="24"/>
          <w:szCs w:val="24"/>
        </w:rPr>
        <w:t>G</w:t>
      </w:r>
      <w:r w:rsidR="000A0226">
        <w:rPr>
          <w:rFonts w:ascii="Times New Roman" w:hAnsi="Times New Roman" w:cs="Times New Roman"/>
          <w:sz w:val="24"/>
          <w:szCs w:val="24"/>
        </w:rPr>
        <w:t xml:space="preserve">enetically determined </w:t>
      </w:r>
      <w:r w:rsidR="002D3708">
        <w:rPr>
          <w:rFonts w:ascii="Times New Roman" w:hAnsi="Times New Roman" w:cs="Times New Roman"/>
          <w:sz w:val="24"/>
          <w:szCs w:val="24"/>
        </w:rPr>
        <w:t xml:space="preserve">EA, AA, and LA samples from </w:t>
      </w:r>
      <w:r w:rsidR="00D0691B">
        <w:rPr>
          <w:rFonts w:ascii="Times New Roman" w:hAnsi="Times New Roman" w:cs="Times New Roman"/>
          <w:sz w:val="24"/>
          <w:szCs w:val="24"/>
        </w:rPr>
        <w:t xml:space="preserve">All of Us </w:t>
      </w:r>
      <w:r>
        <w:rPr>
          <w:rFonts w:ascii="Times New Roman" w:hAnsi="Times New Roman" w:cs="Times New Roman"/>
          <w:sz w:val="24"/>
          <w:szCs w:val="24"/>
        </w:rPr>
        <w:t xml:space="preserve">version 7.1 </w:t>
      </w:r>
      <w:r w:rsidR="002D3708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used</w:t>
      </w:r>
      <w:r w:rsidR="00D0691B">
        <w:rPr>
          <w:rFonts w:ascii="Times New Roman" w:hAnsi="Times New Roman" w:cs="Times New Roman"/>
          <w:sz w:val="24"/>
          <w:szCs w:val="24"/>
        </w:rPr>
        <w:t>;</w:t>
      </w:r>
      <w:r w:rsidR="004807B6">
        <w:rPr>
          <w:rFonts w:ascii="Times New Roman" w:hAnsi="Times New Roman" w:cs="Times New Roman"/>
          <w:sz w:val="24"/>
          <w:szCs w:val="24"/>
        </w:rPr>
        <w:t xml:space="preserve"> v</w:t>
      </w:r>
      <w:r w:rsidR="002D3708">
        <w:rPr>
          <w:rFonts w:ascii="Times New Roman" w:hAnsi="Times New Roman" w:cs="Times New Roman"/>
          <w:sz w:val="24"/>
          <w:szCs w:val="24"/>
        </w:rPr>
        <w:t>ariants with</w:t>
      </w:r>
      <w:r w:rsidR="002D3708" w:rsidRPr="002D3708">
        <w:rPr>
          <w:rFonts w:ascii="Times New Roman" w:hAnsi="Times New Roman" w:cs="Times New Roman"/>
          <w:sz w:val="24"/>
          <w:szCs w:val="24"/>
        </w:rPr>
        <w:t xml:space="preserve"> a population-specific allele frequency </w:t>
      </w:r>
      <w:r w:rsidR="002D3708">
        <w:rPr>
          <w:rFonts w:ascii="Times New Roman" w:hAnsi="Times New Roman" w:cs="Times New Roman"/>
          <w:sz w:val="24"/>
          <w:szCs w:val="24"/>
        </w:rPr>
        <w:t>&gt;</w:t>
      </w:r>
      <w:r w:rsidR="002D3708" w:rsidRPr="002D3708">
        <w:rPr>
          <w:rFonts w:ascii="Times New Roman" w:hAnsi="Times New Roman" w:cs="Times New Roman"/>
          <w:sz w:val="24"/>
          <w:szCs w:val="24"/>
        </w:rPr>
        <w:t xml:space="preserve">1% or a population-specific allele count </w:t>
      </w:r>
      <w:r w:rsidR="002D3708">
        <w:rPr>
          <w:rFonts w:ascii="Times New Roman" w:hAnsi="Times New Roman" w:cs="Times New Roman"/>
          <w:sz w:val="24"/>
          <w:szCs w:val="24"/>
        </w:rPr>
        <w:t>&gt;</w:t>
      </w:r>
      <w:r w:rsidR="002D3708" w:rsidRPr="002D3708">
        <w:rPr>
          <w:rFonts w:ascii="Times New Roman" w:hAnsi="Times New Roman" w:cs="Times New Roman"/>
          <w:sz w:val="24"/>
          <w:szCs w:val="24"/>
        </w:rPr>
        <w:t xml:space="preserve">100 in any ancestry </w:t>
      </w:r>
      <w:r w:rsidR="00151EFD">
        <w:rPr>
          <w:rFonts w:ascii="Times New Roman" w:hAnsi="Times New Roman" w:cs="Times New Roman"/>
          <w:sz w:val="24"/>
          <w:szCs w:val="24"/>
        </w:rPr>
        <w:t>p</w:t>
      </w:r>
      <w:r w:rsidR="002D3708" w:rsidRPr="002D3708">
        <w:rPr>
          <w:rFonts w:ascii="Times New Roman" w:hAnsi="Times New Roman" w:cs="Times New Roman"/>
          <w:sz w:val="24"/>
          <w:szCs w:val="24"/>
        </w:rPr>
        <w:t>opulation</w:t>
      </w:r>
      <w:r w:rsidR="002D3708">
        <w:rPr>
          <w:rFonts w:ascii="Times New Roman" w:hAnsi="Times New Roman" w:cs="Times New Roman"/>
          <w:sz w:val="24"/>
          <w:szCs w:val="24"/>
        </w:rPr>
        <w:t xml:space="preserve"> were included</w:t>
      </w:r>
      <w:r w:rsidR="002D3708" w:rsidRPr="002D3708">
        <w:rPr>
          <w:rFonts w:ascii="Times New Roman" w:hAnsi="Times New Roman" w:cs="Times New Roman"/>
          <w:sz w:val="24"/>
          <w:szCs w:val="24"/>
        </w:rPr>
        <w:t xml:space="preserve">. </w:t>
      </w:r>
      <w:r w:rsidR="00DE2E74">
        <w:rPr>
          <w:rFonts w:ascii="Times New Roman" w:hAnsi="Times New Roman" w:cs="Times New Roman"/>
          <w:sz w:val="24"/>
          <w:szCs w:val="24"/>
        </w:rPr>
        <w:t>SUD cases in A</w:t>
      </w:r>
      <w:r w:rsidR="00151EFD">
        <w:rPr>
          <w:rFonts w:ascii="Times New Roman" w:hAnsi="Times New Roman" w:cs="Times New Roman"/>
          <w:sz w:val="24"/>
          <w:szCs w:val="24"/>
        </w:rPr>
        <w:t>ll of Us</w:t>
      </w:r>
      <w:r w:rsidR="00DE2E74">
        <w:rPr>
          <w:rFonts w:ascii="Times New Roman" w:hAnsi="Times New Roman" w:cs="Times New Roman"/>
          <w:sz w:val="24"/>
          <w:szCs w:val="24"/>
        </w:rPr>
        <w:t xml:space="preserve"> were those determined as having substance abuse (SNOMED code 66214007) and controls were everyone else. </w:t>
      </w:r>
      <w:r w:rsidR="00904008">
        <w:rPr>
          <w:rFonts w:ascii="Times New Roman" w:hAnsi="Times New Roman" w:cs="Times New Roman"/>
          <w:sz w:val="24"/>
          <w:szCs w:val="24"/>
        </w:rPr>
        <w:t xml:space="preserve">Indiana Biobank </w:t>
      </w:r>
      <w:r w:rsidR="004807B6">
        <w:rPr>
          <w:rFonts w:ascii="Times New Roman" w:hAnsi="Times New Roman" w:cs="Times New Roman"/>
          <w:iCs/>
          <w:sz w:val="24"/>
        </w:rPr>
        <w:t>data</w:t>
      </w:r>
      <w:r w:rsidR="002D3708">
        <w:rPr>
          <w:rFonts w:ascii="Times New Roman" w:hAnsi="Times New Roman" w:cs="Times New Roman"/>
          <w:iCs/>
          <w:sz w:val="24"/>
        </w:rPr>
        <w:t xml:space="preserve"> process</w:t>
      </w:r>
      <w:r w:rsidR="004807B6">
        <w:rPr>
          <w:rFonts w:ascii="Times New Roman" w:hAnsi="Times New Roman" w:cs="Times New Roman"/>
          <w:iCs/>
          <w:sz w:val="24"/>
        </w:rPr>
        <w:t>ing</w:t>
      </w:r>
      <w:r w:rsidR="002D3708">
        <w:rPr>
          <w:rFonts w:ascii="Times New Roman" w:hAnsi="Times New Roman" w:cs="Times New Roman"/>
          <w:iCs/>
          <w:sz w:val="24"/>
        </w:rPr>
        <w:t xml:space="preserve"> and QC were described previously</w:t>
      </w:r>
      <w:r w:rsidR="008F21F0" w:rsidRPr="008F21F0">
        <w:rPr>
          <w:rFonts w:ascii="Times New Roman" w:hAnsi="Times New Roman" w:cs="Times New Roman"/>
          <w:iCs/>
          <w:noProof/>
          <w:sz w:val="24"/>
          <w:vertAlign w:val="superscript"/>
        </w:rPr>
        <w:t>26,27</w:t>
      </w:r>
      <w:r>
        <w:rPr>
          <w:rFonts w:ascii="Times New Roman" w:hAnsi="Times New Roman" w:cs="Times New Roman"/>
          <w:iCs/>
          <w:sz w:val="24"/>
        </w:rPr>
        <w:t>.</w:t>
      </w:r>
      <w:r w:rsidR="00C75B2E">
        <w:rPr>
          <w:rFonts w:ascii="Times New Roman" w:hAnsi="Times New Roman" w:cs="Times New Roman"/>
          <w:iCs/>
          <w:sz w:val="24"/>
        </w:rPr>
        <w:t xml:space="preserve"> Briefly, </w:t>
      </w:r>
      <w:r w:rsidR="00C75B2E" w:rsidRPr="00C75B2E">
        <w:rPr>
          <w:rFonts w:ascii="Times New Roman" w:hAnsi="Times New Roman" w:cs="Times New Roman"/>
          <w:iCs/>
          <w:sz w:val="24"/>
        </w:rPr>
        <w:t xml:space="preserve">Indiana Biobank liver diseases cohort </w:t>
      </w:r>
      <w:r w:rsidR="004807B6">
        <w:rPr>
          <w:rFonts w:ascii="Times New Roman" w:hAnsi="Times New Roman" w:cs="Times New Roman"/>
          <w:iCs/>
          <w:sz w:val="24"/>
        </w:rPr>
        <w:t xml:space="preserve">and SUDs cohort </w:t>
      </w:r>
      <w:r w:rsidR="00C75B2E" w:rsidRPr="00C75B2E">
        <w:rPr>
          <w:rFonts w:ascii="Times New Roman" w:hAnsi="Times New Roman" w:cs="Times New Roman"/>
          <w:iCs/>
          <w:sz w:val="24"/>
        </w:rPr>
        <w:t>were genotyped</w:t>
      </w:r>
      <w:r w:rsidR="008D2337">
        <w:rPr>
          <w:rFonts w:ascii="Times New Roman" w:hAnsi="Times New Roman" w:cs="Times New Roman"/>
          <w:iCs/>
          <w:sz w:val="24"/>
        </w:rPr>
        <w:t xml:space="preserve"> </w:t>
      </w:r>
      <w:r w:rsidR="00C75B2E" w:rsidRPr="00C75B2E">
        <w:rPr>
          <w:rFonts w:ascii="Times New Roman" w:hAnsi="Times New Roman" w:cs="Times New Roman"/>
          <w:iCs/>
          <w:sz w:val="24"/>
        </w:rPr>
        <w:t>using Illumina Infinium Global Screening Array (GSA, Illumina, San</w:t>
      </w:r>
      <w:r w:rsidR="008D2337">
        <w:rPr>
          <w:rFonts w:ascii="Times New Roman" w:hAnsi="Times New Roman" w:cs="Times New Roman"/>
          <w:iCs/>
          <w:sz w:val="24"/>
        </w:rPr>
        <w:t xml:space="preserve"> </w:t>
      </w:r>
      <w:r w:rsidR="00C75B2E" w:rsidRPr="00C75B2E">
        <w:rPr>
          <w:rFonts w:ascii="Times New Roman" w:hAnsi="Times New Roman" w:cs="Times New Roman"/>
          <w:iCs/>
          <w:sz w:val="24"/>
        </w:rPr>
        <w:t>Diego, CA) by Regeneron (Tarrytown, NY)</w:t>
      </w:r>
      <w:r w:rsidR="004807B6">
        <w:rPr>
          <w:rFonts w:ascii="Times New Roman" w:hAnsi="Times New Roman" w:cs="Times New Roman"/>
          <w:iCs/>
          <w:sz w:val="24"/>
        </w:rPr>
        <w:t xml:space="preserve"> and </w:t>
      </w:r>
      <w:r w:rsidR="00C75B2E" w:rsidRPr="00C75B2E">
        <w:rPr>
          <w:rFonts w:ascii="Times New Roman" w:hAnsi="Times New Roman" w:cs="Times New Roman"/>
          <w:iCs/>
          <w:sz w:val="24"/>
        </w:rPr>
        <w:t>Illumina Infinium Global</w:t>
      </w:r>
      <w:r w:rsidR="008D2337">
        <w:rPr>
          <w:rFonts w:ascii="Times New Roman" w:hAnsi="Times New Roman" w:cs="Times New Roman"/>
          <w:iCs/>
          <w:sz w:val="24"/>
        </w:rPr>
        <w:t xml:space="preserve"> </w:t>
      </w:r>
      <w:r w:rsidR="00C75B2E" w:rsidRPr="00C75B2E">
        <w:rPr>
          <w:rFonts w:ascii="Times New Roman" w:hAnsi="Times New Roman" w:cs="Times New Roman"/>
          <w:iCs/>
          <w:sz w:val="24"/>
        </w:rPr>
        <w:t>Diversity Array (GDA, Illumina) by Sampled (Piscataway, NJ)</w:t>
      </w:r>
      <w:r w:rsidR="004807B6">
        <w:rPr>
          <w:rFonts w:ascii="Times New Roman" w:hAnsi="Times New Roman" w:cs="Times New Roman"/>
          <w:iCs/>
          <w:sz w:val="24"/>
        </w:rPr>
        <w:t xml:space="preserve">, respectively. </w:t>
      </w:r>
      <w:r w:rsidR="004807B6">
        <w:rPr>
          <w:rFonts w:ascii="Times New Roman" w:hAnsi="Times New Roman" w:cs="Times New Roman"/>
          <w:sz w:val="24"/>
        </w:rPr>
        <w:t>V</w:t>
      </w:r>
      <w:r w:rsidR="004807B6" w:rsidRPr="00656A71">
        <w:rPr>
          <w:rFonts w:ascii="Times New Roman" w:hAnsi="Times New Roman" w:cs="Times New Roman"/>
          <w:sz w:val="24"/>
        </w:rPr>
        <w:t>ariants with palindromic alleles, missing rate &gt;5%, MAF &lt;3%, and HWE P-value &lt; 0.0001 were excluded</w:t>
      </w:r>
      <w:r w:rsidR="004807B6">
        <w:rPr>
          <w:rFonts w:ascii="Times New Roman" w:hAnsi="Times New Roman" w:cs="Times New Roman"/>
          <w:sz w:val="24"/>
        </w:rPr>
        <w:t xml:space="preserve">. </w:t>
      </w:r>
      <w:r w:rsidR="00011287">
        <w:rPr>
          <w:rFonts w:ascii="Times New Roman" w:hAnsi="Times New Roman" w:cs="Times New Roman"/>
          <w:sz w:val="24"/>
        </w:rPr>
        <w:t>P</w:t>
      </w:r>
      <w:r w:rsidR="004807B6" w:rsidRPr="00656A71">
        <w:rPr>
          <w:rFonts w:ascii="Times New Roman" w:hAnsi="Times New Roman" w:cs="Times New Roman"/>
          <w:sz w:val="24"/>
        </w:rPr>
        <w:t xml:space="preserve">rincipal components (PC) of population stratification </w:t>
      </w:r>
      <w:r w:rsidR="00011287">
        <w:rPr>
          <w:rFonts w:ascii="Times New Roman" w:hAnsi="Times New Roman" w:cs="Times New Roman"/>
          <w:sz w:val="24"/>
        </w:rPr>
        <w:t xml:space="preserve">were calculated </w:t>
      </w:r>
      <w:r w:rsidR="004807B6" w:rsidRPr="00656A71">
        <w:rPr>
          <w:rFonts w:ascii="Times New Roman" w:hAnsi="Times New Roman" w:cs="Times New Roman"/>
          <w:sz w:val="24"/>
        </w:rPr>
        <w:t>using Eigenstrat</w:t>
      </w:r>
      <w:r w:rsidR="008F21F0" w:rsidRPr="008F21F0">
        <w:rPr>
          <w:rFonts w:ascii="Times New Roman" w:hAnsi="Times New Roman" w:cs="Times New Roman"/>
          <w:noProof/>
          <w:sz w:val="24"/>
          <w:vertAlign w:val="superscript"/>
        </w:rPr>
        <w:t>28</w:t>
      </w:r>
      <w:r w:rsidR="004807B6" w:rsidRPr="00656A71">
        <w:rPr>
          <w:rFonts w:ascii="Times New Roman" w:hAnsi="Times New Roman" w:cs="Times New Roman"/>
          <w:sz w:val="24"/>
        </w:rPr>
        <w:t xml:space="preserve">. </w:t>
      </w:r>
      <w:r w:rsidR="00011287" w:rsidRPr="00656A71">
        <w:rPr>
          <w:rFonts w:ascii="Times New Roman" w:hAnsi="Times New Roman" w:cs="Times New Roman"/>
          <w:sz w:val="24"/>
        </w:rPr>
        <w:t>Based on the first two</w:t>
      </w:r>
      <w:r w:rsidR="00011287">
        <w:rPr>
          <w:rFonts w:ascii="Times New Roman" w:hAnsi="Times New Roman" w:cs="Times New Roman"/>
          <w:sz w:val="24"/>
        </w:rPr>
        <w:t xml:space="preserve"> </w:t>
      </w:r>
      <w:r w:rsidR="00011287" w:rsidRPr="00656A71">
        <w:rPr>
          <w:rFonts w:ascii="Times New Roman" w:hAnsi="Times New Roman" w:cs="Times New Roman"/>
          <w:sz w:val="24"/>
        </w:rPr>
        <w:t xml:space="preserve">PCs, </w:t>
      </w:r>
      <w:r w:rsidR="00011287">
        <w:rPr>
          <w:rFonts w:ascii="Times New Roman" w:hAnsi="Times New Roman" w:cs="Times New Roman"/>
          <w:sz w:val="24"/>
        </w:rPr>
        <w:t>those</w:t>
      </w:r>
      <w:r w:rsidR="004807B6" w:rsidRPr="00656A71">
        <w:rPr>
          <w:rFonts w:ascii="Times New Roman" w:hAnsi="Times New Roman" w:cs="Times New Roman"/>
          <w:sz w:val="24"/>
        </w:rPr>
        <w:t xml:space="preserve"> clustered with the European and African </w:t>
      </w:r>
      <w:r w:rsidR="005D687F">
        <w:rPr>
          <w:rFonts w:ascii="Times New Roman" w:hAnsi="Times New Roman" w:cs="Times New Roman"/>
          <w:sz w:val="24"/>
        </w:rPr>
        <w:t xml:space="preserve">reference </w:t>
      </w:r>
      <w:r w:rsidR="004807B6" w:rsidRPr="00656A71">
        <w:rPr>
          <w:rFonts w:ascii="Times New Roman" w:hAnsi="Times New Roman" w:cs="Times New Roman"/>
          <w:sz w:val="24"/>
        </w:rPr>
        <w:t>samples from the 1000 Genomes Project</w:t>
      </w:r>
      <w:r w:rsidR="00151EFD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4807B6" w:rsidRPr="00656A71">
        <w:rPr>
          <w:rFonts w:ascii="Times New Roman" w:hAnsi="Times New Roman" w:cs="Times New Roman"/>
          <w:sz w:val="24"/>
        </w:rPr>
        <w:t xml:space="preserve"> were </w:t>
      </w:r>
      <w:r w:rsidR="005D687F">
        <w:rPr>
          <w:rFonts w:ascii="Times New Roman" w:hAnsi="Times New Roman" w:cs="Times New Roman"/>
          <w:sz w:val="24"/>
        </w:rPr>
        <w:t>grouped</w:t>
      </w:r>
      <w:r w:rsidR="005D687F" w:rsidRPr="00656A71">
        <w:rPr>
          <w:rFonts w:ascii="Times New Roman" w:hAnsi="Times New Roman" w:cs="Times New Roman"/>
          <w:sz w:val="24"/>
        </w:rPr>
        <w:t xml:space="preserve"> </w:t>
      </w:r>
      <w:r w:rsidR="004807B6" w:rsidRPr="00656A71">
        <w:rPr>
          <w:rFonts w:ascii="Times New Roman" w:hAnsi="Times New Roman" w:cs="Times New Roman"/>
          <w:sz w:val="24"/>
        </w:rPr>
        <w:t>as EA and AA samples, respectively</w:t>
      </w:r>
      <w:r w:rsidR="00011287">
        <w:rPr>
          <w:rFonts w:ascii="Times New Roman" w:hAnsi="Times New Roman" w:cs="Times New Roman"/>
          <w:sz w:val="24"/>
        </w:rPr>
        <w:t>.</w:t>
      </w:r>
      <w:r w:rsidR="0055576A">
        <w:rPr>
          <w:rFonts w:ascii="Times New Roman" w:hAnsi="Times New Roman" w:cs="Times New Roman"/>
          <w:sz w:val="24"/>
        </w:rPr>
        <w:t xml:space="preserve"> </w:t>
      </w:r>
      <w:r w:rsidR="004807B6">
        <w:rPr>
          <w:rFonts w:ascii="Times New Roman" w:hAnsi="Times New Roman" w:cs="Times New Roman"/>
          <w:iCs/>
          <w:sz w:val="24"/>
        </w:rPr>
        <w:t>B</w:t>
      </w:r>
      <w:r w:rsidR="004807B6" w:rsidRPr="00C75B2E">
        <w:rPr>
          <w:rFonts w:ascii="Times New Roman" w:hAnsi="Times New Roman" w:cs="Times New Roman"/>
          <w:iCs/>
          <w:sz w:val="24"/>
        </w:rPr>
        <w:t>oth cohorts</w:t>
      </w:r>
      <w:r w:rsidR="004807B6">
        <w:rPr>
          <w:rFonts w:ascii="Times New Roman" w:hAnsi="Times New Roman" w:cs="Times New Roman"/>
          <w:iCs/>
          <w:sz w:val="24"/>
        </w:rPr>
        <w:t xml:space="preserve"> </w:t>
      </w:r>
      <w:r w:rsidR="004807B6" w:rsidRPr="00C75B2E">
        <w:rPr>
          <w:rFonts w:ascii="Times New Roman" w:hAnsi="Times New Roman" w:cs="Times New Roman"/>
          <w:iCs/>
          <w:sz w:val="24"/>
        </w:rPr>
        <w:t>were imputed using the Michigan</w:t>
      </w:r>
      <w:r w:rsidR="004807B6">
        <w:rPr>
          <w:rFonts w:ascii="Times New Roman" w:hAnsi="Times New Roman" w:cs="Times New Roman"/>
          <w:iCs/>
          <w:sz w:val="24"/>
        </w:rPr>
        <w:t xml:space="preserve"> </w:t>
      </w:r>
      <w:r w:rsidR="004807B6" w:rsidRPr="00C75B2E">
        <w:rPr>
          <w:rFonts w:ascii="Times New Roman" w:hAnsi="Times New Roman" w:cs="Times New Roman"/>
          <w:iCs/>
          <w:sz w:val="24"/>
        </w:rPr>
        <w:t>Imputation Server</w:t>
      </w:r>
      <w:r w:rsidR="008F21F0" w:rsidRPr="008F21F0">
        <w:rPr>
          <w:rFonts w:ascii="Times New Roman" w:hAnsi="Times New Roman" w:cs="Times New Roman"/>
          <w:iCs/>
          <w:noProof/>
          <w:sz w:val="24"/>
          <w:vertAlign w:val="superscript"/>
        </w:rPr>
        <w:t>29</w:t>
      </w:r>
      <w:r w:rsidR="004807B6">
        <w:rPr>
          <w:rFonts w:ascii="Times New Roman" w:hAnsi="Times New Roman" w:cs="Times New Roman"/>
          <w:iCs/>
          <w:sz w:val="24"/>
        </w:rPr>
        <w:t xml:space="preserve"> </w:t>
      </w:r>
      <w:r w:rsidR="00E3785C">
        <w:rPr>
          <w:rFonts w:ascii="Times New Roman" w:hAnsi="Times New Roman" w:cs="Times New Roman"/>
          <w:iCs/>
          <w:sz w:val="24"/>
        </w:rPr>
        <w:t xml:space="preserve">separately </w:t>
      </w:r>
      <w:r w:rsidR="004807B6">
        <w:rPr>
          <w:rFonts w:ascii="Times New Roman" w:hAnsi="Times New Roman" w:cs="Times New Roman"/>
          <w:iCs/>
          <w:sz w:val="24"/>
        </w:rPr>
        <w:t xml:space="preserve">with </w:t>
      </w:r>
      <w:r w:rsidR="007E3F0D">
        <w:rPr>
          <w:rFonts w:ascii="Times New Roman" w:hAnsi="Times New Roman" w:cs="Times New Roman"/>
          <w:iCs/>
          <w:sz w:val="24"/>
        </w:rPr>
        <w:t xml:space="preserve">the </w:t>
      </w:r>
      <w:r w:rsidR="004807B6">
        <w:rPr>
          <w:rFonts w:ascii="Times New Roman" w:hAnsi="Times New Roman" w:cs="Times New Roman"/>
          <w:iCs/>
          <w:sz w:val="24"/>
        </w:rPr>
        <w:t>1000 Genomes project</w:t>
      </w:r>
      <w:r w:rsidR="00151EFD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4807B6">
        <w:rPr>
          <w:rFonts w:ascii="Times New Roman" w:hAnsi="Times New Roman" w:cs="Times New Roman"/>
          <w:iCs/>
          <w:sz w:val="24"/>
        </w:rPr>
        <w:t xml:space="preserve"> as the reference </w:t>
      </w:r>
      <w:r w:rsidR="007E3F0D">
        <w:rPr>
          <w:rFonts w:ascii="Times New Roman" w:hAnsi="Times New Roman" w:cs="Times New Roman"/>
          <w:iCs/>
          <w:sz w:val="24"/>
        </w:rPr>
        <w:t>panel</w:t>
      </w:r>
      <w:r w:rsidR="004807B6" w:rsidRPr="00C75B2E">
        <w:rPr>
          <w:rFonts w:ascii="Times New Roman" w:hAnsi="Times New Roman" w:cs="Times New Roman"/>
          <w:iCs/>
          <w:sz w:val="24"/>
        </w:rPr>
        <w:t>.</w:t>
      </w:r>
      <w:r w:rsidR="00011287">
        <w:rPr>
          <w:rFonts w:ascii="Times New Roman" w:hAnsi="Times New Roman" w:cs="Times New Roman"/>
          <w:iCs/>
          <w:sz w:val="24"/>
        </w:rPr>
        <w:t xml:space="preserve"> </w:t>
      </w:r>
      <w:r w:rsidR="00616354">
        <w:rPr>
          <w:rFonts w:ascii="Times New Roman" w:hAnsi="Times New Roman" w:cs="Times New Roman"/>
          <w:iCs/>
          <w:sz w:val="24"/>
        </w:rPr>
        <w:t xml:space="preserve">Variants with imputation INFO &lt;0.3 or MAF &lt;0.01 were excluded. </w:t>
      </w:r>
      <w:r w:rsidR="00DE2E74">
        <w:rPr>
          <w:rFonts w:ascii="Times New Roman" w:hAnsi="Times New Roman" w:cs="Times New Roman"/>
          <w:iCs/>
          <w:sz w:val="24"/>
        </w:rPr>
        <w:t>SUDs cases were determined based ICD9/10 codes and those not having any SUD were considered as controls.</w:t>
      </w:r>
      <w:r w:rsidR="007E3F0D">
        <w:rPr>
          <w:rFonts w:ascii="Times New Roman" w:hAnsi="Times New Roman" w:cs="Times New Roman"/>
          <w:iCs/>
          <w:sz w:val="24"/>
        </w:rPr>
        <w:t xml:space="preserve"> In both A</w:t>
      </w:r>
      <w:r w:rsidR="006A51B3">
        <w:rPr>
          <w:rFonts w:ascii="Times New Roman" w:hAnsi="Times New Roman" w:cs="Times New Roman"/>
          <w:iCs/>
          <w:sz w:val="24"/>
        </w:rPr>
        <w:t xml:space="preserve">ll </w:t>
      </w:r>
      <w:r w:rsidR="00151EFD">
        <w:rPr>
          <w:rFonts w:ascii="Times New Roman" w:hAnsi="Times New Roman" w:cs="Times New Roman"/>
          <w:iCs/>
          <w:sz w:val="24"/>
        </w:rPr>
        <w:t>of</w:t>
      </w:r>
      <w:r w:rsidR="006A51B3">
        <w:rPr>
          <w:rFonts w:ascii="Times New Roman" w:hAnsi="Times New Roman" w:cs="Times New Roman"/>
          <w:iCs/>
          <w:sz w:val="24"/>
        </w:rPr>
        <w:t xml:space="preserve"> Us </w:t>
      </w:r>
      <w:r w:rsidR="007E3F0D">
        <w:rPr>
          <w:rFonts w:ascii="Times New Roman" w:hAnsi="Times New Roman" w:cs="Times New Roman"/>
          <w:iCs/>
          <w:sz w:val="24"/>
        </w:rPr>
        <w:t xml:space="preserve">and </w:t>
      </w:r>
      <w:r w:rsidR="00151EFD">
        <w:rPr>
          <w:rFonts w:ascii="Times New Roman" w:hAnsi="Times New Roman" w:cs="Times New Roman"/>
          <w:iCs/>
          <w:sz w:val="24"/>
        </w:rPr>
        <w:t xml:space="preserve">the </w:t>
      </w:r>
      <w:r w:rsidR="007E3F0D">
        <w:rPr>
          <w:rFonts w:ascii="Times New Roman" w:hAnsi="Times New Roman" w:cs="Times New Roman"/>
          <w:iCs/>
          <w:sz w:val="24"/>
        </w:rPr>
        <w:t>I</w:t>
      </w:r>
      <w:r w:rsidR="006A51B3">
        <w:rPr>
          <w:rFonts w:ascii="Times New Roman" w:hAnsi="Times New Roman" w:cs="Times New Roman"/>
          <w:iCs/>
          <w:sz w:val="24"/>
        </w:rPr>
        <w:t xml:space="preserve">ndiana </w:t>
      </w:r>
      <w:r w:rsidR="007E3F0D">
        <w:rPr>
          <w:rFonts w:ascii="Times New Roman" w:hAnsi="Times New Roman" w:cs="Times New Roman"/>
          <w:iCs/>
          <w:sz w:val="24"/>
        </w:rPr>
        <w:t>B</w:t>
      </w:r>
      <w:r w:rsidR="006A51B3">
        <w:rPr>
          <w:rFonts w:ascii="Times New Roman" w:hAnsi="Times New Roman" w:cs="Times New Roman"/>
          <w:iCs/>
          <w:sz w:val="24"/>
        </w:rPr>
        <w:t>iobank</w:t>
      </w:r>
      <w:r w:rsidR="007E3F0D">
        <w:rPr>
          <w:rFonts w:ascii="Times New Roman" w:hAnsi="Times New Roman" w:cs="Times New Roman"/>
          <w:iCs/>
          <w:sz w:val="24"/>
        </w:rPr>
        <w:t xml:space="preserve">, for those related samples </w:t>
      </w:r>
      <w:r w:rsidR="006A51B3">
        <w:rPr>
          <w:rFonts w:ascii="Times New Roman" w:hAnsi="Times New Roman" w:cs="Times New Roman"/>
          <w:iCs/>
          <w:sz w:val="24"/>
        </w:rPr>
        <w:t xml:space="preserve">determined by identify by descent </w:t>
      </w:r>
      <w:r w:rsidR="007E3F0D">
        <w:rPr>
          <w:rFonts w:ascii="Times New Roman" w:hAnsi="Times New Roman" w:cs="Times New Roman"/>
          <w:iCs/>
          <w:sz w:val="24"/>
        </w:rPr>
        <w:t xml:space="preserve">(first and second degrees), we only kept one from each family by first selecting those having SUDs and/or higher </w:t>
      </w:r>
      <w:r w:rsidR="006A51B3">
        <w:rPr>
          <w:rFonts w:ascii="Times New Roman" w:hAnsi="Times New Roman" w:cs="Times New Roman"/>
          <w:iCs/>
          <w:sz w:val="24"/>
        </w:rPr>
        <w:t>call rate</w:t>
      </w:r>
      <w:r w:rsidR="007E3F0D">
        <w:rPr>
          <w:rFonts w:ascii="Times New Roman" w:hAnsi="Times New Roman" w:cs="Times New Roman"/>
          <w:iCs/>
          <w:sz w:val="24"/>
        </w:rPr>
        <w:t xml:space="preserve"> and if they were all controls or having similar</w:t>
      </w:r>
      <w:r w:rsidR="006A51B3">
        <w:rPr>
          <w:rFonts w:ascii="Times New Roman" w:hAnsi="Times New Roman" w:cs="Times New Roman"/>
          <w:iCs/>
          <w:sz w:val="24"/>
        </w:rPr>
        <w:t xml:space="preserve"> call rate</w:t>
      </w:r>
      <w:r w:rsidR="007E3F0D">
        <w:rPr>
          <w:rFonts w:ascii="Times New Roman" w:hAnsi="Times New Roman" w:cs="Times New Roman"/>
          <w:iCs/>
          <w:sz w:val="24"/>
        </w:rPr>
        <w:t xml:space="preserve">, then randomly selected one </w:t>
      </w:r>
      <w:r w:rsidR="001F28B6">
        <w:rPr>
          <w:rFonts w:ascii="Times New Roman" w:hAnsi="Times New Roman" w:cs="Times New Roman"/>
          <w:iCs/>
          <w:sz w:val="24"/>
        </w:rPr>
        <w:t>from</w:t>
      </w:r>
      <w:r w:rsidR="007E3F0D">
        <w:rPr>
          <w:rFonts w:ascii="Times New Roman" w:hAnsi="Times New Roman" w:cs="Times New Roman"/>
          <w:iCs/>
          <w:sz w:val="24"/>
        </w:rPr>
        <w:t xml:space="preserve"> each family.</w:t>
      </w:r>
    </w:p>
    <w:p w14:paraId="1166A57D" w14:textId="2AA970E5" w:rsidR="00616354" w:rsidRDefault="00011287" w:rsidP="00C75B2E">
      <w:pPr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In EA, </w:t>
      </w:r>
      <w:r w:rsidR="00170902">
        <w:rPr>
          <w:rFonts w:ascii="Times New Roman" w:hAnsi="Times New Roman" w:cs="Times New Roman"/>
          <w:iCs/>
          <w:sz w:val="24"/>
        </w:rPr>
        <w:t>we used</w:t>
      </w:r>
      <w:r w:rsidR="004708BD">
        <w:rPr>
          <w:rFonts w:ascii="Times New Roman" w:hAnsi="Times New Roman" w:cs="Times New Roman"/>
          <w:iCs/>
          <w:sz w:val="24"/>
        </w:rPr>
        <w:t xml:space="preserve"> variants </w:t>
      </w:r>
      <w:r w:rsidR="00151EFD">
        <w:rPr>
          <w:rFonts w:ascii="Times New Roman" w:hAnsi="Times New Roman" w:cs="Times New Roman"/>
          <w:iCs/>
          <w:sz w:val="24"/>
        </w:rPr>
        <w:t xml:space="preserve">with </w:t>
      </w:r>
      <w:r w:rsidR="00CB3DD1">
        <w:rPr>
          <w:rFonts w:ascii="Times New Roman" w:hAnsi="Times New Roman" w:cs="Times New Roman"/>
          <w:iCs/>
          <w:sz w:val="24"/>
        </w:rPr>
        <w:t xml:space="preserve">concordant </w:t>
      </w:r>
      <w:r w:rsidR="00151EFD">
        <w:rPr>
          <w:rFonts w:ascii="Times New Roman" w:hAnsi="Times New Roman" w:cs="Times New Roman"/>
          <w:iCs/>
          <w:sz w:val="24"/>
        </w:rPr>
        <w:t xml:space="preserve">effects </w:t>
      </w:r>
      <w:r w:rsidR="00CB3DD1">
        <w:rPr>
          <w:rFonts w:ascii="Times New Roman" w:hAnsi="Times New Roman" w:cs="Times New Roman"/>
          <w:iCs/>
          <w:sz w:val="24"/>
        </w:rPr>
        <w:t xml:space="preserve">across SUDs </w:t>
      </w:r>
      <w:r w:rsidR="00170902">
        <w:rPr>
          <w:rFonts w:ascii="Times New Roman" w:hAnsi="Times New Roman" w:cs="Times New Roman"/>
          <w:iCs/>
          <w:sz w:val="24"/>
        </w:rPr>
        <w:t xml:space="preserve">to calculate PGS. Using </w:t>
      </w:r>
      <w:r w:rsidR="00CB3DD1">
        <w:rPr>
          <w:rFonts w:ascii="Times New Roman" w:hAnsi="Times New Roman" w:cs="Times New Roman"/>
          <w:iCs/>
          <w:sz w:val="24"/>
        </w:rPr>
        <w:t xml:space="preserve">the </w:t>
      </w:r>
      <w:r w:rsidR="004708BD">
        <w:rPr>
          <w:rFonts w:ascii="Times New Roman" w:hAnsi="Times New Roman" w:cs="Times New Roman"/>
          <w:iCs/>
          <w:sz w:val="24"/>
        </w:rPr>
        <w:t>EA meta-analysis results as the discovery dataset</w:t>
      </w:r>
      <w:r w:rsidR="00170902">
        <w:rPr>
          <w:rFonts w:ascii="Times New Roman" w:hAnsi="Times New Roman" w:cs="Times New Roman"/>
          <w:iCs/>
          <w:sz w:val="24"/>
        </w:rPr>
        <w:t>, we estimated p</w:t>
      </w:r>
      <w:r>
        <w:rPr>
          <w:rFonts w:ascii="Times New Roman" w:hAnsi="Times New Roman" w:cs="Times New Roman"/>
          <w:iCs/>
          <w:sz w:val="24"/>
        </w:rPr>
        <w:t>osterior effect sizes of concordant variants using PRS-CS</w:t>
      </w:r>
      <w:r w:rsidR="008F21F0" w:rsidRPr="008F21F0">
        <w:rPr>
          <w:rFonts w:ascii="Times New Roman" w:hAnsi="Times New Roman" w:cs="Times New Roman"/>
          <w:iCs/>
          <w:noProof/>
          <w:sz w:val="24"/>
          <w:vertAlign w:val="superscript"/>
        </w:rPr>
        <w:t>30</w:t>
      </w:r>
      <w:r w:rsidR="00170902">
        <w:rPr>
          <w:rFonts w:ascii="Times New Roman" w:hAnsi="Times New Roman" w:cs="Times New Roman"/>
          <w:iCs/>
          <w:sz w:val="24"/>
        </w:rPr>
        <w:t xml:space="preserve"> with European samples from </w:t>
      </w:r>
      <w:r w:rsidR="007E3F0D">
        <w:rPr>
          <w:rFonts w:ascii="Times New Roman" w:hAnsi="Times New Roman" w:cs="Times New Roman"/>
          <w:iCs/>
          <w:sz w:val="24"/>
        </w:rPr>
        <w:t xml:space="preserve">the </w:t>
      </w:r>
      <w:r w:rsidR="00170902">
        <w:rPr>
          <w:rFonts w:ascii="Times New Roman" w:hAnsi="Times New Roman" w:cs="Times New Roman"/>
          <w:iCs/>
          <w:sz w:val="24"/>
        </w:rPr>
        <w:t>1000 Genomes project</w:t>
      </w:r>
      <w:r w:rsidR="00151EFD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170902">
        <w:rPr>
          <w:rFonts w:ascii="Times New Roman" w:hAnsi="Times New Roman" w:cs="Times New Roman"/>
          <w:iCs/>
          <w:sz w:val="24"/>
        </w:rPr>
        <w:t xml:space="preserve"> as the reference panel.</w:t>
      </w:r>
      <w:r w:rsidR="0001603A">
        <w:rPr>
          <w:rFonts w:ascii="Times New Roman" w:hAnsi="Times New Roman" w:cs="Times New Roman"/>
          <w:iCs/>
          <w:sz w:val="24"/>
        </w:rPr>
        <w:t xml:space="preserve"> For AA and LA, </w:t>
      </w:r>
      <w:r w:rsidR="006A51B3">
        <w:rPr>
          <w:rFonts w:ascii="Times New Roman" w:hAnsi="Times New Roman" w:cs="Times New Roman"/>
          <w:iCs/>
          <w:sz w:val="24"/>
        </w:rPr>
        <w:t xml:space="preserve">in addition to the </w:t>
      </w:r>
      <w:r w:rsidR="00992713">
        <w:rPr>
          <w:rFonts w:ascii="Times New Roman" w:hAnsi="Times New Roman" w:cs="Times New Roman"/>
          <w:iCs/>
          <w:sz w:val="24"/>
        </w:rPr>
        <w:t xml:space="preserve">meta-analyses results from </w:t>
      </w:r>
      <w:r w:rsidR="00170902">
        <w:rPr>
          <w:rFonts w:ascii="Times New Roman" w:hAnsi="Times New Roman" w:cs="Times New Roman"/>
          <w:iCs/>
          <w:sz w:val="24"/>
        </w:rPr>
        <w:t>AA and LA</w:t>
      </w:r>
      <w:r w:rsidR="00881895">
        <w:rPr>
          <w:rFonts w:ascii="Times New Roman" w:hAnsi="Times New Roman" w:cs="Times New Roman"/>
          <w:iCs/>
          <w:sz w:val="24"/>
        </w:rPr>
        <w:t>,</w:t>
      </w:r>
      <w:r w:rsidR="0055576A">
        <w:rPr>
          <w:rFonts w:ascii="Times New Roman" w:hAnsi="Times New Roman" w:cs="Times New Roman"/>
          <w:iCs/>
          <w:sz w:val="24"/>
        </w:rPr>
        <w:t xml:space="preserve"> </w:t>
      </w:r>
      <w:r w:rsidR="00151EFD">
        <w:rPr>
          <w:rFonts w:ascii="Times New Roman" w:hAnsi="Times New Roman" w:cs="Times New Roman"/>
          <w:iCs/>
          <w:sz w:val="24"/>
        </w:rPr>
        <w:t xml:space="preserve">respectively, </w:t>
      </w:r>
      <w:r w:rsidR="00170902">
        <w:rPr>
          <w:rFonts w:ascii="Times New Roman" w:hAnsi="Times New Roman" w:cs="Times New Roman"/>
          <w:iCs/>
          <w:sz w:val="24"/>
        </w:rPr>
        <w:t>EA</w:t>
      </w:r>
      <w:r w:rsidR="00881895">
        <w:rPr>
          <w:rFonts w:ascii="Times New Roman" w:hAnsi="Times New Roman" w:cs="Times New Roman"/>
          <w:iCs/>
          <w:sz w:val="24"/>
        </w:rPr>
        <w:t>s</w:t>
      </w:r>
      <w:r w:rsidR="00170902">
        <w:rPr>
          <w:rFonts w:ascii="Times New Roman" w:hAnsi="Times New Roman" w:cs="Times New Roman"/>
          <w:iCs/>
          <w:sz w:val="24"/>
        </w:rPr>
        <w:t xml:space="preserve"> results were </w:t>
      </w:r>
      <w:r w:rsidR="006A51B3">
        <w:rPr>
          <w:rFonts w:ascii="Times New Roman" w:hAnsi="Times New Roman" w:cs="Times New Roman"/>
          <w:iCs/>
          <w:sz w:val="24"/>
        </w:rPr>
        <w:t xml:space="preserve">also </w:t>
      </w:r>
      <w:r w:rsidR="00170902">
        <w:rPr>
          <w:rFonts w:ascii="Times New Roman" w:hAnsi="Times New Roman" w:cs="Times New Roman"/>
          <w:iCs/>
          <w:sz w:val="24"/>
        </w:rPr>
        <w:t>used as the discover</w:t>
      </w:r>
      <w:r w:rsidR="00742F19">
        <w:rPr>
          <w:rFonts w:ascii="Times New Roman" w:hAnsi="Times New Roman" w:cs="Times New Roman"/>
          <w:iCs/>
          <w:sz w:val="24"/>
        </w:rPr>
        <w:t>y</w:t>
      </w:r>
      <w:r w:rsidR="00170902">
        <w:rPr>
          <w:rFonts w:ascii="Times New Roman" w:hAnsi="Times New Roman" w:cs="Times New Roman"/>
          <w:iCs/>
          <w:sz w:val="24"/>
        </w:rPr>
        <w:t xml:space="preserve"> datasets</w:t>
      </w:r>
      <w:r w:rsidR="00151EFD">
        <w:rPr>
          <w:rFonts w:ascii="Times New Roman" w:hAnsi="Times New Roman" w:cs="Times New Roman"/>
          <w:iCs/>
          <w:sz w:val="24"/>
        </w:rPr>
        <w:t xml:space="preserve"> to increase the statistical power</w:t>
      </w:r>
      <w:r w:rsidR="00170902">
        <w:rPr>
          <w:rFonts w:ascii="Times New Roman" w:hAnsi="Times New Roman" w:cs="Times New Roman"/>
          <w:iCs/>
          <w:sz w:val="24"/>
        </w:rPr>
        <w:t xml:space="preserve">, but only variants having </w:t>
      </w:r>
      <w:r w:rsidR="0001603A">
        <w:rPr>
          <w:rFonts w:ascii="Times New Roman" w:hAnsi="Times New Roman" w:cs="Times New Roman"/>
          <w:iCs/>
          <w:sz w:val="24"/>
        </w:rPr>
        <w:t xml:space="preserve">concordant </w:t>
      </w:r>
      <w:r w:rsidR="00170902">
        <w:rPr>
          <w:rFonts w:ascii="Times New Roman" w:hAnsi="Times New Roman" w:cs="Times New Roman"/>
          <w:iCs/>
          <w:sz w:val="24"/>
        </w:rPr>
        <w:t>effects</w:t>
      </w:r>
      <w:r w:rsidR="0001603A">
        <w:rPr>
          <w:rFonts w:ascii="Times New Roman" w:hAnsi="Times New Roman" w:cs="Times New Roman"/>
          <w:iCs/>
          <w:sz w:val="24"/>
        </w:rPr>
        <w:t xml:space="preserve"> within AA and LA</w:t>
      </w:r>
      <w:r w:rsidR="00D40949">
        <w:rPr>
          <w:rFonts w:ascii="Times New Roman" w:hAnsi="Times New Roman" w:cs="Times New Roman"/>
          <w:iCs/>
          <w:sz w:val="24"/>
        </w:rPr>
        <w:t xml:space="preserve"> (regardless of their </w:t>
      </w:r>
      <w:r w:rsidR="00D40949">
        <w:rPr>
          <w:rFonts w:ascii="Times New Roman" w:hAnsi="Times New Roman" w:cs="Times New Roman"/>
          <w:iCs/>
          <w:sz w:val="24"/>
        </w:rPr>
        <w:lastRenderedPageBreak/>
        <w:t>directions of effects in EA)</w:t>
      </w:r>
      <w:r w:rsidR="0001603A">
        <w:rPr>
          <w:rFonts w:ascii="Times New Roman" w:hAnsi="Times New Roman" w:cs="Times New Roman"/>
          <w:iCs/>
          <w:sz w:val="24"/>
        </w:rPr>
        <w:t>, respectively</w:t>
      </w:r>
      <w:r w:rsidR="00170902">
        <w:rPr>
          <w:rFonts w:ascii="Times New Roman" w:hAnsi="Times New Roman" w:cs="Times New Roman"/>
          <w:iCs/>
          <w:sz w:val="24"/>
        </w:rPr>
        <w:t xml:space="preserve">, were included in calculating PGS. </w:t>
      </w:r>
      <w:r w:rsidR="00DE2E74">
        <w:rPr>
          <w:rFonts w:ascii="Times New Roman" w:hAnsi="Times New Roman" w:cs="Times New Roman"/>
          <w:iCs/>
          <w:sz w:val="24"/>
        </w:rPr>
        <w:t>Combined p</w:t>
      </w:r>
      <w:r w:rsidR="00170902">
        <w:rPr>
          <w:rFonts w:ascii="Times New Roman" w:hAnsi="Times New Roman" w:cs="Times New Roman"/>
          <w:iCs/>
          <w:sz w:val="24"/>
        </w:rPr>
        <w:t xml:space="preserve">osterior effect sizes </w:t>
      </w:r>
      <w:r w:rsidR="00DE2E74">
        <w:rPr>
          <w:rFonts w:ascii="Times New Roman" w:hAnsi="Times New Roman" w:cs="Times New Roman"/>
          <w:iCs/>
          <w:sz w:val="24"/>
        </w:rPr>
        <w:t xml:space="preserve">across different populations </w:t>
      </w:r>
      <w:r w:rsidR="00170902">
        <w:rPr>
          <w:rFonts w:ascii="Times New Roman" w:hAnsi="Times New Roman" w:cs="Times New Roman"/>
          <w:iCs/>
          <w:sz w:val="24"/>
        </w:rPr>
        <w:t>were estimated by using PRS-CSx</w:t>
      </w:r>
      <w:r w:rsidR="00DE2E74">
        <w:rPr>
          <w:rFonts w:ascii="Times New Roman" w:hAnsi="Times New Roman" w:cs="Times New Roman"/>
          <w:iCs/>
          <w:sz w:val="24"/>
        </w:rPr>
        <w:t xml:space="preserve"> (i.e., meta-analysis results from PRS-CSx)</w:t>
      </w:r>
      <w:r w:rsidR="008F21F0" w:rsidRPr="008F21F0">
        <w:rPr>
          <w:rFonts w:ascii="Times New Roman" w:hAnsi="Times New Roman" w:cs="Times New Roman"/>
          <w:iCs/>
          <w:noProof/>
          <w:sz w:val="24"/>
          <w:vertAlign w:val="superscript"/>
        </w:rPr>
        <w:t>31</w:t>
      </w:r>
      <w:r w:rsidR="00170902">
        <w:rPr>
          <w:rFonts w:ascii="Times New Roman" w:hAnsi="Times New Roman" w:cs="Times New Roman"/>
          <w:iCs/>
          <w:sz w:val="24"/>
        </w:rPr>
        <w:t xml:space="preserve">. </w:t>
      </w:r>
      <w:r w:rsidR="00D40949">
        <w:rPr>
          <w:rFonts w:ascii="Times New Roman" w:hAnsi="Times New Roman" w:cs="Times New Roman"/>
          <w:iCs/>
          <w:sz w:val="24"/>
        </w:rPr>
        <w:t xml:space="preserve">African (for AA) and American Mixed (for LA) samples from </w:t>
      </w:r>
      <w:r w:rsidR="007E3F0D">
        <w:rPr>
          <w:rFonts w:ascii="Times New Roman" w:hAnsi="Times New Roman" w:cs="Times New Roman"/>
          <w:iCs/>
          <w:sz w:val="24"/>
        </w:rPr>
        <w:t xml:space="preserve">the </w:t>
      </w:r>
      <w:r w:rsidR="00D40949">
        <w:rPr>
          <w:rFonts w:ascii="Times New Roman" w:hAnsi="Times New Roman" w:cs="Times New Roman"/>
          <w:iCs/>
          <w:sz w:val="24"/>
        </w:rPr>
        <w:t>1000 Genomes Project</w:t>
      </w:r>
      <w:r w:rsidR="00151EFD" w:rsidRPr="0054338E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D40949">
        <w:rPr>
          <w:rFonts w:ascii="Times New Roman" w:hAnsi="Times New Roman" w:cs="Times New Roman"/>
          <w:iCs/>
          <w:sz w:val="24"/>
        </w:rPr>
        <w:t xml:space="preserve"> were used as the reference panels. </w:t>
      </w:r>
      <w:r w:rsidR="00C51ED1">
        <w:rPr>
          <w:rFonts w:ascii="Times New Roman" w:hAnsi="Times New Roman" w:cs="Times New Roman"/>
          <w:iCs/>
          <w:sz w:val="24"/>
        </w:rPr>
        <w:t>In A</w:t>
      </w:r>
      <w:r w:rsidR="005F3933">
        <w:rPr>
          <w:rFonts w:ascii="Times New Roman" w:hAnsi="Times New Roman" w:cs="Times New Roman"/>
          <w:iCs/>
          <w:sz w:val="24"/>
        </w:rPr>
        <w:t>ll of US</w:t>
      </w:r>
      <w:r w:rsidR="00C51ED1">
        <w:rPr>
          <w:rFonts w:ascii="Times New Roman" w:hAnsi="Times New Roman" w:cs="Times New Roman"/>
          <w:iCs/>
          <w:sz w:val="24"/>
        </w:rPr>
        <w:t xml:space="preserve">, PGS were calculated as </w:t>
      </w:r>
      <w:r w:rsidR="00D40949">
        <w:rPr>
          <w:rFonts w:ascii="Times New Roman" w:hAnsi="Times New Roman" w:cs="Times New Roman"/>
          <w:iCs/>
          <w:sz w:val="24"/>
        </w:rPr>
        <w:t xml:space="preserve">the </w:t>
      </w:r>
      <w:r w:rsidR="00C51ED1">
        <w:rPr>
          <w:rFonts w:ascii="Times New Roman" w:hAnsi="Times New Roman" w:cs="Times New Roman"/>
          <w:iCs/>
          <w:sz w:val="24"/>
        </w:rPr>
        <w:t xml:space="preserve">sum of numbers of alleles times posterior effect sizes. </w:t>
      </w:r>
      <w:r w:rsidR="005F3933">
        <w:rPr>
          <w:rFonts w:ascii="Times New Roman" w:hAnsi="Times New Roman" w:cs="Times New Roman"/>
          <w:iCs/>
          <w:sz w:val="24"/>
        </w:rPr>
        <w:t xml:space="preserve">If a genotype was not successfully sequenced, then it was </w:t>
      </w:r>
      <w:r w:rsidR="00D40949">
        <w:rPr>
          <w:rFonts w:ascii="Times New Roman" w:hAnsi="Times New Roman" w:cs="Times New Roman"/>
          <w:iCs/>
          <w:sz w:val="24"/>
        </w:rPr>
        <w:t>imputed as the mean allele counts based on the allele frequencies by using PLINK</w:t>
      </w:r>
      <w:r w:rsidR="008F21F0" w:rsidRPr="008F21F0">
        <w:rPr>
          <w:rFonts w:ascii="Times New Roman" w:hAnsi="Times New Roman" w:cs="Times New Roman"/>
          <w:iCs/>
          <w:noProof/>
          <w:sz w:val="24"/>
          <w:vertAlign w:val="superscript"/>
        </w:rPr>
        <w:t>32,33</w:t>
      </w:r>
      <w:r w:rsidR="00D40949">
        <w:rPr>
          <w:rFonts w:ascii="Times New Roman" w:hAnsi="Times New Roman" w:cs="Times New Roman"/>
          <w:iCs/>
          <w:sz w:val="24"/>
        </w:rPr>
        <w:t xml:space="preserve">. In </w:t>
      </w:r>
      <w:r w:rsidR="00151EFD">
        <w:rPr>
          <w:rFonts w:ascii="Times New Roman" w:hAnsi="Times New Roman" w:cs="Times New Roman"/>
          <w:iCs/>
          <w:sz w:val="24"/>
        </w:rPr>
        <w:t xml:space="preserve">the </w:t>
      </w:r>
      <w:r w:rsidR="00D40949">
        <w:rPr>
          <w:rFonts w:ascii="Times New Roman" w:hAnsi="Times New Roman" w:cs="Times New Roman"/>
          <w:iCs/>
          <w:sz w:val="24"/>
        </w:rPr>
        <w:t>I</w:t>
      </w:r>
      <w:r w:rsidR="005F3933">
        <w:rPr>
          <w:rFonts w:ascii="Times New Roman" w:hAnsi="Times New Roman" w:cs="Times New Roman"/>
          <w:iCs/>
          <w:sz w:val="24"/>
        </w:rPr>
        <w:t>ndiana Biobank</w:t>
      </w:r>
      <w:r w:rsidR="00D40949">
        <w:rPr>
          <w:rFonts w:ascii="Times New Roman" w:hAnsi="Times New Roman" w:cs="Times New Roman"/>
          <w:iCs/>
          <w:sz w:val="24"/>
        </w:rPr>
        <w:t>,</w:t>
      </w:r>
      <w:r w:rsidR="00C51ED1">
        <w:rPr>
          <w:rFonts w:ascii="Times New Roman" w:hAnsi="Times New Roman" w:cs="Times New Roman"/>
          <w:iCs/>
          <w:sz w:val="24"/>
        </w:rPr>
        <w:t xml:space="preserve"> </w:t>
      </w:r>
      <w:r w:rsidR="00D40949">
        <w:rPr>
          <w:rFonts w:ascii="Times New Roman" w:hAnsi="Times New Roman" w:cs="Times New Roman"/>
          <w:iCs/>
          <w:sz w:val="24"/>
        </w:rPr>
        <w:t xml:space="preserve">PGS were calculated as the sum of </w:t>
      </w:r>
      <w:r w:rsidR="00C727B4">
        <w:rPr>
          <w:rFonts w:ascii="Times New Roman" w:hAnsi="Times New Roman" w:cs="Times New Roman"/>
          <w:iCs/>
          <w:sz w:val="24"/>
        </w:rPr>
        <w:t xml:space="preserve">imputed </w:t>
      </w:r>
      <w:r w:rsidR="00D40949">
        <w:rPr>
          <w:rFonts w:ascii="Times New Roman" w:hAnsi="Times New Roman" w:cs="Times New Roman"/>
          <w:iCs/>
          <w:sz w:val="24"/>
        </w:rPr>
        <w:t>dosage</w:t>
      </w:r>
      <w:r w:rsidR="00C727B4">
        <w:rPr>
          <w:rFonts w:ascii="Times New Roman" w:hAnsi="Times New Roman" w:cs="Times New Roman"/>
          <w:iCs/>
          <w:sz w:val="24"/>
        </w:rPr>
        <w:t>s</w:t>
      </w:r>
      <w:r w:rsidR="00D40949">
        <w:rPr>
          <w:rFonts w:ascii="Times New Roman" w:hAnsi="Times New Roman" w:cs="Times New Roman"/>
          <w:iCs/>
          <w:sz w:val="24"/>
        </w:rPr>
        <w:t xml:space="preserve"> times posterior effect sizes. </w:t>
      </w:r>
    </w:p>
    <w:p w14:paraId="5BCBD857" w14:textId="6978E6DE" w:rsidR="00616354" w:rsidRPr="00616354" w:rsidRDefault="00D40949" w:rsidP="00616354">
      <w:pPr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All PGS were calculated by using PLINK</w:t>
      </w:r>
      <w:r w:rsidR="008F21F0" w:rsidRPr="008F21F0">
        <w:rPr>
          <w:rFonts w:ascii="Times New Roman" w:hAnsi="Times New Roman" w:cs="Times New Roman"/>
          <w:iCs/>
          <w:noProof/>
          <w:sz w:val="24"/>
          <w:vertAlign w:val="superscript"/>
        </w:rPr>
        <w:t>32,33</w:t>
      </w:r>
      <w:r>
        <w:rPr>
          <w:rFonts w:ascii="Times New Roman" w:hAnsi="Times New Roman" w:cs="Times New Roman"/>
          <w:iCs/>
          <w:sz w:val="24"/>
        </w:rPr>
        <w:t xml:space="preserve">. For each PGS calculation, </w:t>
      </w:r>
      <w:r w:rsidR="00151EFD">
        <w:rPr>
          <w:rFonts w:ascii="Times New Roman" w:hAnsi="Times New Roman" w:cs="Times New Roman"/>
          <w:iCs/>
          <w:sz w:val="24"/>
        </w:rPr>
        <w:t xml:space="preserve">since </w:t>
      </w:r>
      <w:r>
        <w:rPr>
          <w:rFonts w:ascii="Times New Roman" w:hAnsi="Times New Roman" w:cs="Times New Roman"/>
          <w:iCs/>
          <w:sz w:val="24"/>
        </w:rPr>
        <w:t>the exact same set of variant</w:t>
      </w:r>
      <w:r w:rsidR="005F3933">
        <w:rPr>
          <w:rFonts w:ascii="Times New Roman" w:hAnsi="Times New Roman" w:cs="Times New Roman"/>
          <w:iCs/>
          <w:sz w:val="24"/>
        </w:rPr>
        <w:t xml:space="preserve">s, effective allele, and their effect sizes </w:t>
      </w:r>
      <w:r w:rsidR="00616354">
        <w:rPr>
          <w:rFonts w:ascii="Times New Roman" w:hAnsi="Times New Roman" w:cs="Times New Roman"/>
          <w:iCs/>
          <w:sz w:val="24"/>
        </w:rPr>
        <w:t xml:space="preserve">were used in both </w:t>
      </w:r>
      <w:r w:rsidR="005F3933">
        <w:rPr>
          <w:rFonts w:ascii="Times New Roman" w:hAnsi="Times New Roman" w:cs="Times New Roman"/>
          <w:iCs/>
          <w:sz w:val="24"/>
        </w:rPr>
        <w:t xml:space="preserve">All of Us </w:t>
      </w:r>
      <w:r w:rsidR="00616354">
        <w:rPr>
          <w:rFonts w:ascii="Times New Roman" w:hAnsi="Times New Roman" w:cs="Times New Roman"/>
          <w:iCs/>
          <w:sz w:val="24"/>
        </w:rPr>
        <w:t xml:space="preserve">and </w:t>
      </w:r>
      <w:r w:rsidR="00151EFD">
        <w:rPr>
          <w:rFonts w:ascii="Times New Roman" w:hAnsi="Times New Roman" w:cs="Times New Roman"/>
          <w:iCs/>
          <w:sz w:val="24"/>
        </w:rPr>
        <w:t xml:space="preserve">the </w:t>
      </w:r>
      <w:r w:rsidR="005F3933">
        <w:rPr>
          <w:rFonts w:ascii="Times New Roman" w:hAnsi="Times New Roman" w:cs="Times New Roman"/>
          <w:iCs/>
          <w:sz w:val="24"/>
        </w:rPr>
        <w:t>Indiana Biobank</w:t>
      </w:r>
      <w:r w:rsidR="00616354">
        <w:rPr>
          <w:rFonts w:ascii="Times New Roman" w:hAnsi="Times New Roman" w:cs="Times New Roman"/>
          <w:iCs/>
          <w:sz w:val="24"/>
        </w:rPr>
        <w:t xml:space="preserve">; therefore, PGS from </w:t>
      </w:r>
      <w:r w:rsidR="005F3933">
        <w:rPr>
          <w:rFonts w:ascii="Times New Roman" w:hAnsi="Times New Roman" w:cs="Times New Roman"/>
          <w:iCs/>
          <w:sz w:val="24"/>
        </w:rPr>
        <w:t xml:space="preserve">both All of Us </w:t>
      </w:r>
      <w:r w:rsidR="00616354">
        <w:rPr>
          <w:rFonts w:ascii="Times New Roman" w:hAnsi="Times New Roman" w:cs="Times New Roman"/>
          <w:iCs/>
          <w:sz w:val="24"/>
        </w:rPr>
        <w:t xml:space="preserve">and </w:t>
      </w:r>
      <w:r w:rsidR="00151EFD">
        <w:rPr>
          <w:rFonts w:ascii="Times New Roman" w:hAnsi="Times New Roman" w:cs="Times New Roman"/>
          <w:iCs/>
          <w:sz w:val="24"/>
        </w:rPr>
        <w:t xml:space="preserve">the </w:t>
      </w:r>
      <w:r w:rsidR="005F3933">
        <w:rPr>
          <w:rFonts w:ascii="Times New Roman" w:hAnsi="Times New Roman" w:cs="Times New Roman"/>
          <w:iCs/>
          <w:sz w:val="24"/>
        </w:rPr>
        <w:t xml:space="preserve">Indiana Biobank </w:t>
      </w:r>
      <w:r w:rsidR="00616354">
        <w:rPr>
          <w:rFonts w:ascii="Times New Roman" w:hAnsi="Times New Roman" w:cs="Times New Roman"/>
          <w:iCs/>
          <w:sz w:val="24"/>
        </w:rPr>
        <w:t xml:space="preserve">were combined to identify those 5% </w:t>
      </w:r>
      <w:r w:rsidR="00742F19">
        <w:rPr>
          <w:rFonts w:ascii="Times New Roman" w:hAnsi="Times New Roman" w:cs="Times New Roman"/>
          <w:iCs/>
          <w:sz w:val="24"/>
        </w:rPr>
        <w:t>individual</w:t>
      </w:r>
      <w:r w:rsidR="00616354">
        <w:rPr>
          <w:rFonts w:ascii="Times New Roman" w:hAnsi="Times New Roman" w:cs="Times New Roman"/>
          <w:iCs/>
          <w:sz w:val="24"/>
        </w:rPr>
        <w:t>s with the highest PGS. Logistic regression was used with sex</w:t>
      </w:r>
      <w:r w:rsidR="005F3933">
        <w:rPr>
          <w:rFonts w:ascii="Times New Roman" w:hAnsi="Times New Roman" w:cs="Times New Roman"/>
          <w:iCs/>
          <w:sz w:val="24"/>
        </w:rPr>
        <w:t xml:space="preserve"> (not used in sex-stratified analyses)</w:t>
      </w:r>
      <w:r w:rsidR="00616354">
        <w:rPr>
          <w:rFonts w:ascii="Times New Roman" w:hAnsi="Times New Roman" w:cs="Times New Roman"/>
          <w:iCs/>
          <w:sz w:val="24"/>
        </w:rPr>
        <w:t xml:space="preserve">, age, and the first 10 PCs as covariates. For </w:t>
      </w:r>
      <w:r w:rsidR="007E3F0D">
        <w:rPr>
          <w:rFonts w:ascii="Times New Roman" w:hAnsi="Times New Roman" w:cs="Times New Roman"/>
          <w:iCs/>
          <w:sz w:val="24"/>
        </w:rPr>
        <w:t xml:space="preserve">SUDs </w:t>
      </w:r>
      <w:r w:rsidR="00616354">
        <w:rPr>
          <w:rFonts w:ascii="Times New Roman" w:hAnsi="Times New Roman" w:cs="Times New Roman"/>
          <w:iCs/>
          <w:sz w:val="24"/>
        </w:rPr>
        <w:t xml:space="preserve">cases, age was defined as the age of </w:t>
      </w:r>
      <w:r w:rsidR="007E3F0D">
        <w:rPr>
          <w:rFonts w:ascii="Times New Roman" w:hAnsi="Times New Roman" w:cs="Times New Roman"/>
          <w:iCs/>
          <w:sz w:val="24"/>
        </w:rPr>
        <w:t xml:space="preserve">the </w:t>
      </w:r>
      <w:r w:rsidR="00616354">
        <w:rPr>
          <w:rFonts w:ascii="Times New Roman" w:hAnsi="Times New Roman" w:cs="Times New Roman"/>
          <w:iCs/>
          <w:sz w:val="24"/>
        </w:rPr>
        <w:t xml:space="preserve">first diagnosis; for controls, age was defined as </w:t>
      </w:r>
      <w:r w:rsidR="007E3F0D">
        <w:rPr>
          <w:rFonts w:ascii="Times New Roman" w:hAnsi="Times New Roman" w:cs="Times New Roman"/>
          <w:iCs/>
          <w:sz w:val="24"/>
        </w:rPr>
        <w:t xml:space="preserve">the age </w:t>
      </w:r>
      <w:r w:rsidR="00616354">
        <w:rPr>
          <w:rFonts w:ascii="Times New Roman" w:hAnsi="Times New Roman" w:cs="Times New Roman"/>
          <w:iCs/>
          <w:sz w:val="24"/>
        </w:rPr>
        <w:t>at the last interview. Additionally, an array indicator was included</w:t>
      </w:r>
      <w:r w:rsidR="007E3F0D">
        <w:rPr>
          <w:rFonts w:ascii="Times New Roman" w:hAnsi="Times New Roman" w:cs="Times New Roman"/>
          <w:iCs/>
          <w:sz w:val="24"/>
        </w:rPr>
        <w:t xml:space="preserve"> as a covariate</w:t>
      </w:r>
      <w:r w:rsidR="00616354">
        <w:rPr>
          <w:rFonts w:ascii="Times New Roman" w:hAnsi="Times New Roman" w:cs="Times New Roman"/>
          <w:iCs/>
          <w:sz w:val="24"/>
        </w:rPr>
        <w:t xml:space="preserve"> in </w:t>
      </w:r>
      <w:r w:rsidR="00151EFD">
        <w:rPr>
          <w:rFonts w:ascii="Times New Roman" w:hAnsi="Times New Roman" w:cs="Times New Roman"/>
          <w:iCs/>
          <w:sz w:val="24"/>
        </w:rPr>
        <w:t>the analys</w:t>
      </w:r>
      <w:r w:rsidR="00D47188">
        <w:rPr>
          <w:rFonts w:ascii="Times New Roman" w:hAnsi="Times New Roman" w:cs="Times New Roman"/>
          <w:iCs/>
          <w:sz w:val="24"/>
        </w:rPr>
        <w:t>es</w:t>
      </w:r>
      <w:r w:rsidR="00151EFD">
        <w:rPr>
          <w:rFonts w:ascii="Times New Roman" w:hAnsi="Times New Roman" w:cs="Times New Roman"/>
          <w:iCs/>
          <w:sz w:val="24"/>
        </w:rPr>
        <w:t xml:space="preserve"> of </w:t>
      </w:r>
      <w:r w:rsidR="00694920">
        <w:rPr>
          <w:rFonts w:ascii="Times New Roman" w:hAnsi="Times New Roman" w:cs="Times New Roman"/>
          <w:iCs/>
          <w:sz w:val="24"/>
        </w:rPr>
        <w:t xml:space="preserve">the </w:t>
      </w:r>
      <w:r w:rsidR="00151EFD">
        <w:rPr>
          <w:rFonts w:ascii="Times New Roman" w:hAnsi="Times New Roman" w:cs="Times New Roman"/>
          <w:iCs/>
          <w:sz w:val="24"/>
        </w:rPr>
        <w:t>Indiana Biobank data</w:t>
      </w:r>
      <w:r w:rsidR="00616354">
        <w:rPr>
          <w:rFonts w:ascii="Times New Roman" w:hAnsi="Times New Roman" w:cs="Times New Roman"/>
          <w:iCs/>
          <w:sz w:val="24"/>
        </w:rPr>
        <w:t xml:space="preserve">. </w:t>
      </w:r>
    </w:p>
    <w:p w14:paraId="6A98696C" w14:textId="05621289" w:rsidR="0001603A" w:rsidRPr="0001603A" w:rsidRDefault="0001603A" w:rsidP="002012F4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 w:rsidRPr="0001603A">
        <w:rPr>
          <w:rFonts w:ascii="Times New Roman" w:hAnsi="Times New Roman" w:cs="Times New Roman"/>
          <w:b/>
          <w:bCs/>
          <w:sz w:val="24"/>
          <w:szCs w:val="24"/>
        </w:rPr>
        <w:t>Drug repurposing</w:t>
      </w:r>
    </w:p>
    <w:p w14:paraId="07C49B61" w14:textId="74271E2B" w:rsidR="008F0C55" w:rsidRDefault="002C0E7C" w:rsidP="008F0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1603A" w:rsidRPr="003A3743">
        <w:rPr>
          <w:rFonts w:ascii="Times New Roman" w:hAnsi="Times New Roman" w:cs="Times New Roman"/>
          <w:sz w:val="24"/>
          <w:szCs w:val="24"/>
        </w:rPr>
        <w:t>e searched the Drug Gene Interaction Database (DGIdb, v4.2.0</w:t>
      </w:r>
      <w:r w:rsidR="008E49A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8E49A1" w:rsidRPr="003C2614">
          <w:rPr>
            <w:rStyle w:val="Hyperlink"/>
            <w:rFonts w:ascii="Times New Roman" w:hAnsi="Times New Roman" w:cs="Times New Roman"/>
            <w:sz w:val="24"/>
            <w:szCs w:val="24"/>
          </w:rPr>
          <w:t>https://www.dgidb.org/</w:t>
        </w:r>
      </w:hyperlink>
      <w:r w:rsidR="008E49A1">
        <w:rPr>
          <w:rFonts w:ascii="Times New Roman" w:hAnsi="Times New Roman" w:cs="Times New Roman"/>
          <w:sz w:val="24"/>
          <w:szCs w:val="24"/>
        </w:rPr>
        <w:t>, accessed 05/01/2023</w:t>
      </w:r>
      <w:r w:rsidR="0001603A" w:rsidRPr="003A3743">
        <w:rPr>
          <w:rFonts w:ascii="Times New Roman" w:hAnsi="Times New Roman" w:cs="Times New Roman"/>
          <w:sz w:val="24"/>
          <w:szCs w:val="24"/>
        </w:rPr>
        <w:t>)</w:t>
      </w:r>
      <w:r w:rsidR="008F21F0" w:rsidRPr="008F21F0">
        <w:rPr>
          <w:rFonts w:ascii="Times New Roman" w:hAnsi="Times New Roman" w:cs="Times New Roman"/>
          <w:noProof/>
          <w:sz w:val="24"/>
          <w:szCs w:val="24"/>
          <w:vertAlign w:val="superscript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3A3743">
        <w:rPr>
          <w:rFonts w:ascii="Times New Roman" w:hAnsi="Times New Roman" w:cs="Times New Roman"/>
          <w:sz w:val="24"/>
          <w:szCs w:val="24"/>
        </w:rPr>
        <w:t xml:space="preserve">o identify drugs targeting </w:t>
      </w:r>
      <w:r>
        <w:rPr>
          <w:rFonts w:ascii="Times New Roman" w:hAnsi="Times New Roman" w:cs="Times New Roman"/>
          <w:sz w:val="24"/>
          <w:szCs w:val="24"/>
        </w:rPr>
        <w:t>prioritized</w:t>
      </w:r>
      <w:r w:rsidRPr="003A3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genes</w:t>
      </w:r>
      <w:r w:rsidR="0001603A" w:rsidRPr="003A3743">
        <w:rPr>
          <w:rFonts w:ascii="Times New Roman" w:hAnsi="Times New Roman" w:cs="Times New Roman"/>
          <w:sz w:val="24"/>
          <w:szCs w:val="24"/>
        </w:rPr>
        <w:t xml:space="preserve">. </w:t>
      </w:r>
      <w:r w:rsidR="008E49A1">
        <w:rPr>
          <w:rFonts w:ascii="Times New Roman" w:hAnsi="Times New Roman" w:cs="Times New Roman"/>
          <w:sz w:val="24"/>
          <w:szCs w:val="24"/>
        </w:rPr>
        <w:t xml:space="preserve">We limited to those </w:t>
      </w:r>
      <w:r w:rsidR="0001603A" w:rsidRPr="003A3743">
        <w:rPr>
          <w:rFonts w:ascii="Times New Roman" w:hAnsi="Times New Roman" w:cs="Times New Roman"/>
          <w:sz w:val="24"/>
          <w:szCs w:val="24"/>
        </w:rPr>
        <w:t>drugs</w:t>
      </w:r>
      <w:r w:rsidR="0061205D">
        <w:rPr>
          <w:rFonts w:ascii="Times New Roman" w:hAnsi="Times New Roman" w:cs="Times New Roman"/>
          <w:sz w:val="24"/>
          <w:szCs w:val="24"/>
        </w:rPr>
        <w:t xml:space="preserve"> approved by </w:t>
      </w:r>
      <w:r w:rsidR="00AA7BFB">
        <w:rPr>
          <w:rFonts w:ascii="Times New Roman" w:hAnsi="Times New Roman" w:cs="Times New Roman"/>
          <w:sz w:val="24"/>
          <w:szCs w:val="24"/>
        </w:rPr>
        <w:t xml:space="preserve">the </w:t>
      </w:r>
      <w:r w:rsidR="000B5270">
        <w:rPr>
          <w:rFonts w:ascii="Times New Roman" w:hAnsi="Times New Roman" w:cs="Times New Roman"/>
          <w:sz w:val="24"/>
          <w:szCs w:val="24"/>
        </w:rPr>
        <w:t>Food and Drug Administration</w:t>
      </w:r>
      <w:r w:rsidR="0061205D">
        <w:rPr>
          <w:rFonts w:ascii="Times New Roman" w:hAnsi="Times New Roman" w:cs="Times New Roman"/>
          <w:sz w:val="24"/>
          <w:szCs w:val="24"/>
        </w:rPr>
        <w:t xml:space="preserve">. </w:t>
      </w:r>
      <w:r w:rsidR="00370545">
        <w:rPr>
          <w:rFonts w:ascii="Times New Roman" w:hAnsi="Times New Roman" w:cs="Times New Roman"/>
          <w:sz w:val="24"/>
          <w:szCs w:val="24"/>
        </w:rPr>
        <w:t>T</w:t>
      </w:r>
      <w:r w:rsidR="0001603A" w:rsidRPr="003A3743">
        <w:rPr>
          <w:rFonts w:ascii="Times New Roman" w:hAnsi="Times New Roman" w:cs="Times New Roman"/>
          <w:sz w:val="24"/>
          <w:szCs w:val="24"/>
        </w:rPr>
        <w:t xml:space="preserve">he Anatomical Therapeutic Chemical (ATC) codes </w:t>
      </w:r>
      <w:r w:rsidR="00370545">
        <w:rPr>
          <w:rFonts w:ascii="Times New Roman" w:hAnsi="Times New Roman" w:cs="Times New Roman"/>
          <w:sz w:val="24"/>
          <w:szCs w:val="24"/>
        </w:rPr>
        <w:t xml:space="preserve">of drugs were </w:t>
      </w:r>
      <w:r w:rsidR="0001603A" w:rsidRPr="003A3743">
        <w:rPr>
          <w:rFonts w:ascii="Times New Roman" w:hAnsi="Times New Roman" w:cs="Times New Roman"/>
          <w:sz w:val="24"/>
          <w:szCs w:val="24"/>
        </w:rPr>
        <w:t xml:space="preserve">obtained from the KEGG: </w:t>
      </w:r>
      <w:hyperlink r:id="rId8" w:history="1">
        <w:r w:rsidR="0001603A" w:rsidRPr="003A3743">
          <w:rPr>
            <w:rStyle w:val="Hyperlink"/>
            <w:rFonts w:ascii="Times New Roman" w:hAnsi="Times New Roman" w:cs="Times New Roman"/>
            <w:sz w:val="24"/>
            <w:szCs w:val="24"/>
          </w:rPr>
          <w:t>https://www.genome.jp/kegg/drug/</w:t>
        </w:r>
      </w:hyperlink>
      <w:r w:rsidR="0001603A" w:rsidRPr="003A3743">
        <w:rPr>
          <w:rFonts w:ascii="Times New Roman" w:hAnsi="Times New Roman" w:cs="Times New Roman"/>
          <w:sz w:val="24"/>
          <w:szCs w:val="24"/>
        </w:rPr>
        <w:t>)</w:t>
      </w:r>
      <w:r w:rsidR="008E49A1">
        <w:rPr>
          <w:rFonts w:ascii="Times New Roman" w:hAnsi="Times New Roman" w:cs="Times New Roman"/>
          <w:sz w:val="24"/>
          <w:szCs w:val="24"/>
        </w:rPr>
        <w:t xml:space="preserve">. </w:t>
      </w:r>
      <w:r w:rsidR="000B5270">
        <w:rPr>
          <w:rFonts w:ascii="Times New Roman" w:hAnsi="Times New Roman" w:cs="Times New Roman"/>
          <w:sz w:val="24"/>
          <w:szCs w:val="24"/>
        </w:rPr>
        <w:t xml:space="preserve">We then 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selected five repurposable drugs </w:t>
      </w:r>
      <w:r w:rsidR="000B5270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F7147F">
        <w:rPr>
          <w:rFonts w:ascii="Times New Roman" w:hAnsi="Times New Roman" w:cs="Times New Roman"/>
          <w:sz w:val="24"/>
          <w:szCs w:val="24"/>
        </w:rPr>
        <w:t>four</w:t>
      </w:r>
      <w:r w:rsidR="000B5270">
        <w:rPr>
          <w:rFonts w:ascii="Times New Roman" w:hAnsi="Times New Roman" w:cs="Times New Roman"/>
          <w:sz w:val="24"/>
          <w:szCs w:val="24"/>
        </w:rPr>
        <w:t xml:space="preserve"> criteria described in the main text. Since these five drugs belong to three ATC level 4 classes (</w:t>
      </w:r>
      <w:r w:rsidR="00FD7FC8" w:rsidRPr="00FD7FC8">
        <w:rPr>
          <w:rFonts w:ascii="Times New Roman" w:hAnsi="Times New Roman" w:cs="Times New Roman"/>
          <w:sz w:val="24"/>
          <w:szCs w:val="24"/>
        </w:rPr>
        <w:t>N0</w:t>
      </w:r>
      <w:r w:rsidR="00742F19">
        <w:rPr>
          <w:rFonts w:ascii="Times New Roman" w:hAnsi="Times New Roman" w:cs="Times New Roman"/>
          <w:sz w:val="24"/>
          <w:szCs w:val="24"/>
        </w:rPr>
        <w:t>3AX</w:t>
      </w:r>
      <w:r w:rsidR="000B5270">
        <w:rPr>
          <w:rFonts w:ascii="Times New Roman" w:hAnsi="Times New Roman" w:cs="Times New Roman"/>
          <w:sz w:val="24"/>
          <w:szCs w:val="24"/>
        </w:rPr>
        <w:t xml:space="preserve">, </w:t>
      </w:r>
      <w:r w:rsidR="00FD7FC8" w:rsidRPr="00FD7FC8">
        <w:rPr>
          <w:rFonts w:ascii="Times New Roman" w:hAnsi="Times New Roman" w:cs="Times New Roman"/>
          <w:sz w:val="24"/>
          <w:szCs w:val="24"/>
        </w:rPr>
        <w:t>N06AA</w:t>
      </w:r>
      <w:r w:rsidR="000B5270">
        <w:rPr>
          <w:rFonts w:ascii="Times New Roman" w:hAnsi="Times New Roman" w:cs="Times New Roman"/>
          <w:sz w:val="24"/>
          <w:szCs w:val="24"/>
        </w:rPr>
        <w:t xml:space="preserve">, and </w:t>
      </w:r>
      <w:r w:rsidR="00FD7FC8" w:rsidRPr="00FD7FC8">
        <w:rPr>
          <w:rFonts w:ascii="Times New Roman" w:hAnsi="Times New Roman" w:cs="Times New Roman"/>
          <w:sz w:val="24"/>
          <w:szCs w:val="24"/>
        </w:rPr>
        <w:t>N06BA)</w:t>
      </w:r>
      <w:r w:rsidR="000B5270">
        <w:rPr>
          <w:rFonts w:ascii="Times New Roman" w:hAnsi="Times New Roman" w:cs="Times New Roman"/>
          <w:sz w:val="24"/>
          <w:szCs w:val="24"/>
        </w:rPr>
        <w:t xml:space="preserve">, we derived three cohorts </w:t>
      </w:r>
      <w:r w:rsidR="002C6824">
        <w:rPr>
          <w:rFonts w:ascii="Times New Roman" w:hAnsi="Times New Roman" w:cs="Times New Roman"/>
          <w:sz w:val="24"/>
          <w:szCs w:val="24"/>
        </w:rPr>
        <w:t>corresponding to</w:t>
      </w:r>
      <w:r w:rsidR="000B5270">
        <w:rPr>
          <w:rFonts w:ascii="Times New Roman" w:hAnsi="Times New Roman" w:cs="Times New Roman"/>
          <w:sz w:val="24"/>
          <w:szCs w:val="24"/>
        </w:rPr>
        <w:t xml:space="preserve"> the th</w:t>
      </w:r>
      <w:r w:rsidR="00704702">
        <w:rPr>
          <w:rFonts w:ascii="Times New Roman" w:hAnsi="Times New Roman" w:cs="Times New Roman"/>
          <w:sz w:val="24"/>
          <w:szCs w:val="24"/>
        </w:rPr>
        <w:t>r</w:t>
      </w:r>
      <w:r w:rsidR="000B5270">
        <w:rPr>
          <w:rFonts w:ascii="Times New Roman" w:hAnsi="Times New Roman" w:cs="Times New Roman"/>
          <w:sz w:val="24"/>
          <w:szCs w:val="24"/>
        </w:rPr>
        <w:t xml:space="preserve">ee ATC classes using 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the active comparator design. </w:t>
      </w:r>
      <w:r w:rsidR="00704702">
        <w:rPr>
          <w:rFonts w:ascii="Times New Roman" w:hAnsi="Times New Roman" w:cs="Times New Roman"/>
          <w:sz w:val="24"/>
          <w:szCs w:val="24"/>
        </w:rPr>
        <w:t xml:space="preserve">Data were obtained </w:t>
      </w:r>
      <w:r w:rsidR="002C6824">
        <w:rPr>
          <w:rFonts w:ascii="Times New Roman" w:hAnsi="Times New Roman" w:cs="Times New Roman"/>
          <w:sz w:val="24"/>
          <w:szCs w:val="24"/>
        </w:rPr>
        <w:t>from</w:t>
      </w:r>
      <w:r w:rsidR="00704702">
        <w:rPr>
          <w:rFonts w:ascii="Times New Roman" w:hAnsi="Times New Roman" w:cs="Times New Roman"/>
          <w:sz w:val="24"/>
          <w:szCs w:val="24"/>
        </w:rPr>
        <w:t xml:space="preserve"> </w:t>
      </w:r>
      <w:r w:rsidR="00704702" w:rsidRPr="00704702">
        <w:rPr>
          <w:rFonts w:ascii="Times New Roman" w:hAnsi="Times New Roman" w:cs="Times New Roman"/>
          <w:sz w:val="24"/>
          <w:szCs w:val="24"/>
        </w:rPr>
        <w:t>Optum® Clinformatics®</w:t>
      </w:r>
      <w:r w:rsidR="00704702">
        <w:rPr>
          <w:rFonts w:ascii="Times New Roman" w:hAnsi="Times New Roman" w:cs="Times New Roman"/>
          <w:sz w:val="24"/>
          <w:szCs w:val="24"/>
        </w:rPr>
        <w:t xml:space="preserve">, which </w:t>
      </w:r>
      <w:r w:rsidR="00B938FB">
        <w:rPr>
          <w:rFonts w:ascii="Times New Roman" w:hAnsi="Times New Roman" w:cs="Times New Roman"/>
          <w:sz w:val="24"/>
          <w:szCs w:val="24"/>
        </w:rPr>
        <w:t xml:space="preserve">is </w:t>
      </w:r>
      <w:r w:rsidR="00704702" w:rsidRPr="00704702">
        <w:rPr>
          <w:rFonts w:ascii="Times New Roman" w:hAnsi="Times New Roman" w:cs="Times New Roman"/>
          <w:sz w:val="24"/>
          <w:szCs w:val="24"/>
        </w:rPr>
        <w:t xml:space="preserve">a longitudinal database </w:t>
      </w:r>
      <w:r w:rsidR="00B938FB">
        <w:rPr>
          <w:rFonts w:ascii="Times New Roman" w:hAnsi="Times New Roman" w:cs="Times New Roman"/>
          <w:sz w:val="24"/>
          <w:szCs w:val="24"/>
        </w:rPr>
        <w:t>derived from</w:t>
      </w:r>
      <w:r w:rsidR="00704702">
        <w:rPr>
          <w:rFonts w:ascii="Times New Roman" w:hAnsi="Times New Roman" w:cs="Times New Roman"/>
          <w:sz w:val="24"/>
          <w:szCs w:val="24"/>
        </w:rPr>
        <w:t xml:space="preserve"> </w:t>
      </w:r>
      <w:r w:rsidR="00704702" w:rsidRPr="00704702">
        <w:rPr>
          <w:rFonts w:ascii="Times New Roman" w:hAnsi="Times New Roman" w:cs="Times New Roman"/>
          <w:sz w:val="24"/>
          <w:szCs w:val="24"/>
        </w:rPr>
        <w:t xml:space="preserve">medical claims and </w:t>
      </w:r>
      <w:r w:rsidR="00B938FB">
        <w:rPr>
          <w:rFonts w:ascii="Times New Roman" w:hAnsi="Times New Roman" w:cs="Times New Roman"/>
          <w:sz w:val="24"/>
          <w:szCs w:val="24"/>
        </w:rPr>
        <w:t>pharmacy</w:t>
      </w:r>
      <w:r w:rsidR="00704702" w:rsidRPr="00704702">
        <w:rPr>
          <w:rFonts w:ascii="Times New Roman" w:hAnsi="Times New Roman" w:cs="Times New Roman"/>
          <w:sz w:val="24"/>
          <w:szCs w:val="24"/>
        </w:rPr>
        <w:t xml:space="preserve"> claims data </w:t>
      </w:r>
      <w:r w:rsidR="00B938FB">
        <w:rPr>
          <w:rFonts w:ascii="Times New Roman" w:hAnsi="Times New Roman" w:cs="Times New Roman"/>
          <w:sz w:val="24"/>
          <w:szCs w:val="24"/>
        </w:rPr>
        <w:t>of</w:t>
      </w:r>
      <w:r w:rsidR="00704702" w:rsidRPr="00704702">
        <w:rPr>
          <w:rFonts w:ascii="Times New Roman" w:hAnsi="Times New Roman" w:cs="Times New Roman"/>
          <w:sz w:val="24"/>
          <w:szCs w:val="24"/>
        </w:rPr>
        <w:t xml:space="preserve"> a large national insurer</w:t>
      </w:r>
      <w:r w:rsidR="00704702">
        <w:rPr>
          <w:rFonts w:ascii="Times New Roman" w:hAnsi="Times New Roman" w:cs="Times New Roman"/>
          <w:sz w:val="24"/>
          <w:szCs w:val="24"/>
        </w:rPr>
        <w:t xml:space="preserve"> </w:t>
      </w:r>
      <w:r w:rsidR="00B938FB">
        <w:rPr>
          <w:rFonts w:ascii="Times New Roman" w:hAnsi="Times New Roman" w:cs="Times New Roman"/>
          <w:sz w:val="24"/>
          <w:szCs w:val="24"/>
        </w:rPr>
        <w:t xml:space="preserve">cohort </w:t>
      </w:r>
      <w:r w:rsidR="00704702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704702" w:rsidRPr="006F25BB">
          <w:rPr>
            <w:rStyle w:val="Hyperlink"/>
            <w:rFonts w:ascii="Times New Roman" w:hAnsi="Times New Roman" w:cs="Times New Roman"/>
            <w:sz w:val="24"/>
            <w:szCs w:val="24"/>
          </w:rPr>
          <w:t>https://www.optum.com/business/life-sciences/commercial-analytics/managed-markets.html</w:t>
        </w:r>
      </w:hyperlink>
      <w:r w:rsidR="00704702">
        <w:rPr>
          <w:rFonts w:ascii="Times New Roman" w:hAnsi="Times New Roman" w:cs="Times New Roman"/>
          <w:sz w:val="24"/>
          <w:szCs w:val="24"/>
        </w:rPr>
        <w:t>).</w:t>
      </w:r>
      <w:r w:rsidR="00AC4EFD">
        <w:rPr>
          <w:rFonts w:ascii="Times New Roman" w:hAnsi="Times New Roman" w:cs="Times New Roman"/>
          <w:sz w:val="24"/>
          <w:szCs w:val="24"/>
        </w:rPr>
        <w:t xml:space="preserve"> </w:t>
      </w:r>
      <w:r w:rsidR="0030383D">
        <w:rPr>
          <w:rFonts w:ascii="Times New Roman" w:hAnsi="Times New Roman" w:cs="Times New Roman"/>
          <w:sz w:val="24"/>
          <w:szCs w:val="24"/>
        </w:rPr>
        <w:t xml:space="preserve">In each cohort, </w:t>
      </w:r>
      <w:r w:rsidR="008F0C55" w:rsidRPr="008F0C55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2C6824">
        <w:rPr>
          <w:rFonts w:ascii="Times New Roman" w:hAnsi="Times New Roman" w:cs="Times New Roman"/>
          <w:sz w:val="24"/>
          <w:szCs w:val="24"/>
        </w:rPr>
        <w:t>with</w:t>
      </w:r>
      <w:r w:rsidR="008F0C55" w:rsidRPr="008F0C55">
        <w:rPr>
          <w:rFonts w:ascii="Times New Roman" w:hAnsi="Times New Roman" w:cs="Times New Roman"/>
          <w:sz w:val="24"/>
          <w:szCs w:val="24"/>
        </w:rPr>
        <w:t xml:space="preserve"> </w:t>
      </w:r>
      <w:r w:rsidR="00B938FB">
        <w:rPr>
          <w:rFonts w:ascii="Times New Roman" w:hAnsi="Times New Roman" w:cs="Times New Roman"/>
          <w:sz w:val="24"/>
          <w:szCs w:val="24"/>
        </w:rPr>
        <w:t>pharmacy</w:t>
      </w:r>
      <w:r w:rsidR="008F0C55" w:rsidRPr="008F0C55">
        <w:rPr>
          <w:rFonts w:ascii="Times New Roman" w:hAnsi="Times New Roman" w:cs="Times New Roman"/>
          <w:sz w:val="24"/>
          <w:szCs w:val="24"/>
        </w:rPr>
        <w:t xml:space="preserve"> claims belonging to the </w:t>
      </w:r>
      <w:r w:rsidR="00D47188">
        <w:rPr>
          <w:rFonts w:ascii="Times New Roman" w:hAnsi="Times New Roman" w:cs="Times New Roman"/>
          <w:sz w:val="24"/>
          <w:szCs w:val="24"/>
        </w:rPr>
        <w:t>corresponding</w:t>
      </w:r>
      <w:r w:rsidR="00277026">
        <w:rPr>
          <w:rFonts w:ascii="Times New Roman" w:hAnsi="Times New Roman" w:cs="Times New Roman"/>
          <w:sz w:val="24"/>
          <w:szCs w:val="24"/>
        </w:rPr>
        <w:t xml:space="preserve"> </w:t>
      </w:r>
      <w:r w:rsidR="008F0C55" w:rsidRPr="008F0C55">
        <w:rPr>
          <w:rFonts w:ascii="Times New Roman" w:hAnsi="Times New Roman" w:cs="Times New Roman"/>
          <w:sz w:val="24"/>
          <w:szCs w:val="24"/>
        </w:rPr>
        <w:t xml:space="preserve">ATC class </w:t>
      </w:r>
      <w:r w:rsidR="00B77A51">
        <w:rPr>
          <w:rFonts w:ascii="Times New Roman" w:hAnsi="Times New Roman" w:cs="Times New Roman"/>
          <w:sz w:val="24"/>
          <w:szCs w:val="24"/>
        </w:rPr>
        <w:t>were identified with the</w:t>
      </w:r>
      <w:r w:rsidR="002C6824">
        <w:rPr>
          <w:rFonts w:ascii="Times New Roman" w:hAnsi="Times New Roman" w:cs="Times New Roman"/>
          <w:sz w:val="24"/>
          <w:szCs w:val="24"/>
        </w:rPr>
        <w:t xml:space="preserve"> </w:t>
      </w:r>
      <w:r w:rsidR="008F0C55">
        <w:rPr>
          <w:rFonts w:ascii="Times New Roman" w:hAnsi="Times New Roman" w:cs="Times New Roman"/>
          <w:sz w:val="24"/>
          <w:szCs w:val="24"/>
        </w:rPr>
        <w:t xml:space="preserve">year of drug initiation between </w:t>
      </w:r>
      <w:r w:rsidR="008F0C55" w:rsidRPr="008F0C55">
        <w:rPr>
          <w:rFonts w:ascii="Times New Roman" w:hAnsi="Times New Roman" w:cs="Times New Roman"/>
          <w:sz w:val="24"/>
          <w:szCs w:val="24"/>
        </w:rPr>
        <w:t>200</w:t>
      </w:r>
      <w:r w:rsidR="0030383D">
        <w:rPr>
          <w:rFonts w:ascii="Times New Roman" w:hAnsi="Times New Roman" w:cs="Times New Roman"/>
          <w:sz w:val="24"/>
          <w:szCs w:val="24"/>
        </w:rPr>
        <w:t>8</w:t>
      </w:r>
      <w:r w:rsidR="008F0C55">
        <w:rPr>
          <w:rFonts w:ascii="Times New Roman" w:hAnsi="Times New Roman" w:cs="Times New Roman"/>
          <w:sz w:val="24"/>
          <w:szCs w:val="24"/>
        </w:rPr>
        <w:t xml:space="preserve"> to </w:t>
      </w:r>
      <w:r w:rsidR="008F0C55" w:rsidRPr="008F0C55">
        <w:rPr>
          <w:rFonts w:ascii="Times New Roman" w:hAnsi="Times New Roman" w:cs="Times New Roman"/>
          <w:sz w:val="24"/>
          <w:szCs w:val="24"/>
        </w:rPr>
        <w:t xml:space="preserve">2021. </w:t>
      </w:r>
      <w:r w:rsidR="002C6824">
        <w:rPr>
          <w:rFonts w:ascii="Times New Roman" w:hAnsi="Times New Roman" w:cs="Times New Roman"/>
          <w:sz w:val="24"/>
          <w:szCs w:val="24"/>
        </w:rPr>
        <w:t xml:space="preserve">All individuals were 21 years or older. </w:t>
      </w:r>
      <w:r w:rsidR="008F0C55">
        <w:rPr>
          <w:rFonts w:ascii="Times New Roman" w:hAnsi="Times New Roman" w:cs="Times New Roman"/>
          <w:sz w:val="24"/>
          <w:szCs w:val="24"/>
        </w:rPr>
        <w:t>W</w:t>
      </w:r>
      <w:r w:rsidR="008F0C55" w:rsidRPr="00FD7FC8">
        <w:rPr>
          <w:rFonts w:ascii="Times New Roman" w:hAnsi="Times New Roman" w:cs="Times New Roman"/>
          <w:sz w:val="24"/>
          <w:szCs w:val="24"/>
        </w:rPr>
        <w:t>e defined the clock-0 as the first exposure date of repurposable drug or comparator</w:t>
      </w:r>
      <w:r w:rsidR="008F0C55">
        <w:rPr>
          <w:rFonts w:ascii="Times New Roman" w:hAnsi="Times New Roman" w:cs="Times New Roman"/>
          <w:sz w:val="24"/>
          <w:szCs w:val="24"/>
        </w:rPr>
        <w:t xml:space="preserve"> and w</w:t>
      </w:r>
      <w:r w:rsidR="008F0C55" w:rsidRPr="008F0C55">
        <w:rPr>
          <w:rFonts w:ascii="Times New Roman" w:hAnsi="Times New Roman" w:cs="Times New Roman"/>
          <w:sz w:val="24"/>
          <w:szCs w:val="24"/>
        </w:rPr>
        <w:t xml:space="preserve">e included individuals with &gt;365 days of enrollment prior to the clock-0. </w:t>
      </w:r>
      <w:r w:rsidR="008F0C55">
        <w:rPr>
          <w:rFonts w:ascii="Times New Roman" w:hAnsi="Times New Roman" w:cs="Times New Roman"/>
          <w:sz w:val="24"/>
          <w:szCs w:val="24"/>
        </w:rPr>
        <w:t>I</w:t>
      </w:r>
      <w:r w:rsidR="008F0C55" w:rsidRPr="008F0C55">
        <w:rPr>
          <w:rFonts w:ascii="Times New Roman" w:hAnsi="Times New Roman" w:cs="Times New Roman"/>
          <w:sz w:val="24"/>
          <w:szCs w:val="24"/>
        </w:rPr>
        <w:t>ndividuals concurrently initiated both repurposable drug and comparator on clock-0</w:t>
      </w:r>
      <w:r w:rsidR="008F0C55">
        <w:rPr>
          <w:rFonts w:ascii="Times New Roman" w:hAnsi="Times New Roman" w:cs="Times New Roman"/>
          <w:sz w:val="24"/>
          <w:szCs w:val="24"/>
        </w:rPr>
        <w:t xml:space="preserve"> were excluded</w:t>
      </w:r>
      <w:r w:rsidR="008F0C55" w:rsidRPr="008F0C55">
        <w:rPr>
          <w:rFonts w:ascii="Times New Roman" w:hAnsi="Times New Roman" w:cs="Times New Roman"/>
          <w:sz w:val="24"/>
          <w:szCs w:val="24"/>
        </w:rPr>
        <w:t xml:space="preserve">. The demographics </w:t>
      </w:r>
      <w:r w:rsidR="00B77A51">
        <w:rPr>
          <w:rFonts w:ascii="Times New Roman" w:hAnsi="Times New Roman" w:cs="Times New Roman"/>
          <w:sz w:val="24"/>
          <w:szCs w:val="24"/>
        </w:rPr>
        <w:t xml:space="preserve">and comorbidities </w:t>
      </w:r>
      <w:r w:rsidR="008F0C55" w:rsidRPr="008F0C55">
        <w:rPr>
          <w:rFonts w:ascii="Times New Roman" w:hAnsi="Times New Roman" w:cs="Times New Roman"/>
          <w:sz w:val="24"/>
          <w:szCs w:val="24"/>
        </w:rPr>
        <w:t xml:space="preserve">for the three cohorts were shown in Table </w:t>
      </w:r>
      <w:r w:rsidR="008F0C55">
        <w:rPr>
          <w:rFonts w:ascii="Times New Roman" w:hAnsi="Times New Roman" w:cs="Times New Roman"/>
          <w:b/>
          <w:bCs/>
          <w:sz w:val="24"/>
          <w:szCs w:val="24"/>
        </w:rPr>
        <w:t>Supplemental Table 28</w:t>
      </w:r>
      <w:r w:rsidR="008F0C55" w:rsidRPr="008F0C55">
        <w:rPr>
          <w:rFonts w:ascii="Times New Roman" w:hAnsi="Times New Roman" w:cs="Times New Roman"/>
          <w:sz w:val="24"/>
          <w:szCs w:val="24"/>
        </w:rPr>
        <w:t>.</w:t>
      </w:r>
      <w:r w:rsidR="008F0C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C3904" w14:textId="223698AC" w:rsidR="00AE401D" w:rsidRDefault="00704702" w:rsidP="00FD7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active comparator design, t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FD7FC8" w:rsidRPr="00FD7FC8">
        <w:rPr>
          <w:rFonts w:ascii="Times New Roman" w:hAnsi="Times New Roman" w:cs="Times New Roman"/>
          <w:sz w:val="24"/>
          <w:szCs w:val="24"/>
        </w:rPr>
        <w:t>repurposable drugs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 were </w:t>
      </w:r>
      <w:r>
        <w:rPr>
          <w:rFonts w:ascii="Times New Roman" w:hAnsi="Times New Roman" w:cs="Times New Roman"/>
          <w:sz w:val="24"/>
          <w:szCs w:val="24"/>
        </w:rPr>
        <w:t xml:space="preserve">those five drugs identified and the 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comparators </w:t>
      </w:r>
      <w:r w:rsidR="00B938FB">
        <w:rPr>
          <w:rFonts w:ascii="Times New Roman" w:hAnsi="Times New Roman" w:cs="Times New Roman"/>
          <w:sz w:val="24"/>
          <w:szCs w:val="24"/>
        </w:rPr>
        <w:t>were</w:t>
      </w:r>
      <w:r w:rsidR="00B938FB" w:rsidRPr="00FD7FC8">
        <w:rPr>
          <w:rFonts w:ascii="Times New Roman" w:hAnsi="Times New Roman" w:cs="Times New Roman"/>
          <w:sz w:val="24"/>
          <w:szCs w:val="24"/>
        </w:rPr>
        <w:t xml:space="preserve"> 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the remaining drugs in the corresponding repurposable drugs’ ATC </w:t>
      </w:r>
      <w:r w:rsidR="003D4904">
        <w:rPr>
          <w:rFonts w:ascii="Times New Roman" w:hAnsi="Times New Roman" w:cs="Times New Roman"/>
          <w:sz w:val="24"/>
          <w:szCs w:val="24"/>
        </w:rPr>
        <w:t xml:space="preserve">level 4 </w:t>
      </w:r>
      <w:r w:rsidR="00FD7FC8" w:rsidRPr="00FD7FC8">
        <w:rPr>
          <w:rFonts w:ascii="Times New Roman" w:hAnsi="Times New Roman" w:cs="Times New Roman"/>
          <w:sz w:val="24"/>
          <w:szCs w:val="24"/>
        </w:rPr>
        <w:t>classes.</w:t>
      </w:r>
      <w:r w:rsidR="00A940E8">
        <w:rPr>
          <w:rFonts w:ascii="Times New Roman" w:hAnsi="Times New Roman" w:cs="Times New Roman"/>
          <w:sz w:val="24"/>
          <w:szCs w:val="24"/>
        </w:rPr>
        <w:t xml:space="preserve"> </w:t>
      </w:r>
      <w:r w:rsidR="008F0C55">
        <w:rPr>
          <w:rFonts w:ascii="Times New Roman" w:hAnsi="Times New Roman" w:cs="Times New Roman"/>
          <w:sz w:val="24"/>
          <w:szCs w:val="24"/>
        </w:rPr>
        <w:t>T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he outcome </w:t>
      </w:r>
      <w:r w:rsidR="008F0C55">
        <w:rPr>
          <w:rFonts w:ascii="Times New Roman" w:hAnsi="Times New Roman" w:cs="Times New Roman"/>
          <w:sz w:val="24"/>
          <w:szCs w:val="24"/>
        </w:rPr>
        <w:t>was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 time from clock-0 to diagnosis of SUD</w:t>
      </w:r>
      <w:r w:rsidR="00A940E8">
        <w:rPr>
          <w:rFonts w:ascii="Times New Roman" w:hAnsi="Times New Roman" w:cs="Times New Roman"/>
          <w:sz w:val="24"/>
          <w:szCs w:val="24"/>
        </w:rPr>
        <w:t>s</w:t>
      </w:r>
      <w:r w:rsidR="00FD7FC8" w:rsidRPr="00FD7FC8">
        <w:rPr>
          <w:rFonts w:ascii="Times New Roman" w:hAnsi="Times New Roman" w:cs="Times New Roman"/>
          <w:sz w:val="24"/>
          <w:szCs w:val="24"/>
        </w:rPr>
        <w:t>. Individuals without an outcome were censored on the earliest date of drug discontinuation</w:t>
      </w:r>
      <w:r w:rsidR="002C6824">
        <w:rPr>
          <w:rFonts w:ascii="Times New Roman" w:hAnsi="Times New Roman" w:cs="Times New Roman"/>
          <w:sz w:val="24"/>
          <w:szCs w:val="24"/>
        </w:rPr>
        <w:t xml:space="preserve"> (i.e., </w:t>
      </w:r>
      <w:r w:rsidR="002C6824" w:rsidRPr="00FD7FC8">
        <w:rPr>
          <w:rFonts w:ascii="Times New Roman" w:hAnsi="Times New Roman" w:cs="Times New Roman"/>
          <w:sz w:val="24"/>
          <w:szCs w:val="24"/>
        </w:rPr>
        <w:t>without exposure for &gt;60 days</w:t>
      </w:r>
      <w:r w:rsidR="002C6824">
        <w:rPr>
          <w:rFonts w:ascii="Times New Roman" w:hAnsi="Times New Roman" w:cs="Times New Roman"/>
          <w:sz w:val="24"/>
          <w:szCs w:val="24"/>
        </w:rPr>
        <w:t>)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, enrollment discontinuation, or concurrent of initial of repurposable drug and comparator. </w:t>
      </w:r>
      <w:r w:rsidR="008F0C55" w:rsidRPr="008F0C55">
        <w:rPr>
          <w:rFonts w:ascii="Times New Roman" w:hAnsi="Times New Roman" w:cs="Times New Roman"/>
          <w:sz w:val="24"/>
          <w:szCs w:val="24"/>
        </w:rPr>
        <w:t xml:space="preserve">We used the R package comorbidity to define the outcome and comorbidities. 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Cox </w:t>
      </w:r>
      <w:r w:rsidR="008F0C55">
        <w:rPr>
          <w:rFonts w:ascii="Times New Roman" w:hAnsi="Times New Roman" w:cs="Times New Roman"/>
          <w:sz w:val="24"/>
          <w:szCs w:val="24"/>
        </w:rPr>
        <w:t xml:space="preserve">proportional hazard </w:t>
      </w:r>
      <w:r w:rsidR="00FD7FC8" w:rsidRPr="00FD7FC8">
        <w:rPr>
          <w:rFonts w:ascii="Times New Roman" w:hAnsi="Times New Roman" w:cs="Times New Roman"/>
          <w:sz w:val="24"/>
          <w:szCs w:val="24"/>
        </w:rPr>
        <w:t>model</w:t>
      </w:r>
      <w:r w:rsidR="008F0C55">
        <w:rPr>
          <w:rFonts w:ascii="Times New Roman" w:hAnsi="Times New Roman" w:cs="Times New Roman"/>
          <w:sz w:val="24"/>
          <w:szCs w:val="24"/>
        </w:rPr>
        <w:t>s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 </w:t>
      </w:r>
      <w:r w:rsidR="008F0C55">
        <w:rPr>
          <w:rFonts w:ascii="Times New Roman" w:hAnsi="Times New Roman" w:cs="Times New Roman"/>
          <w:sz w:val="24"/>
          <w:szCs w:val="24"/>
        </w:rPr>
        <w:t xml:space="preserve">were used 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to investigate the association between repurposable drugs </w:t>
      </w:r>
      <w:r w:rsidR="00FD7FC8" w:rsidRPr="00FD7FC8">
        <w:rPr>
          <w:rFonts w:ascii="Times New Roman" w:hAnsi="Times New Roman" w:cs="Times New Roman"/>
          <w:sz w:val="24"/>
          <w:szCs w:val="24"/>
        </w:rPr>
        <w:lastRenderedPageBreak/>
        <w:t xml:space="preserve">and the outcome. The Cox </w:t>
      </w:r>
      <w:r w:rsidR="00DF3BD7">
        <w:rPr>
          <w:rFonts w:ascii="Times New Roman" w:hAnsi="Times New Roman" w:cs="Times New Roman"/>
          <w:sz w:val="24"/>
          <w:szCs w:val="24"/>
        </w:rPr>
        <w:t xml:space="preserve">proportional 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models were adjusted </w:t>
      </w:r>
      <w:r w:rsidR="003D4904">
        <w:rPr>
          <w:rFonts w:ascii="Times New Roman" w:hAnsi="Times New Roman" w:cs="Times New Roman"/>
          <w:sz w:val="24"/>
          <w:szCs w:val="24"/>
        </w:rPr>
        <w:t>for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 age</w:t>
      </w:r>
      <w:r w:rsidR="00577ABA">
        <w:rPr>
          <w:rFonts w:ascii="Times New Roman" w:hAnsi="Times New Roman" w:cs="Times New Roman"/>
          <w:sz w:val="24"/>
          <w:szCs w:val="24"/>
        </w:rPr>
        <w:t xml:space="preserve"> at clock-0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, </w:t>
      </w:r>
      <w:r w:rsidR="002C6824">
        <w:rPr>
          <w:rFonts w:ascii="Times New Roman" w:hAnsi="Times New Roman" w:cs="Times New Roman"/>
          <w:sz w:val="24"/>
          <w:szCs w:val="24"/>
        </w:rPr>
        <w:t>sex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, race, </w:t>
      </w:r>
      <w:r w:rsidR="0030383D">
        <w:rPr>
          <w:rFonts w:ascii="Times New Roman" w:hAnsi="Times New Roman" w:cs="Times New Roman"/>
          <w:sz w:val="24"/>
          <w:szCs w:val="24"/>
        </w:rPr>
        <w:t xml:space="preserve">and comorbidities listed in </w:t>
      </w:r>
      <w:r w:rsidR="0030383D" w:rsidRPr="0030383D">
        <w:rPr>
          <w:rFonts w:ascii="Times New Roman" w:hAnsi="Times New Roman" w:cs="Times New Roman"/>
          <w:b/>
          <w:bCs/>
          <w:sz w:val="24"/>
          <w:szCs w:val="24"/>
        </w:rPr>
        <w:t>Supplemental Table 28</w:t>
      </w:r>
      <w:r w:rsidR="0030383D">
        <w:rPr>
          <w:rFonts w:ascii="Times New Roman" w:hAnsi="Times New Roman" w:cs="Times New Roman"/>
          <w:sz w:val="24"/>
          <w:szCs w:val="24"/>
        </w:rPr>
        <w:t>.</w:t>
      </w:r>
      <w:r w:rsidR="00FD7FC8" w:rsidRPr="00FD7FC8">
        <w:rPr>
          <w:rFonts w:ascii="Times New Roman" w:hAnsi="Times New Roman" w:cs="Times New Roman"/>
          <w:sz w:val="24"/>
          <w:szCs w:val="24"/>
        </w:rPr>
        <w:t xml:space="preserve">, and stratified by the year of drug initiation. </w:t>
      </w:r>
    </w:p>
    <w:p w14:paraId="0618924F" w14:textId="77777777" w:rsidR="00FD7FC8" w:rsidRDefault="00FD7FC8" w:rsidP="00FD7FC8">
      <w:pPr>
        <w:rPr>
          <w:rFonts w:ascii="Times New Roman" w:hAnsi="Times New Roman" w:cs="Times New Roman"/>
          <w:sz w:val="24"/>
          <w:szCs w:val="24"/>
        </w:rPr>
      </w:pPr>
    </w:p>
    <w:p w14:paraId="62894737" w14:textId="2797A85B" w:rsidR="00AE401D" w:rsidRPr="0001603A" w:rsidRDefault="000160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603A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C85FB69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1.</w:t>
      </w:r>
      <w:r w:rsidRPr="00B16781">
        <w:tab/>
        <w:t>Auton, A.</w:t>
      </w:r>
      <w:r w:rsidRPr="00B16781">
        <w:rPr>
          <w:i/>
        </w:rPr>
        <w:t>, et al.</w:t>
      </w:r>
      <w:r w:rsidRPr="00B16781">
        <w:t xml:space="preserve"> A global reference for human genetic variation. </w:t>
      </w:r>
      <w:r w:rsidRPr="00B16781">
        <w:rPr>
          <w:i/>
        </w:rPr>
        <w:t>Nature</w:t>
      </w:r>
      <w:r w:rsidRPr="00B16781">
        <w:t xml:space="preserve"> </w:t>
      </w:r>
      <w:r w:rsidRPr="00B16781">
        <w:rPr>
          <w:b/>
        </w:rPr>
        <w:t>526</w:t>
      </w:r>
      <w:r w:rsidRPr="00B16781">
        <w:t>, 68-74 (2015).</w:t>
      </w:r>
    </w:p>
    <w:p w14:paraId="55839551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2.</w:t>
      </w:r>
      <w:r w:rsidRPr="00B16781">
        <w:tab/>
        <w:t>Kember, R.L.</w:t>
      </w:r>
      <w:r w:rsidRPr="00B16781">
        <w:rPr>
          <w:i/>
        </w:rPr>
        <w:t>, et al.</w:t>
      </w:r>
      <w:r w:rsidRPr="00B16781">
        <w:t xml:space="preserve"> Cross-ancestry meta-analysis of opioid use disorder uncovers novel loci with predominant effects in brain regions associated with addiction. </w:t>
      </w:r>
      <w:r w:rsidRPr="00B16781">
        <w:rPr>
          <w:i/>
        </w:rPr>
        <w:t>Nature Neuroscience</w:t>
      </w:r>
      <w:r w:rsidRPr="00B16781">
        <w:t xml:space="preserve"> </w:t>
      </w:r>
      <w:r w:rsidRPr="00B16781">
        <w:rPr>
          <w:b/>
        </w:rPr>
        <w:t>25</w:t>
      </w:r>
      <w:r w:rsidRPr="00B16781">
        <w:t>, 1279-1287 (2022).</w:t>
      </w:r>
    </w:p>
    <w:p w14:paraId="5B250FE4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3.</w:t>
      </w:r>
      <w:r w:rsidRPr="00B16781">
        <w:tab/>
        <w:t>Polimanti, R.</w:t>
      </w:r>
      <w:r w:rsidRPr="00B16781">
        <w:rPr>
          <w:i/>
        </w:rPr>
        <w:t>, et al.</w:t>
      </w:r>
      <w:r w:rsidRPr="00B16781">
        <w:t xml:space="preserve"> Leveraging genome-wide data to investigate differences between opioid use vs. opioid dependence in 41,176 individuals from the Psychiatric Genomics Consortium. </w:t>
      </w:r>
      <w:r w:rsidRPr="00B16781">
        <w:rPr>
          <w:i/>
        </w:rPr>
        <w:t>Mol Psychiatry</w:t>
      </w:r>
      <w:r w:rsidRPr="00B16781">
        <w:t xml:space="preserve"> </w:t>
      </w:r>
      <w:r w:rsidRPr="00B16781">
        <w:rPr>
          <w:b/>
        </w:rPr>
        <w:t>25</w:t>
      </w:r>
      <w:r w:rsidRPr="00B16781">
        <w:t>, 1673-1687 (2020).</w:t>
      </w:r>
    </w:p>
    <w:p w14:paraId="138006FA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4.</w:t>
      </w:r>
      <w:r w:rsidRPr="00B16781">
        <w:tab/>
        <w:t>Watanabe, K.</w:t>
      </w:r>
      <w:r w:rsidRPr="00B16781">
        <w:rPr>
          <w:i/>
        </w:rPr>
        <w:t>, et al.</w:t>
      </w:r>
      <w:r w:rsidRPr="00B16781">
        <w:t xml:space="preserve"> A global overview of pleiotropy and genetic architecture in complex traits. </w:t>
      </w:r>
      <w:r w:rsidRPr="00B16781">
        <w:rPr>
          <w:i/>
        </w:rPr>
        <w:t>Nat Genet</w:t>
      </w:r>
      <w:r w:rsidRPr="00B16781">
        <w:t xml:space="preserve"> </w:t>
      </w:r>
      <w:r w:rsidRPr="00B16781">
        <w:rPr>
          <w:b/>
        </w:rPr>
        <w:t>51</w:t>
      </w:r>
      <w:r w:rsidRPr="00B16781">
        <w:t>, 1339-1348 (2019).</w:t>
      </w:r>
    </w:p>
    <w:p w14:paraId="2410A9E9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5.</w:t>
      </w:r>
      <w:r w:rsidRPr="00B16781">
        <w:tab/>
        <w:t>Quach, B.C.</w:t>
      </w:r>
      <w:r w:rsidRPr="00B16781">
        <w:rPr>
          <w:i/>
        </w:rPr>
        <w:t>, et al.</w:t>
      </w:r>
      <w:r w:rsidRPr="00B16781">
        <w:t xml:space="preserve"> Expanding the genetic architecture of nicotine dependence and its shared genetics with multiple traits. </w:t>
      </w:r>
      <w:r w:rsidRPr="00B16781">
        <w:rPr>
          <w:i/>
        </w:rPr>
        <w:t>Nat Commun</w:t>
      </w:r>
      <w:r w:rsidRPr="00B16781">
        <w:t xml:space="preserve"> </w:t>
      </w:r>
      <w:r w:rsidRPr="00B16781">
        <w:rPr>
          <w:b/>
        </w:rPr>
        <w:t>11</w:t>
      </w:r>
      <w:r w:rsidRPr="00B16781">
        <w:t>, 5562 (2020).</w:t>
      </w:r>
    </w:p>
    <w:p w14:paraId="445D6EE5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6.</w:t>
      </w:r>
      <w:r w:rsidRPr="00B16781">
        <w:tab/>
        <w:t>Walters, R.K.</w:t>
      </w:r>
      <w:r w:rsidRPr="00B16781">
        <w:rPr>
          <w:i/>
        </w:rPr>
        <w:t>, et al.</w:t>
      </w:r>
      <w:r w:rsidRPr="00B16781">
        <w:t xml:space="preserve"> Transancestral GWAS of alcohol dependence reveals common genetic underpinnings with psychiatric disorders. </w:t>
      </w:r>
      <w:r w:rsidRPr="00B16781">
        <w:rPr>
          <w:i/>
        </w:rPr>
        <w:t>Nat Neurosci</w:t>
      </w:r>
      <w:r w:rsidRPr="00B16781">
        <w:t xml:space="preserve"> </w:t>
      </w:r>
      <w:r w:rsidRPr="00B16781">
        <w:rPr>
          <w:b/>
        </w:rPr>
        <w:t>21</w:t>
      </w:r>
      <w:r w:rsidRPr="00B16781">
        <w:t>, 1656-1669 (2018).</w:t>
      </w:r>
    </w:p>
    <w:p w14:paraId="6A853C90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7.</w:t>
      </w:r>
      <w:r w:rsidRPr="00B16781">
        <w:tab/>
        <w:t>Kranzler, H.R.</w:t>
      </w:r>
      <w:r w:rsidRPr="00B16781">
        <w:rPr>
          <w:i/>
        </w:rPr>
        <w:t>, et al.</w:t>
      </w:r>
      <w:r w:rsidRPr="00B16781">
        <w:t xml:space="preserve"> Genome-wide association study of alcohol consumption and use disorder in 274,424 individuals from multiple populations. </w:t>
      </w:r>
      <w:r w:rsidRPr="00B16781">
        <w:rPr>
          <w:i/>
        </w:rPr>
        <w:t>Nature Communications</w:t>
      </w:r>
      <w:r w:rsidRPr="00B16781">
        <w:t xml:space="preserve"> </w:t>
      </w:r>
      <w:r w:rsidRPr="00B16781">
        <w:rPr>
          <w:b/>
        </w:rPr>
        <w:t>10</w:t>
      </w:r>
      <w:r w:rsidRPr="00B16781">
        <w:t>, 1499 (2019).</w:t>
      </w:r>
    </w:p>
    <w:p w14:paraId="29E81D7F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8.</w:t>
      </w:r>
      <w:r w:rsidRPr="00B16781">
        <w:tab/>
        <w:t xml:space="preserve">Willer, C.J., Li, Y. &amp; Abecasis, G.R. METAL: fast and efficient meta-analysis of genomewide association scans. </w:t>
      </w:r>
      <w:r w:rsidRPr="00B16781">
        <w:rPr>
          <w:i/>
        </w:rPr>
        <w:t>Bioinformatics</w:t>
      </w:r>
      <w:r w:rsidRPr="00B16781">
        <w:t xml:space="preserve"> </w:t>
      </w:r>
      <w:r w:rsidRPr="00B16781">
        <w:rPr>
          <w:b/>
        </w:rPr>
        <w:t>26</w:t>
      </w:r>
      <w:r w:rsidRPr="00B16781">
        <w:t>, 2190-2191 (2010).</w:t>
      </w:r>
    </w:p>
    <w:p w14:paraId="1525F4EA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9.</w:t>
      </w:r>
      <w:r w:rsidRPr="00B16781">
        <w:tab/>
        <w:t xml:space="preserve">Watanabe, K., Taskesen, E., van Bochoven, A. &amp; Posthuma, D. Functional mapping and annotation of genetic associations with FUMA. </w:t>
      </w:r>
      <w:r w:rsidRPr="00B16781">
        <w:rPr>
          <w:i/>
        </w:rPr>
        <w:t>Nat Commun</w:t>
      </w:r>
      <w:r w:rsidRPr="00B16781">
        <w:t xml:space="preserve"> </w:t>
      </w:r>
      <w:r w:rsidRPr="00B16781">
        <w:rPr>
          <w:b/>
        </w:rPr>
        <w:t>8</w:t>
      </w:r>
      <w:r w:rsidRPr="00B16781">
        <w:t>, 1826 (2017).</w:t>
      </w:r>
    </w:p>
    <w:p w14:paraId="3EA249C5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10.</w:t>
      </w:r>
      <w:r w:rsidRPr="00B16781">
        <w:tab/>
        <w:t xml:space="preserve">Wang, K., Li, M. &amp; Hakonarson, H. ANNOVAR: functional annotation of genetic variants from high-throughput sequencing data. </w:t>
      </w:r>
      <w:r w:rsidRPr="00B16781">
        <w:rPr>
          <w:i/>
        </w:rPr>
        <w:t>Nucleic Acids Research</w:t>
      </w:r>
      <w:r w:rsidRPr="00B16781">
        <w:t xml:space="preserve"> </w:t>
      </w:r>
      <w:r w:rsidRPr="00B16781">
        <w:rPr>
          <w:b/>
        </w:rPr>
        <w:t>38</w:t>
      </w:r>
      <w:r w:rsidRPr="00B16781">
        <w:t>, e164-e164 (2010).</w:t>
      </w:r>
    </w:p>
    <w:p w14:paraId="0DA68B37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11.</w:t>
      </w:r>
      <w:r w:rsidRPr="00B16781">
        <w:tab/>
        <w:t xml:space="preserve">de Leeuw, C.A., Mooij, J.M., Heskes, T. &amp; Posthuma, D. MAGMA: generalized gene-set analysis of GWAS data. </w:t>
      </w:r>
      <w:r w:rsidRPr="00B16781">
        <w:rPr>
          <w:i/>
        </w:rPr>
        <w:t>PLoS Comput Biol</w:t>
      </w:r>
      <w:r w:rsidRPr="00B16781">
        <w:t xml:space="preserve"> </w:t>
      </w:r>
      <w:r w:rsidRPr="00B16781">
        <w:rPr>
          <w:b/>
        </w:rPr>
        <w:t>11</w:t>
      </w:r>
      <w:r w:rsidRPr="00B16781">
        <w:t>, e1004219 (2015).</w:t>
      </w:r>
    </w:p>
    <w:p w14:paraId="6E7D6EB3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12.</w:t>
      </w:r>
      <w:r w:rsidRPr="00B16781">
        <w:tab/>
        <w:t>Lonsdale, J.</w:t>
      </w:r>
      <w:r w:rsidRPr="00B16781">
        <w:rPr>
          <w:i/>
        </w:rPr>
        <w:t>, et al.</w:t>
      </w:r>
      <w:r w:rsidRPr="00B16781">
        <w:t xml:space="preserve"> The Genotype-Tissue Expression (GTEx) project. </w:t>
      </w:r>
      <w:r w:rsidRPr="00B16781">
        <w:rPr>
          <w:i/>
        </w:rPr>
        <w:t>Nature Genetics</w:t>
      </w:r>
      <w:r w:rsidRPr="00B16781">
        <w:t xml:space="preserve"> </w:t>
      </w:r>
      <w:r w:rsidRPr="00B16781">
        <w:rPr>
          <w:b/>
        </w:rPr>
        <w:t>45</w:t>
      </w:r>
      <w:r w:rsidRPr="00B16781">
        <w:t>, 580-585 (2013).</w:t>
      </w:r>
    </w:p>
    <w:p w14:paraId="4D1DDEF0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13.</w:t>
      </w:r>
      <w:r w:rsidRPr="00B16781">
        <w:tab/>
        <w:t>Cunningham, F.</w:t>
      </w:r>
      <w:r w:rsidRPr="00B16781">
        <w:rPr>
          <w:i/>
        </w:rPr>
        <w:t>, et al.</w:t>
      </w:r>
      <w:r w:rsidRPr="00B16781">
        <w:t xml:space="preserve"> Ensembl 2022. </w:t>
      </w:r>
      <w:r w:rsidRPr="00B16781">
        <w:rPr>
          <w:i/>
        </w:rPr>
        <w:t>Nucleic Acids Research</w:t>
      </w:r>
      <w:r w:rsidRPr="00B16781">
        <w:t xml:space="preserve"> </w:t>
      </w:r>
      <w:r w:rsidRPr="00B16781">
        <w:rPr>
          <w:b/>
        </w:rPr>
        <w:t>50</w:t>
      </w:r>
      <w:r w:rsidRPr="00B16781">
        <w:t>, D988-D995 (2021).</w:t>
      </w:r>
    </w:p>
    <w:p w14:paraId="39276EAC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14.</w:t>
      </w:r>
      <w:r w:rsidRPr="00B16781">
        <w:tab/>
        <w:t>Wang, D.</w:t>
      </w:r>
      <w:r w:rsidRPr="00B16781">
        <w:rPr>
          <w:i/>
        </w:rPr>
        <w:t>, et al.</w:t>
      </w:r>
      <w:r w:rsidRPr="00B16781">
        <w:t xml:space="preserve"> Comprehensive functional genomic resource and integrative model for the human brain. </w:t>
      </w:r>
      <w:r w:rsidRPr="00B16781">
        <w:rPr>
          <w:i/>
        </w:rPr>
        <w:t>Science</w:t>
      </w:r>
      <w:r w:rsidRPr="00B16781">
        <w:t xml:space="preserve"> </w:t>
      </w:r>
      <w:r w:rsidRPr="00B16781">
        <w:rPr>
          <w:b/>
        </w:rPr>
        <w:t>362</w:t>
      </w:r>
      <w:r w:rsidRPr="00B16781">
        <w:t>(2018).</w:t>
      </w:r>
    </w:p>
    <w:p w14:paraId="409150E5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15.</w:t>
      </w:r>
      <w:r w:rsidRPr="00B16781">
        <w:tab/>
        <w:t>Won, H.</w:t>
      </w:r>
      <w:r w:rsidRPr="00B16781">
        <w:rPr>
          <w:i/>
        </w:rPr>
        <w:t>, et al.</w:t>
      </w:r>
      <w:r w:rsidRPr="00B16781">
        <w:t xml:space="preserve"> Chromosome conformation elucidates regulatory relationships in developing human brain. </w:t>
      </w:r>
      <w:r w:rsidRPr="00B16781">
        <w:rPr>
          <w:i/>
        </w:rPr>
        <w:t>Nature</w:t>
      </w:r>
      <w:r w:rsidRPr="00B16781">
        <w:t xml:space="preserve"> </w:t>
      </w:r>
      <w:r w:rsidRPr="00B16781">
        <w:rPr>
          <w:b/>
        </w:rPr>
        <w:t>538</w:t>
      </w:r>
      <w:r w:rsidRPr="00B16781">
        <w:t>, 523-527 (2016).</w:t>
      </w:r>
    </w:p>
    <w:p w14:paraId="089860C1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16.</w:t>
      </w:r>
      <w:r w:rsidRPr="00B16781">
        <w:tab/>
        <w:t>Lu, L.</w:t>
      </w:r>
      <w:r w:rsidRPr="00B16781">
        <w:rPr>
          <w:i/>
        </w:rPr>
        <w:t>, et al.</w:t>
      </w:r>
      <w:r w:rsidRPr="00B16781">
        <w:t xml:space="preserve"> Robust Hi-C Maps of Enhancer-Promoter Interactions Reveal the Function of Non-coding Genome in Neural Development and Diseases. </w:t>
      </w:r>
      <w:r w:rsidRPr="00B16781">
        <w:rPr>
          <w:i/>
        </w:rPr>
        <w:t>Molecular Cell</w:t>
      </w:r>
      <w:r w:rsidRPr="00B16781">
        <w:t xml:space="preserve"> </w:t>
      </w:r>
      <w:r w:rsidRPr="00B16781">
        <w:rPr>
          <w:b/>
        </w:rPr>
        <w:t>79</w:t>
      </w:r>
      <w:r w:rsidRPr="00B16781">
        <w:t>, 521-534.e515 (2020).</w:t>
      </w:r>
    </w:p>
    <w:p w14:paraId="349BF55E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17.</w:t>
      </w:r>
      <w:r w:rsidRPr="00B16781">
        <w:tab/>
        <w:t>Zhang, S.</w:t>
      </w:r>
      <w:r w:rsidRPr="00B16781">
        <w:rPr>
          <w:i/>
        </w:rPr>
        <w:t>, et al.</w:t>
      </w:r>
      <w:r w:rsidRPr="00B16781">
        <w:t xml:space="preserve"> DeepLoop robustly maps chromatin interactions from sparse allele-resolved or single-cell Hi-C data at kilobase resolution. </w:t>
      </w:r>
      <w:r w:rsidRPr="00B16781">
        <w:rPr>
          <w:i/>
        </w:rPr>
        <w:t>Nature Genetics</w:t>
      </w:r>
      <w:r w:rsidRPr="00B16781">
        <w:t xml:space="preserve"> </w:t>
      </w:r>
      <w:r w:rsidRPr="00B16781">
        <w:rPr>
          <w:b/>
        </w:rPr>
        <w:t>54</w:t>
      </w:r>
      <w:r w:rsidRPr="00B16781">
        <w:t>, 1013-1025 (2022).</w:t>
      </w:r>
    </w:p>
    <w:p w14:paraId="2E74D712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18.</w:t>
      </w:r>
      <w:r w:rsidRPr="00B16781">
        <w:tab/>
        <w:t>Szklarczyk, D.</w:t>
      </w:r>
      <w:r w:rsidRPr="00B16781">
        <w:rPr>
          <w:i/>
        </w:rPr>
        <w:t>, et al.</w:t>
      </w:r>
      <w:r w:rsidRPr="00B16781">
        <w:t xml:space="preserve"> The STRING database in 2021: customizable protein-protein networks, and functional characterization of user-uploaded gene/measurement sets. </w:t>
      </w:r>
      <w:r w:rsidRPr="00B16781">
        <w:rPr>
          <w:i/>
        </w:rPr>
        <w:t>Nucleic Acids Res</w:t>
      </w:r>
      <w:r w:rsidRPr="00B16781">
        <w:t xml:space="preserve"> </w:t>
      </w:r>
      <w:r w:rsidRPr="00B16781">
        <w:rPr>
          <w:b/>
        </w:rPr>
        <w:t>49</w:t>
      </w:r>
      <w:r w:rsidRPr="00B16781">
        <w:t>, D605-d612 (2021).</w:t>
      </w:r>
    </w:p>
    <w:p w14:paraId="61C4FFA5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19.</w:t>
      </w:r>
      <w:r w:rsidRPr="00B16781">
        <w:tab/>
        <w:t>Sollis, E.</w:t>
      </w:r>
      <w:r w:rsidRPr="00B16781">
        <w:rPr>
          <w:i/>
        </w:rPr>
        <w:t>, et al.</w:t>
      </w:r>
      <w:r w:rsidRPr="00B16781">
        <w:t xml:space="preserve"> The NHGRI-EBI GWAS Catalog: knowledgebase and deposition resource. </w:t>
      </w:r>
      <w:r w:rsidRPr="00B16781">
        <w:rPr>
          <w:i/>
        </w:rPr>
        <w:t>Nucleic Acids Res</w:t>
      </w:r>
      <w:r w:rsidRPr="00B16781">
        <w:t xml:space="preserve"> </w:t>
      </w:r>
      <w:r w:rsidRPr="00B16781">
        <w:rPr>
          <w:b/>
        </w:rPr>
        <w:t>51</w:t>
      </w:r>
      <w:r w:rsidRPr="00B16781">
        <w:t>, D977-d985 (2023).</w:t>
      </w:r>
    </w:p>
    <w:p w14:paraId="19289176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20.</w:t>
      </w:r>
      <w:r w:rsidRPr="00B16781">
        <w:tab/>
        <w:t>Siletti, K.</w:t>
      </w:r>
      <w:r w:rsidRPr="00B16781">
        <w:rPr>
          <w:i/>
        </w:rPr>
        <w:t>, et al.</w:t>
      </w:r>
      <w:r w:rsidRPr="00B16781">
        <w:t xml:space="preserve"> Transcriptomic diversity of cell types across the adult human brain. </w:t>
      </w:r>
      <w:r w:rsidRPr="00B16781">
        <w:rPr>
          <w:i/>
        </w:rPr>
        <w:t>Science</w:t>
      </w:r>
      <w:r w:rsidRPr="00B16781">
        <w:t xml:space="preserve"> </w:t>
      </w:r>
      <w:r w:rsidRPr="00B16781">
        <w:rPr>
          <w:b/>
        </w:rPr>
        <w:t>382</w:t>
      </w:r>
      <w:r w:rsidRPr="00B16781">
        <w:t>, eadd7046 (2023).</w:t>
      </w:r>
    </w:p>
    <w:p w14:paraId="5D98E8FC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lastRenderedPageBreak/>
        <w:t>21.</w:t>
      </w:r>
      <w:r w:rsidRPr="00B16781">
        <w:tab/>
        <w:t xml:space="preserve">Benjamini, Y. &amp; Hochberg, Y. Controlling the False Discovery Rate - a Practical and Powerful Approach to Multiple Testing. </w:t>
      </w:r>
      <w:r w:rsidRPr="00B16781">
        <w:rPr>
          <w:i/>
        </w:rPr>
        <w:t>J R Stat Soc B</w:t>
      </w:r>
      <w:r w:rsidRPr="00B16781">
        <w:t xml:space="preserve"> </w:t>
      </w:r>
      <w:r w:rsidRPr="00B16781">
        <w:rPr>
          <w:b/>
        </w:rPr>
        <w:t>57</w:t>
      </w:r>
      <w:r w:rsidRPr="00B16781">
        <w:t>, 289-300 (1995).</w:t>
      </w:r>
    </w:p>
    <w:p w14:paraId="3CA3E2AF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22.</w:t>
      </w:r>
      <w:r w:rsidRPr="00B16781">
        <w:tab/>
        <w:t>Finucane, H.K.</w:t>
      </w:r>
      <w:r w:rsidRPr="00B16781">
        <w:rPr>
          <w:i/>
        </w:rPr>
        <w:t>, et al.</w:t>
      </w:r>
      <w:r w:rsidRPr="00B16781">
        <w:t xml:space="preserve"> Partitioning heritability by functional annotation using genome-wide association summary statistics. </w:t>
      </w:r>
      <w:r w:rsidRPr="00B16781">
        <w:rPr>
          <w:i/>
        </w:rPr>
        <w:t>Nature Genetics</w:t>
      </w:r>
      <w:r w:rsidRPr="00B16781">
        <w:t xml:space="preserve"> </w:t>
      </w:r>
      <w:r w:rsidRPr="00B16781">
        <w:rPr>
          <w:b/>
        </w:rPr>
        <w:t>47</w:t>
      </w:r>
      <w:r w:rsidRPr="00B16781">
        <w:t>, 1228-+ (2015).</w:t>
      </w:r>
    </w:p>
    <w:p w14:paraId="7ADE2D40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23.</w:t>
      </w:r>
      <w:r w:rsidRPr="00B16781">
        <w:tab/>
        <w:t>Bulik-Sullivan, B.K.</w:t>
      </w:r>
      <w:r w:rsidRPr="00B16781">
        <w:rPr>
          <w:i/>
        </w:rPr>
        <w:t>, et al.</w:t>
      </w:r>
      <w:r w:rsidRPr="00B16781">
        <w:t xml:space="preserve"> LD Score regression distinguishes confounding from polygenicity in genome-wide association studies. </w:t>
      </w:r>
      <w:r w:rsidRPr="00B16781">
        <w:rPr>
          <w:i/>
        </w:rPr>
        <w:t>Nat Genet</w:t>
      </w:r>
      <w:r w:rsidRPr="00B16781">
        <w:t xml:space="preserve"> </w:t>
      </w:r>
      <w:r w:rsidRPr="00B16781">
        <w:rPr>
          <w:b/>
        </w:rPr>
        <w:t>47</w:t>
      </w:r>
      <w:r w:rsidRPr="00B16781">
        <w:t>, 291-295 (2015).</w:t>
      </w:r>
    </w:p>
    <w:p w14:paraId="20BA1861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24.</w:t>
      </w:r>
      <w:r w:rsidRPr="00B16781">
        <w:tab/>
        <w:t xml:space="preserve">Speed, D. &amp; Balding, D.J. SumHer better estimates the SNP heritability of complex traits from summary statistics. </w:t>
      </w:r>
      <w:r w:rsidRPr="00B16781">
        <w:rPr>
          <w:i/>
        </w:rPr>
        <w:t>Nat Genet</w:t>
      </w:r>
      <w:r w:rsidRPr="00B16781">
        <w:t xml:space="preserve"> </w:t>
      </w:r>
      <w:r w:rsidRPr="00B16781">
        <w:rPr>
          <w:b/>
        </w:rPr>
        <w:t>51</w:t>
      </w:r>
      <w:r w:rsidRPr="00B16781">
        <w:t>, 277-284 (2019).</w:t>
      </w:r>
    </w:p>
    <w:p w14:paraId="2E21755B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25.</w:t>
      </w:r>
      <w:r w:rsidRPr="00B16781">
        <w:tab/>
        <w:t xml:space="preserve">Speed, D., Holmes, J. &amp; Balding, D.J. Evaluating and improving heritability models using summary statistics. </w:t>
      </w:r>
      <w:r w:rsidRPr="00B16781">
        <w:rPr>
          <w:i/>
        </w:rPr>
        <w:t>Nat Genet</w:t>
      </w:r>
      <w:r w:rsidRPr="00B16781">
        <w:t xml:space="preserve"> </w:t>
      </w:r>
      <w:r w:rsidRPr="00B16781">
        <w:rPr>
          <w:b/>
        </w:rPr>
        <w:t>52</w:t>
      </w:r>
      <w:r w:rsidRPr="00B16781">
        <w:t>, 458-462 (2020).</w:t>
      </w:r>
    </w:p>
    <w:p w14:paraId="15CB8109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26.</w:t>
      </w:r>
      <w:r w:rsidRPr="00B16781">
        <w:tab/>
        <w:t>Lai, D.</w:t>
      </w:r>
      <w:r w:rsidRPr="00B16781">
        <w:rPr>
          <w:i/>
        </w:rPr>
        <w:t>, et al.</w:t>
      </w:r>
      <w:r w:rsidRPr="00B16781">
        <w:t xml:space="preserve"> Gene-based polygenic risk scores analysis of alcohol use disorder in African Americans. </w:t>
      </w:r>
      <w:r w:rsidRPr="00B16781">
        <w:rPr>
          <w:i/>
        </w:rPr>
        <w:t>Transl Psychiatry</w:t>
      </w:r>
      <w:r w:rsidRPr="00B16781">
        <w:t xml:space="preserve"> </w:t>
      </w:r>
      <w:r w:rsidRPr="00B16781">
        <w:rPr>
          <w:b/>
        </w:rPr>
        <w:t>12</w:t>
      </w:r>
      <w:r w:rsidRPr="00B16781">
        <w:t>, 266 (2022).</w:t>
      </w:r>
    </w:p>
    <w:p w14:paraId="35B9C1CE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27.</w:t>
      </w:r>
      <w:r w:rsidRPr="00B16781">
        <w:tab/>
        <w:t>Lai, D.</w:t>
      </w:r>
      <w:r w:rsidRPr="00B16781">
        <w:rPr>
          <w:i/>
        </w:rPr>
        <w:t>, et al.</w:t>
      </w:r>
      <w:r w:rsidRPr="00B16781">
        <w:t xml:space="preserve"> Associations between alcohol use disorder polygenic score and remission in participants from high-risk families and the Indiana Biobank. </w:t>
      </w:r>
      <w:r w:rsidRPr="00B16781">
        <w:rPr>
          <w:i/>
        </w:rPr>
        <w:t>Alcohol: Clinical and Experimental Research</w:t>
      </w:r>
      <w:r w:rsidRPr="00B16781">
        <w:t xml:space="preserve"> </w:t>
      </w:r>
      <w:r w:rsidRPr="00B16781">
        <w:rPr>
          <w:b/>
        </w:rPr>
        <w:t>n/a</w:t>
      </w:r>
      <w:r w:rsidRPr="00B16781">
        <w:t>.</w:t>
      </w:r>
    </w:p>
    <w:p w14:paraId="58D6EC6D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28.</w:t>
      </w:r>
      <w:r w:rsidRPr="00B16781">
        <w:tab/>
        <w:t>Price, A.L.</w:t>
      </w:r>
      <w:r w:rsidRPr="00B16781">
        <w:rPr>
          <w:i/>
        </w:rPr>
        <w:t>, et al.</w:t>
      </w:r>
      <w:r w:rsidRPr="00B16781">
        <w:t xml:space="preserve"> Principal components analysis corrects for stratification in genome-wide association studies. </w:t>
      </w:r>
      <w:r w:rsidRPr="00B16781">
        <w:rPr>
          <w:i/>
        </w:rPr>
        <w:t>Nat Genet</w:t>
      </w:r>
      <w:r w:rsidRPr="00B16781">
        <w:t xml:space="preserve"> </w:t>
      </w:r>
      <w:r w:rsidRPr="00B16781">
        <w:rPr>
          <w:b/>
        </w:rPr>
        <w:t>38</w:t>
      </w:r>
      <w:r w:rsidRPr="00B16781">
        <w:t>, 904-909 (2006).</w:t>
      </w:r>
    </w:p>
    <w:p w14:paraId="4E36709F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29.</w:t>
      </w:r>
      <w:r w:rsidRPr="00B16781">
        <w:tab/>
        <w:t>Das, S.</w:t>
      </w:r>
      <w:r w:rsidRPr="00B16781">
        <w:rPr>
          <w:i/>
        </w:rPr>
        <w:t>, et al.</w:t>
      </w:r>
      <w:r w:rsidRPr="00B16781">
        <w:t xml:space="preserve"> Next-generation genotype imputation service and methods. </w:t>
      </w:r>
      <w:r w:rsidRPr="00B16781">
        <w:rPr>
          <w:i/>
        </w:rPr>
        <w:t>Nat Genet</w:t>
      </w:r>
      <w:r w:rsidRPr="00B16781">
        <w:t xml:space="preserve"> </w:t>
      </w:r>
      <w:r w:rsidRPr="00B16781">
        <w:rPr>
          <w:b/>
        </w:rPr>
        <w:t>48</w:t>
      </w:r>
      <w:r w:rsidRPr="00B16781">
        <w:t>, 1284-1287 (2016).</w:t>
      </w:r>
    </w:p>
    <w:p w14:paraId="4B6F965E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30.</w:t>
      </w:r>
      <w:r w:rsidRPr="00B16781">
        <w:tab/>
        <w:t xml:space="preserve">Ge, T., Chen, C.Y., Ni, Y., Feng, Y.A. &amp; Smoller, J.W. Polygenic prediction via Bayesian regression and continuous shrinkage priors. </w:t>
      </w:r>
      <w:r w:rsidRPr="00B16781">
        <w:rPr>
          <w:i/>
        </w:rPr>
        <w:t>Nat Commun</w:t>
      </w:r>
      <w:r w:rsidRPr="00B16781">
        <w:t xml:space="preserve"> </w:t>
      </w:r>
      <w:r w:rsidRPr="00B16781">
        <w:rPr>
          <w:b/>
        </w:rPr>
        <w:t>10</w:t>
      </w:r>
      <w:r w:rsidRPr="00B16781">
        <w:t>, 1776 (2019).</w:t>
      </w:r>
    </w:p>
    <w:p w14:paraId="7C6576D5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31.</w:t>
      </w:r>
      <w:r w:rsidRPr="00B16781">
        <w:tab/>
        <w:t>Ruan, Y.</w:t>
      </w:r>
      <w:r w:rsidRPr="00B16781">
        <w:rPr>
          <w:i/>
        </w:rPr>
        <w:t>, et al.</w:t>
      </w:r>
      <w:r w:rsidRPr="00B16781">
        <w:t xml:space="preserve"> Improving polygenic prediction in ancestrally diverse populations. </w:t>
      </w:r>
      <w:r w:rsidRPr="00B16781">
        <w:rPr>
          <w:i/>
        </w:rPr>
        <w:t>Nature Genetics</w:t>
      </w:r>
      <w:r w:rsidRPr="00B16781">
        <w:t xml:space="preserve"> </w:t>
      </w:r>
      <w:r w:rsidRPr="00B16781">
        <w:rPr>
          <w:b/>
        </w:rPr>
        <w:t>54</w:t>
      </w:r>
      <w:r w:rsidRPr="00B16781">
        <w:t>, 573-580 (2022).</w:t>
      </w:r>
    </w:p>
    <w:p w14:paraId="7EFB43FC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32.</w:t>
      </w:r>
      <w:r w:rsidRPr="00B16781">
        <w:tab/>
        <w:t>Chang, C.C.</w:t>
      </w:r>
      <w:r w:rsidRPr="00B16781">
        <w:rPr>
          <w:i/>
        </w:rPr>
        <w:t>, et al.</w:t>
      </w:r>
      <w:r w:rsidRPr="00B16781">
        <w:t xml:space="preserve"> Second-generation PLINK: rising to the challenge of larger and richer datasets. </w:t>
      </w:r>
      <w:r w:rsidRPr="00B16781">
        <w:rPr>
          <w:i/>
        </w:rPr>
        <w:t>Gigascience</w:t>
      </w:r>
      <w:r w:rsidRPr="00B16781">
        <w:t xml:space="preserve"> </w:t>
      </w:r>
      <w:r w:rsidRPr="00B16781">
        <w:rPr>
          <w:b/>
        </w:rPr>
        <w:t>4</w:t>
      </w:r>
      <w:r w:rsidRPr="00B16781">
        <w:t>, 7 (2015).</w:t>
      </w:r>
    </w:p>
    <w:p w14:paraId="364549C2" w14:textId="77777777" w:rsidR="00B16781" w:rsidRPr="00B16781" w:rsidRDefault="00B16781" w:rsidP="00B16781">
      <w:pPr>
        <w:pStyle w:val="EndNoteBibliography"/>
        <w:spacing w:after="0"/>
        <w:ind w:left="720" w:hanging="720"/>
      </w:pPr>
      <w:r w:rsidRPr="00B16781">
        <w:t>33.</w:t>
      </w:r>
      <w:r w:rsidRPr="00B16781">
        <w:tab/>
        <w:t>Purcell, S.</w:t>
      </w:r>
      <w:r w:rsidRPr="00B16781">
        <w:rPr>
          <w:i/>
        </w:rPr>
        <w:t>, et al.</w:t>
      </w:r>
      <w:r w:rsidRPr="00B16781">
        <w:t xml:space="preserve"> PLINK: a tool set for whole-genome association and population-based linkage analyses. </w:t>
      </w:r>
      <w:r w:rsidRPr="00B16781">
        <w:rPr>
          <w:i/>
        </w:rPr>
        <w:t>Am J Hum Genet</w:t>
      </w:r>
      <w:r w:rsidRPr="00B16781">
        <w:t xml:space="preserve"> </w:t>
      </w:r>
      <w:r w:rsidRPr="00B16781">
        <w:rPr>
          <w:b/>
        </w:rPr>
        <w:t>81</w:t>
      </w:r>
      <w:r w:rsidRPr="00B16781">
        <w:t>, 559-575 (2007).</w:t>
      </w:r>
    </w:p>
    <w:p w14:paraId="2D6406EA" w14:textId="77777777" w:rsidR="00B16781" w:rsidRPr="00B16781" w:rsidRDefault="00B16781" w:rsidP="00B16781">
      <w:pPr>
        <w:pStyle w:val="EndNoteBibliography"/>
        <w:ind w:left="720" w:hanging="720"/>
      </w:pPr>
      <w:r w:rsidRPr="00B16781">
        <w:t>34.</w:t>
      </w:r>
      <w:r w:rsidRPr="00B16781">
        <w:tab/>
        <w:t>Freshour, S.L.</w:t>
      </w:r>
      <w:r w:rsidRPr="00B16781">
        <w:rPr>
          <w:i/>
        </w:rPr>
        <w:t>, et al.</w:t>
      </w:r>
      <w:r w:rsidRPr="00B16781">
        <w:t xml:space="preserve"> Integration of the Drug-Gene Interaction Database (DGIdb 4.0) with open crowdsource efforts. </w:t>
      </w:r>
      <w:r w:rsidRPr="00B16781">
        <w:rPr>
          <w:i/>
        </w:rPr>
        <w:t>Nucleic Acids Res</w:t>
      </w:r>
      <w:r w:rsidRPr="00B16781">
        <w:t xml:space="preserve"> </w:t>
      </w:r>
      <w:r w:rsidRPr="00B16781">
        <w:rPr>
          <w:b/>
        </w:rPr>
        <w:t>49</w:t>
      </w:r>
      <w:r w:rsidRPr="00B16781">
        <w:t>, D1144-D1151 (2021).</w:t>
      </w:r>
    </w:p>
    <w:p w14:paraId="138D6993" w14:textId="691D8AD5" w:rsidR="00AE401D" w:rsidRDefault="00AE401D">
      <w:pPr>
        <w:rPr>
          <w:rFonts w:ascii="Times New Roman" w:hAnsi="Times New Roman" w:cs="Times New Roman"/>
          <w:sz w:val="24"/>
          <w:szCs w:val="24"/>
        </w:rPr>
      </w:pPr>
    </w:p>
    <w:sectPr w:rsidR="00AE4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r0x25w2v0dd9perews5zet82dt0fz2prftv&quot;&gt;ref-Converted&lt;record-ids&gt;&lt;item&gt;1&lt;/item&gt;&lt;item&gt;4&lt;/item&gt;&lt;item&gt;5239&lt;/item&gt;&lt;item&gt;5241&lt;/item&gt;&lt;item&gt;5242&lt;/item&gt;&lt;item&gt;6374&lt;/item&gt;&lt;item&gt;6876&lt;/item&gt;&lt;item&gt;7905&lt;/item&gt;&lt;item&gt;7968&lt;/item&gt;&lt;item&gt;7969&lt;/item&gt;&lt;item&gt;7992&lt;/item&gt;&lt;item&gt;8484&lt;/item&gt;&lt;item&gt;8501&lt;/item&gt;&lt;item&gt;8509&lt;/item&gt;&lt;item&gt;8572&lt;/item&gt;&lt;item&gt;8619&lt;/item&gt;&lt;item&gt;8620&lt;/item&gt;&lt;item&gt;8900&lt;/item&gt;&lt;item&gt;9019&lt;/item&gt;&lt;item&gt;9193&lt;/item&gt;&lt;item&gt;9194&lt;/item&gt;&lt;item&gt;9197&lt;/item&gt;&lt;item&gt;9234&lt;/item&gt;&lt;item&gt;9314&lt;/item&gt;&lt;item&gt;9425&lt;/item&gt;&lt;item&gt;9530&lt;/item&gt;&lt;item&gt;9572&lt;/item&gt;&lt;item&gt;9958&lt;/item&gt;&lt;item&gt;10065&lt;/item&gt;&lt;item&gt;10066&lt;/item&gt;&lt;item&gt;10085&lt;/item&gt;&lt;item&gt;10086&lt;/item&gt;&lt;item&gt;10087&lt;/item&gt;&lt;/record-ids&gt;&lt;/item&gt;&lt;/Libraries&gt;"/>
  </w:docVars>
  <w:rsids>
    <w:rsidRoot w:val="006C5355"/>
    <w:rsid w:val="00011287"/>
    <w:rsid w:val="0001603A"/>
    <w:rsid w:val="00032B7F"/>
    <w:rsid w:val="00045008"/>
    <w:rsid w:val="00046877"/>
    <w:rsid w:val="000475BF"/>
    <w:rsid w:val="00053577"/>
    <w:rsid w:val="0007514F"/>
    <w:rsid w:val="00082D9E"/>
    <w:rsid w:val="00093D6C"/>
    <w:rsid w:val="000A0226"/>
    <w:rsid w:val="000A436C"/>
    <w:rsid w:val="000A71B8"/>
    <w:rsid w:val="000B5270"/>
    <w:rsid w:val="000C6BFB"/>
    <w:rsid w:val="000E259F"/>
    <w:rsid w:val="000E4D07"/>
    <w:rsid w:val="00102C7E"/>
    <w:rsid w:val="001060E2"/>
    <w:rsid w:val="0010756B"/>
    <w:rsid w:val="00122DEA"/>
    <w:rsid w:val="001314B2"/>
    <w:rsid w:val="00146CCB"/>
    <w:rsid w:val="00151EFD"/>
    <w:rsid w:val="0015400E"/>
    <w:rsid w:val="00170902"/>
    <w:rsid w:val="00173CBF"/>
    <w:rsid w:val="001A1871"/>
    <w:rsid w:val="001B1399"/>
    <w:rsid w:val="001C3547"/>
    <w:rsid w:val="001E3222"/>
    <w:rsid w:val="001F28B6"/>
    <w:rsid w:val="002011A8"/>
    <w:rsid w:val="002012F4"/>
    <w:rsid w:val="002013F5"/>
    <w:rsid w:val="00207B2F"/>
    <w:rsid w:val="00221E78"/>
    <w:rsid w:val="0025429D"/>
    <w:rsid w:val="00256214"/>
    <w:rsid w:val="00260A17"/>
    <w:rsid w:val="00263DDB"/>
    <w:rsid w:val="00277026"/>
    <w:rsid w:val="00292B23"/>
    <w:rsid w:val="002B3281"/>
    <w:rsid w:val="002C0E7C"/>
    <w:rsid w:val="002C6824"/>
    <w:rsid w:val="002D3708"/>
    <w:rsid w:val="002F00DA"/>
    <w:rsid w:val="002F4523"/>
    <w:rsid w:val="003026BE"/>
    <w:rsid w:val="0030383D"/>
    <w:rsid w:val="00315536"/>
    <w:rsid w:val="00317664"/>
    <w:rsid w:val="00321C25"/>
    <w:rsid w:val="00331CA8"/>
    <w:rsid w:val="003336AE"/>
    <w:rsid w:val="003352BB"/>
    <w:rsid w:val="00336E1A"/>
    <w:rsid w:val="00343F72"/>
    <w:rsid w:val="003554DA"/>
    <w:rsid w:val="00370545"/>
    <w:rsid w:val="003705E4"/>
    <w:rsid w:val="00394DC3"/>
    <w:rsid w:val="003961BE"/>
    <w:rsid w:val="003A5A6A"/>
    <w:rsid w:val="003B21DD"/>
    <w:rsid w:val="003B2ADD"/>
    <w:rsid w:val="003C219E"/>
    <w:rsid w:val="003C5C9B"/>
    <w:rsid w:val="003C6EA2"/>
    <w:rsid w:val="003D3119"/>
    <w:rsid w:val="003D4904"/>
    <w:rsid w:val="003F438B"/>
    <w:rsid w:val="00402C1B"/>
    <w:rsid w:val="00402D13"/>
    <w:rsid w:val="00414729"/>
    <w:rsid w:val="004237DA"/>
    <w:rsid w:val="00430667"/>
    <w:rsid w:val="00431C4D"/>
    <w:rsid w:val="00436D96"/>
    <w:rsid w:val="00456D4A"/>
    <w:rsid w:val="0046074B"/>
    <w:rsid w:val="004708BD"/>
    <w:rsid w:val="004807B6"/>
    <w:rsid w:val="004C413F"/>
    <w:rsid w:val="004C602E"/>
    <w:rsid w:val="004C6A05"/>
    <w:rsid w:val="004D7BD0"/>
    <w:rsid w:val="004F33C7"/>
    <w:rsid w:val="0054338E"/>
    <w:rsid w:val="0055576A"/>
    <w:rsid w:val="0057671A"/>
    <w:rsid w:val="00577ABA"/>
    <w:rsid w:val="005D687F"/>
    <w:rsid w:val="005E5A3C"/>
    <w:rsid w:val="005E7E91"/>
    <w:rsid w:val="005F3933"/>
    <w:rsid w:val="0061205D"/>
    <w:rsid w:val="00616354"/>
    <w:rsid w:val="00621D92"/>
    <w:rsid w:val="00686B70"/>
    <w:rsid w:val="00686E38"/>
    <w:rsid w:val="006875EA"/>
    <w:rsid w:val="00694920"/>
    <w:rsid w:val="006A51B3"/>
    <w:rsid w:val="006C3885"/>
    <w:rsid w:val="006C5355"/>
    <w:rsid w:val="006C5850"/>
    <w:rsid w:val="006D1D4F"/>
    <w:rsid w:val="006D769D"/>
    <w:rsid w:val="006E4BDF"/>
    <w:rsid w:val="00704702"/>
    <w:rsid w:val="0071584F"/>
    <w:rsid w:val="00721A01"/>
    <w:rsid w:val="00742F19"/>
    <w:rsid w:val="00755A64"/>
    <w:rsid w:val="0077666D"/>
    <w:rsid w:val="00783F42"/>
    <w:rsid w:val="007A3AAA"/>
    <w:rsid w:val="007D2D8A"/>
    <w:rsid w:val="007E3F0D"/>
    <w:rsid w:val="007F4605"/>
    <w:rsid w:val="00811AD0"/>
    <w:rsid w:val="00836410"/>
    <w:rsid w:val="00841ED3"/>
    <w:rsid w:val="00866813"/>
    <w:rsid w:val="00881895"/>
    <w:rsid w:val="00884A14"/>
    <w:rsid w:val="00890B0D"/>
    <w:rsid w:val="00893976"/>
    <w:rsid w:val="008963B7"/>
    <w:rsid w:val="008A0BEB"/>
    <w:rsid w:val="008B3A26"/>
    <w:rsid w:val="008D2337"/>
    <w:rsid w:val="008E49A1"/>
    <w:rsid w:val="008F0C55"/>
    <w:rsid w:val="008F21F0"/>
    <w:rsid w:val="008F2F2E"/>
    <w:rsid w:val="009025F4"/>
    <w:rsid w:val="00904008"/>
    <w:rsid w:val="00905AE9"/>
    <w:rsid w:val="00927C9B"/>
    <w:rsid w:val="00930B2C"/>
    <w:rsid w:val="009326F2"/>
    <w:rsid w:val="00934D29"/>
    <w:rsid w:val="00944C6B"/>
    <w:rsid w:val="009646D3"/>
    <w:rsid w:val="00990DA4"/>
    <w:rsid w:val="00992713"/>
    <w:rsid w:val="00995F9F"/>
    <w:rsid w:val="009B27E4"/>
    <w:rsid w:val="009D6406"/>
    <w:rsid w:val="009F48F7"/>
    <w:rsid w:val="00A07DF3"/>
    <w:rsid w:val="00A20083"/>
    <w:rsid w:val="00A33E15"/>
    <w:rsid w:val="00A5361B"/>
    <w:rsid w:val="00A5495D"/>
    <w:rsid w:val="00A7403B"/>
    <w:rsid w:val="00A940E8"/>
    <w:rsid w:val="00AA7BFB"/>
    <w:rsid w:val="00AC0743"/>
    <w:rsid w:val="00AC4EFD"/>
    <w:rsid w:val="00AD0A5C"/>
    <w:rsid w:val="00AE2446"/>
    <w:rsid w:val="00AE401D"/>
    <w:rsid w:val="00AF2E72"/>
    <w:rsid w:val="00AF3E65"/>
    <w:rsid w:val="00AF52D5"/>
    <w:rsid w:val="00B16781"/>
    <w:rsid w:val="00B578A5"/>
    <w:rsid w:val="00B7343D"/>
    <w:rsid w:val="00B77A51"/>
    <w:rsid w:val="00B8258D"/>
    <w:rsid w:val="00B938FB"/>
    <w:rsid w:val="00BA1AF6"/>
    <w:rsid w:val="00BB05EA"/>
    <w:rsid w:val="00BB7511"/>
    <w:rsid w:val="00BC00BA"/>
    <w:rsid w:val="00BE02C0"/>
    <w:rsid w:val="00BF43F8"/>
    <w:rsid w:val="00BF7931"/>
    <w:rsid w:val="00C25E7F"/>
    <w:rsid w:val="00C30ACE"/>
    <w:rsid w:val="00C33348"/>
    <w:rsid w:val="00C51ED1"/>
    <w:rsid w:val="00C67E91"/>
    <w:rsid w:val="00C727B4"/>
    <w:rsid w:val="00C75B2E"/>
    <w:rsid w:val="00C83D9B"/>
    <w:rsid w:val="00C95093"/>
    <w:rsid w:val="00CB3DD1"/>
    <w:rsid w:val="00CC2F99"/>
    <w:rsid w:val="00CC68F7"/>
    <w:rsid w:val="00CD40A8"/>
    <w:rsid w:val="00CD688D"/>
    <w:rsid w:val="00CF045E"/>
    <w:rsid w:val="00CF26F1"/>
    <w:rsid w:val="00CF6604"/>
    <w:rsid w:val="00D01207"/>
    <w:rsid w:val="00D0691B"/>
    <w:rsid w:val="00D10499"/>
    <w:rsid w:val="00D12436"/>
    <w:rsid w:val="00D40949"/>
    <w:rsid w:val="00D42DB2"/>
    <w:rsid w:val="00D42EE7"/>
    <w:rsid w:val="00D46B9A"/>
    <w:rsid w:val="00D47188"/>
    <w:rsid w:val="00D764E8"/>
    <w:rsid w:val="00D825C0"/>
    <w:rsid w:val="00D91656"/>
    <w:rsid w:val="00DB4D14"/>
    <w:rsid w:val="00DB652F"/>
    <w:rsid w:val="00DC4EC9"/>
    <w:rsid w:val="00DD5CB4"/>
    <w:rsid w:val="00DE2E74"/>
    <w:rsid w:val="00DF3BD7"/>
    <w:rsid w:val="00DF6D72"/>
    <w:rsid w:val="00DF7C94"/>
    <w:rsid w:val="00E02D3B"/>
    <w:rsid w:val="00E3785C"/>
    <w:rsid w:val="00E41BE3"/>
    <w:rsid w:val="00E43183"/>
    <w:rsid w:val="00E50D1B"/>
    <w:rsid w:val="00E86A93"/>
    <w:rsid w:val="00E95D0C"/>
    <w:rsid w:val="00EA28A3"/>
    <w:rsid w:val="00EE025D"/>
    <w:rsid w:val="00EE3E31"/>
    <w:rsid w:val="00F20604"/>
    <w:rsid w:val="00F24AEC"/>
    <w:rsid w:val="00F54E47"/>
    <w:rsid w:val="00F7147F"/>
    <w:rsid w:val="00F77648"/>
    <w:rsid w:val="00F927D0"/>
    <w:rsid w:val="00FB39FB"/>
    <w:rsid w:val="00FC0502"/>
    <w:rsid w:val="00FD7FC8"/>
    <w:rsid w:val="00FF382D"/>
    <w:rsid w:val="00FF43AB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1898"/>
  <w15:chartTrackingRefBased/>
  <w15:docId w15:val="{CD45F6EA-6B23-4EEB-AAA8-5E7363F8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1D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01D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AE401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E401D"/>
    <w:rPr>
      <w:rFonts w:ascii="Calibri" w:eastAsiaTheme="minorHAnsi" w:hAnsi="Calibri" w:cs="Calibri"/>
      <w:noProof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AE401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E401D"/>
    <w:rPr>
      <w:rFonts w:ascii="Calibri" w:eastAsiaTheme="minorHAnsi" w:hAnsi="Calibri" w:cs="Calibri"/>
      <w:noProof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9A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2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4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436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436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5621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hyperlink" Target="about:blank" TargetMode="External"/><Relationship Id="rId10" Type="http://schemas.openxmlformats.org/officeDocument/2006/relationships/fontTable" Target="fontTable.xml"/><Relationship Id="rId4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6</Pages>
  <Words>2807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18771</CharactersWithSpaces>
  <SharedDoc>false</SharedDoc>
  <HLinks>
    <vt:vector size="30" baseType="variant">
      <vt:variant>
        <vt:i4>6160460</vt:i4>
      </vt:variant>
      <vt:variant>
        <vt:i4>133</vt:i4>
      </vt:variant>
      <vt:variant>
        <vt:i4>0</vt:i4>
      </vt:variant>
      <vt:variant>
        <vt:i4>5</vt:i4>
      </vt:variant>
      <vt:variant>
        <vt:lpwstr>https://www.genome.jp/kegg/drug/</vt:lpwstr>
      </vt:variant>
      <vt:variant>
        <vt:lpwstr/>
      </vt:variant>
      <vt:variant>
        <vt:i4>3670055</vt:i4>
      </vt:variant>
      <vt:variant>
        <vt:i4>125</vt:i4>
      </vt:variant>
      <vt:variant>
        <vt:i4>0</vt:i4>
      </vt:variant>
      <vt:variant>
        <vt:i4>5</vt:i4>
      </vt:variant>
      <vt:variant>
        <vt:lpwstr>https://www.dgidb.org/</vt:lpwstr>
      </vt:variant>
      <vt:variant>
        <vt:lpwstr/>
      </vt:variant>
      <vt:variant>
        <vt:i4>4718676</vt:i4>
      </vt:variant>
      <vt:variant>
        <vt:i4>84</vt:i4>
      </vt:variant>
      <vt:variant>
        <vt:i4>0</vt:i4>
      </vt:variant>
      <vt:variant>
        <vt:i4>5</vt:i4>
      </vt:variant>
      <vt:variant>
        <vt:lpwstr>https://vl.genoma.io/data</vt:lpwstr>
      </vt:variant>
      <vt:variant>
        <vt:lpwstr/>
      </vt:variant>
      <vt:variant>
        <vt:i4>65559</vt:i4>
      </vt:variant>
      <vt:variant>
        <vt:i4>45</vt:i4>
      </vt:variant>
      <vt:variant>
        <vt:i4>0</vt:i4>
      </vt:variant>
      <vt:variant>
        <vt:i4>5</vt:i4>
      </vt:variant>
      <vt:variant>
        <vt:lpwstr>https://stringdb.org/</vt:lpwstr>
      </vt:variant>
      <vt:variant>
        <vt:lpwstr/>
      </vt:variant>
      <vt:variant>
        <vt:i4>6291574</vt:i4>
      </vt:variant>
      <vt:variant>
        <vt:i4>42</vt:i4>
      </vt:variant>
      <vt:variant>
        <vt:i4>0</vt:i4>
      </vt:variant>
      <vt:variant>
        <vt:i4>5</vt:i4>
      </vt:variant>
      <vt:variant>
        <vt:lpwstr>https://www.genome.jp/kegg/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Dongbing</dc:creator>
  <cp:keywords/>
  <dc:description/>
  <cp:lastModifiedBy>Lai, Dongbing</cp:lastModifiedBy>
  <cp:revision>148</cp:revision>
  <dcterms:created xsi:type="dcterms:W3CDTF">2024-01-14T20:22:00Z</dcterms:created>
  <dcterms:modified xsi:type="dcterms:W3CDTF">2024-02-13T21:42:00Z</dcterms:modified>
</cp:coreProperties>
</file>