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B2461" w14:textId="0A0DC602" w:rsidR="001C640C" w:rsidRPr="00846118" w:rsidRDefault="00CD7087" w:rsidP="00691838">
      <w:pPr>
        <w:spacing w:line="276" w:lineRule="auto"/>
        <w:jc w:val="center"/>
        <w:rPr>
          <w:rFonts w:ascii="Calibri" w:hAnsi="Calibri" w:cs="Calibri"/>
          <w:sz w:val="24"/>
          <w:szCs w:val="24"/>
          <w:lang w:val="en-US"/>
        </w:rPr>
      </w:pPr>
      <w:r w:rsidRPr="00846118">
        <w:rPr>
          <w:rFonts w:ascii="Calibri" w:hAnsi="Calibri" w:cs="Calibri"/>
          <w:sz w:val="24"/>
          <w:szCs w:val="24"/>
          <w:lang w:val="en-US"/>
        </w:rPr>
        <w:t>Supplementary Information for</w:t>
      </w:r>
    </w:p>
    <w:p w14:paraId="4C109F00" w14:textId="77777777" w:rsidR="003534FB" w:rsidRPr="003534FB" w:rsidRDefault="003534FB" w:rsidP="003534FB">
      <w:pPr>
        <w:spacing w:line="276" w:lineRule="auto"/>
        <w:jc w:val="center"/>
        <w:rPr>
          <w:rFonts w:ascii="Calibri" w:eastAsia="Calibri" w:hAnsi="Calibri" w:cs="Calibri"/>
          <w:b/>
          <w:color w:val="222222"/>
          <w:sz w:val="32"/>
          <w:szCs w:val="32"/>
          <w:lang w:val="en-US"/>
        </w:rPr>
      </w:pPr>
      <w:r w:rsidRPr="003534FB">
        <w:rPr>
          <w:rFonts w:ascii="Calibri" w:eastAsia="Calibri" w:hAnsi="Calibri" w:cs="Calibri"/>
          <w:b/>
          <w:color w:val="222222"/>
          <w:sz w:val="32"/>
          <w:szCs w:val="32"/>
          <w:lang w:val="en-US"/>
        </w:rPr>
        <w:t xml:space="preserve">The </w:t>
      </w:r>
      <w:r w:rsidRPr="003534FB">
        <w:rPr>
          <w:rFonts w:ascii="Calibri" w:eastAsia="Calibri" w:hAnsi="Calibri" w:cs="Calibri"/>
          <w:b/>
          <w:bCs/>
          <w:color w:val="222222"/>
          <w:sz w:val="32"/>
          <w:szCs w:val="32"/>
          <w:lang w:val="en-US"/>
        </w:rPr>
        <w:t xml:space="preserve">K9 lymphoma assay allows a </w:t>
      </w:r>
      <w:r w:rsidRPr="003534FB">
        <w:rPr>
          <w:rFonts w:ascii="Calibri" w:eastAsia="Calibri" w:hAnsi="Calibri" w:cs="Calibri"/>
          <w:b/>
          <w:color w:val="222222"/>
          <w:sz w:val="32"/>
          <w:szCs w:val="32"/>
          <w:lang w:val="en-US"/>
        </w:rPr>
        <w:t>genetic subgrouping of canine lymphomas with improved risk classification</w:t>
      </w:r>
    </w:p>
    <w:p w14:paraId="23446F69" w14:textId="77777777" w:rsidR="00CD7087" w:rsidRPr="00073C3B" w:rsidRDefault="00CD7087" w:rsidP="00691838">
      <w:pPr>
        <w:spacing w:line="276" w:lineRule="auto"/>
        <w:jc w:val="center"/>
        <w:rPr>
          <w:rFonts w:ascii="Calibri" w:hAnsi="Calibri" w:cs="Calibri"/>
          <w:color w:val="222222"/>
          <w:sz w:val="24"/>
          <w:szCs w:val="24"/>
          <w:vertAlign w:val="superscript"/>
        </w:rPr>
      </w:pPr>
      <w:r w:rsidRPr="00073C3B">
        <w:rPr>
          <w:rFonts w:ascii="Calibri" w:hAnsi="Calibri" w:cs="Calibri"/>
          <w:color w:val="222222"/>
          <w:sz w:val="24"/>
          <w:szCs w:val="24"/>
        </w:rPr>
        <w:t>Antonella Fanelli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1</w:t>
      </w:r>
      <w:r w:rsidRPr="00073C3B">
        <w:rPr>
          <w:rFonts w:ascii="Calibri" w:hAnsi="Calibri" w:cs="Calibri"/>
          <w:color w:val="222222"/>
          <w:sz w:val="24"/>
          <w:szCs w:val="24"/>
        </w:rPr>
        <w:t>, Luca Licenziato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1</w:t>
      </w:r>
      <w:r w:rsidRPr="00073C3B">
        <w:rPr>
          <w:rFonts w:ascii="Calibri" w:hAnsi="Calibri" w:cs="Calibri"/>
          <w:color w:val="222222"/>
          <w:sz w:val="24"/>
          <w:szCs w:val="24"/>
        </w:rPr>
        <w:t>, Eugenio Mazzone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1</w:t>
      </w:r>
      <w:r w:rsidRPr="00073C3B">
        <w:rPr>
          <w:rFonts w:ascii="Calibri" w:hAnsi="Calibri" w:cs="Calibri"/>
          <w:color w:val="222222"/>
          <w:sz w:val="24"/>
          <w:szCs w:val="24"/>
        </w:rPr>
        <w:t>, Sara Divari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1</w:t>
      </w:r>
      <w:r w:rsidRPr="00073C3B">
        <w:rPr>
          <w:rFonts w:ascii="Calibri" w:hAnsi="Calibri" w:cs="Calibri"/>
          <w:color w:val="222222"/>
          <w:sz w:val="24"/>
          <w:szCs w:val="24"/>
        </w:rPr>
        <w:t>, Andrea Rinaldi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2</w:t>
      </w:r>
      <w:r w:rsidRPr="00073C3B">
        <w:rPr>
          <w:rFonts w:ascii="Calibri" w:hAnsi="Calibri" w:cs="Calibri"/>
          <w:color w:val="222222"/>
          <w:sz w:val="24"/>
          <w:szCs w:val="24"/>
        </w:rPr>
        <w:t>, Michele Marino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3</w:t>
      </w:r>
      <w:r w:rsidRPr="00073C3B">
        <w:rPr>
          <w:rFonts w:ascii="Calibri" w:hAnsi="Calibri" w:cs="Calibri"/>
          <w:color w:val="222222"/>
          <w:sz w:val="24"/>
          <w:szCs w:val="24"/>
        </w:rPr>
        <w:t>, Ilaria Maga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4</w:t>
      </w:r>
      <w:r w:rsidRPr="00073C3B">
        <w:rPr>
          <w:rFonts w:ascii="Calibri" w:hAnsi="Calibri" w:cs="Calibri"/>
          <w:color w:val="222222"/>
          <w:sz w:val="24"/>
          <w:szCs w:val="24"/>
        </w:rPr>
        <w:t>, Francesco Bertoni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2,5</w:t>
      </w:r>
      <w:r w:rsidRPr="00073C3B">
        <w:rPr>
          <w:rFonts w:ascii="Calibri" w:hAnsi="Calibri" w:cs="Calibri"/>
          <w:color w:val="222222"/>
          <w:sz w:val="24"/>
          <w:szCs w:val="24"/>
        </w:rPr>
        <w:t>, Laura Marconato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4*</w:t>
      </w:r>
      <w:r w:rsidRPr="00073C3B">
        <w:rPr>
          <w:rFonts w:ascii="Calibri" w:hAnsi="Calibri" w:cs="Calibri"/>
          <w:color w:val="222222"/>
          <w:sz w:val="24"/>
          <w:szCs w:val="24"/>
        </w:rPr>
        <w:t>, Luca Aresu</w:t>
      </w:r>
      <w:r w:rsidRPr="00073C3B">
        <w:rPr>
          <w:rFonts w:ascii="Calibri" w:hAnsi="Calibri" w:cs="Calibri"/>
          <w:color w:val="222222"/>
          <w:sz w:val="24"/>
          <w:szCs w:val="24"/>
          <w:vertAlign w:val="superscript"/>
        </w:rPr>
        <w:t>1*</w:t>
      </w:r>
    </w:p>
    <w:p w14:paraId="1372C16D" w14:textId="77777777" w:rsidR="00CD7087" w:rsidRPr="00B64646" w:rsidRDefault="00CD7087" w:rsidP="00691838">
      <w:pPr>
        <w:spacing w:line="276" w:lineRule="auto"/>
        <w:jc w:val="both"/>
        <w:rPr>
          <w:rFonts w:ascii="Calibri" w:hAnsi="Calibri" w:cs="Calibri"/>
          <w:color w:val="222222"/>
          <w:sz w:val="21"/>
          <w:szCs w:val="21"/>
          <w:vertAlign w:val="superscript"/>
        </w:rPr>
      </w:pPr>
    </w:p>
    <w:p w14:paraId="34732181" w14:textId="24CD7366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b/>
          <w:bCs/>
          <w:color w:val="222222"/>
          <w:lang w:val="en-US"/>
        </w:rPr>
      </w:pPr>
      <w:r w:rsidRPr="00073C3B">
        <w:rPr>
          <w:rFonts w:ascii="Calibri" w:hAnsi="Calibri" w:cs="Calibri"/>
          <w:color w:val="222222"/>
          <w:vertAlign w:val="superscript"/>
          <w:lang w:val="en-US"/>
        </w:rPr>
        <w:t>1</w:t>
      </w:r>
      <w:r w:rsidR="00B64646" w:rsidRPr="00073C3B">
        <w:rPr>
          <w:rFonts w:ascii="Calibri" w:hAnsi="Calibri" w:cs="Calibri"/>
          <w:color w:val="222222"/>
          <w:vertAlign w:val="superscript"/>
          <w:lang w:val="en-US"/>
        </w:rPr>
        <w:t xml:space="preserve"> </w:t>
      </w:r>
      <w:r w:rsidRPr="00073C3B">
        <w:rPr>
          <w:rFonts w:ascii="Calibri" w:hAnsi="Calibri" w:cs="Calibri"/>
          <w:color w:val="222222"/>
          <w:lang w:val="en-US"/>
        </w:rPr>
        <w:t>Department of Veterinary Sciences, University of Turin, Grugliasco, Turin, Italy.</w:t>
      </w:r>
    </w:p>
    <w:p w14:paraId="3FD92077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  <w:lang w:val="en-US"/>
        </w:rPr>
      </w:pPr>
      <w:r w:rsidRPr="00073C3B">
        <w:rPr>
          <w:rFonts w:ascii="Calibri" w:hAnsi="Calibri" w:cs="Calibri"/>
          <w:color w:val="222222"/>
          <w:vertAlign w:val="superscript"/>
          <w:lang w:val="en-US"/>
        </w:rPr>
        <w:t>2</w:t>
      </w:r>
      <w:r w:rsidRPr="00073C3B">
        <w:rPr>
          <w:rFonts w:ascii="Calibri" w:hAnsi="Calibri" w:cs="Calibri"/>
          <w:color w:val="222222"/>
          <w:lang w:val="en-US"/>
        </w:rPr>
        <w:t xml:space="preserve"> Institute of Oncology Research, Faculty of Biomedical Sciences, USI, Bellinzona, Switzerland.</w:t>
      </w:r>
    </w:p>
    <w:p w14:paraId="07BF3D77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</w:rPr>
      </w:pPr>
      <w:r w:rsidRPr="00073C3B">
        <w:rPr>
          <w:rFonts w:ascii="Calibri" w:hAnsi="Calibri" w:cs="Calibri"/>
          <w:color w:val="222222"/>
          <w:vertAlign w:val="superscript"/>
        </w:rPr>
        <w:t xml:space="preserve">3 </w:t>
      </w:r>
      <w:r w:rsidRPr="00073C3B">
        <w:rPr>
          <w:rFonts w:ascii="Calibri" w:hAnsi="Calibri" w:cs="Calibri"/>
          <w:color w:val="222222"/>
        </w:rPr>
        <w:t>MYLAV, Passirana di Rho, Milan, Italy.</w:t>
      </w:r>
    </w:p>
    <w:p w14:paraId="4EA5B59A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</w:rPr>
      </w:pPr>
      <w:r w:rsidRPr="00073C3B">
        <w:rPr>
          <w:rFonts w:ascii="Calibri" w:hAnsi="Calibri" w:cs="Calibri"/>
          <w:color w:val="222222"/>
          <w:vertAlign w:val="superscript"/>
        </w:rPr>
        <w:t xml:space="preserve">4 </w:t>
      </w:r>
      <w:r w:rsidRPr="00073C3B">
        <w:rPr>
          <w:rFonts w:ascii="Calibri" w:hAnsi="Calibri" w:cs="Calibri"/>
          <w:color w:val="222222"/>
        </w:rPr>
        <w:t>Department of Veterinary Medical Science, University of Bologna, Ozzano dell'Emilia, Bologna, Italy.</w:t>
      </w:r>
    </w:p>
    <w:p w14:paraId="4634B7B3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</w:rPr>
      </w:pPr>
      <w:r w:rsidRPr="00073C3B">
        <w:rPr>
          <w:rFonts w:ascii="Calibri" w:hAnsi="Calibri" w:cs="Calibri"/>
          <w:color w:val="222222"/>
          <w:vertAlign w:val="superscript"/>
        </w:rPr>
        <w:t xml:space="preserve">5 </w:t>
      </w:r>
      <w:r w:rsidRPr="00073C3B">
        <w:rPr>
          <w:rFonts w:ascii="Calibri" w:hAnsi="Calibri" w:cs="Calibri"/>
          <w:color w:val="222222"/>
        </w:rPr>
        <w:t>Oncology Institute of Southern Switzerland, Ente Ospedaliero Cantonale, Bellinzona, Switzerland.</w:t>
      </w:r>
    </w:p>
    <w:p w14:paraId="6F78374D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</w:rPr>
      </w:pPr>
    </w:p>
    <w:p w14:paraId="71EE66AD" w14:textId="77777777" w:rsidR="00CD7087" w:rsidRPr="00073C3B" w:rsidRDefault="00CD7087" w:rsidP="00691838">
      <w:pPr>
        <w:spacing w:line="276" w:lineRule="auto"/>
        <w:jc w:val="both"/>
        <w:rPr>
          <w:rFonts w:ascii="Calibri" w:hAnsi="Calibri" w:cs="Calibri"/>
          <w:color w:val="222222"/>
          <w:lang w:val="en-US"/>
        </w:rPr>
      </w:pPr>
      <w:r w:rsidRPr="00073C3B">
        <w:rPr>
          <w:rFonts w:ascii="Calibri" w:hAnsi="Calibri" w:cs="Calibri"/>
          <w:color w:val="222222"/>
          <w:lang w:val="en-US"/>
        </w:rPr>
        <w:t>*email: luca.aresu@unito.it; laura.marconato@unibo.it</w:t>
      </w:r>
    </w:p>
    <w:p w14:paraId="4DAD857A" w14:textId="4FFFFE9B" w:rsidR="00F95FE0" w:rsidRPr="00073C3B" w:rsidRDefault="00F95FE0">
      <w:pPr>
        <w:rPr>
          <w:rFonts w:ascii="Calibri" w:hAnsi="Calibri" w:cs="Calibri"/>
          <w:sz w:val="28"/>
          <w:szCs w:val="28"/>
          <w:lang w:val="en-US"/>
        </w:rPr>
      </w:pPr>
      <w:r w:rsidRPr="00073C3B">
        <w:rPr>
          <w:rFonts w:ascii="Calibri" w:hAnsi="Calibri" w:cs="Calibri"/>
          <w:sz w:val="28"/>
          <w:szCs w:val="28"/>
          <w:lang w:val="en-US"/>
        </w:rPr>
        <w:br w:type="page"/>
      </w:r>
    </w:p>
    <w:p w14:paraId="2AD76C22" w14:textId="118AD0EA" w:rsidR="00CD7087" w:rsidRPr="00846118" w:rsidRDefault="00F95FE0" w:rsidP="00F95FE0">
      <w:pPr>
        <w:rPr>
          <w:rFonts w:ascii="Calibri" w:hAnsi="Calibri" w:cs="Calibri"/>
          <w:b/>
          <w:bCs/>
          <w:sz w:val="28"/>
          <w:szCs w:val="28"/>
          <w:lang w:val="en-US"/>
        </w:rPr>
      </w:pPr>
      <w:r w:rsidRPr="00846118">
        <w:rPr>
          <w:rFonts w:ascii="Calibri" w:hAnsi="Calibri" w:cs="Calibri"/>
          <w:b/>
          <w:bCs/>
          <w:sz w:val="28"/>
          <w:szCs w:val="28"/>
          <w:lang w:val="en-US"/>
        </w:rPr>
        <w:lastRenderedPageBreak/>
        <w:t>Supplementary Results</w:t>
      </w:r>
    </w:p>
    <w:p w14:paraId="052A3EB2" w14:textId="6F938C35" w:rsidR="00F95FE0" w:rsidRPr="00846118" w:rsidRDefault="00F95FE0" w:rsidP="00F95FE0">
      <w:pPr>
        <w:rPr>
          <w:rFonts w:ascii="Calibri" w:hAnsi="Calibri" w:cs="Calibri"/>
          <w:b/>
          <w:bCs/>
          <w:sz w:val="24"/>
          <w:szCs w:val="24"/>
          <w:lang w:val="en-US"/>
        </w:rPr>
      </w:pPr>
      <w:r w:rsidRPr="00846118">
        <w:rPr>
          <w:rFonts w:ascii="Calibri" w:hAnsi="Calibri" w:cs="Calibri"/>
          <w:b/>
          <w:bCs/>
          <w:sz w:val="24"/>
          <w:szCs w:val="24"/>
          <w:lang w:val="en-US"/>
        </w:rPr>
        <w:t>Study Population and Clinical Characteristics of dogs with B-cell lymphoma</w:t>
      </w:r>
    </w:p>
    <w:p w14:paraId="73671247" w14:textId="77777777" w:rsidR="00F95FE0" w:rsidRPr="00846118" w:rsidRDefault="00F95FE0" w:rsidP="00F95FE0">
      <w:pPr>
        <w:spacing w:after="0" w:line="480" w:lineRule="auto"/>
        <w:jc w:val="both"/>
        <w:rPr>
          <w:rFonts w:ascii="Calibri" w:hAnsi="Calibri" w:cs="Calibri"/>
          <w:lang w:val="en-US"/>
        </w:rPr>
      </w:pPr>
      <w:r w:rsidRPr="00846118">
        <w:rPr>
          <w:rFonts w:ascii="Calibri" w:hAnsi="Calibri" w:cs="Calibri"/>
          <w:lang w:val="en-US"/>
        </w:rPr>
        <w:t xml:space="preserve">There were 117 (57.1%) DLBCL, 38 (18.5%) MZL, 21 (10.2%) FL, 11 (5.4%) B-SLL, 10 (4.9%) BL and 8 (3.9%) B-LL. The most represented breeds included mixed-breed dogs (n=51; 24.9%), Rottweiler (n=16; 7.8%), German shepherd dogs (n=12; 5.8%), Golden retriever (n=11; 5.4%) and Labrador retriever (n=11; 5.4%). There were 108 (52.7%) males and 97 (47.3%) females. The median age was 8 years (range, 3 - 15), and the median weight  was 26.7 kg (range, 3.0 – 55.7). Forty-three (20.9%) dogs had already been receiving steroids at admission. </w:t>
      </w:r>
    </w:p>
    <w:p w14:paraId="54352501" w14:textId="77777777" w:rsidR="00F95FE0" w:rsidRPr="00846118" w:rsidRDefault="00F95FE0" w:rsidP="00F95FE0">
      <w:pPr>
        <w:spacing w:after="0" w:line="480" w:lineRule="auto"/>
        <w:jc w:val="both"/>
        <w:rPr>
          <w:rFonts w:ascii="Calibri" w:hAnsi="Calibri" w:cs="Calibri"/>
          <w:lang w:val="en-US"/>
        </w:rPr>
      </w:pPr>
      <w:r w:rsidRPr="00846118">
        <w:rPr>
          <w:rFonts w:ascii="Calibri" w:hAnsi="Calibri" w:cs="Calibri"/>
          <w:lang w:val="en-US"/>
        </w:rPr>
        <w:t xml:space="preserve">The vast majority of dogs (199, 97.1%) underwent a complete staging. Among them, 150 (75.4%) had stage V disease, 40 (20.1%) stage IV disease, 8 (4%) stage III disease, and 1 (0.5%) stage I disease. One hundred and forty-two (69.3%) dogs did not present symptoms at presentation (substage a), while 56 (28.1%) were symptomatic (substage b). </w:t>
      </w:r>
    </w:p>
    <w:p w14:paraId="15D970E8" w14:textId="77777777" w:rsidR="00F95FE0" w:rsidRPr="00846118" w:rsidRDefault="00F95FE0" w:rsidP="00F95FE0">
      <w:pPr>
        <w:spacing w:after="0" w:line="480" w:lineRule="auto"/>
        <w:jc w:val="both"/>
        <w:rPr>
          <w:rFonts w:ascii="Calibri" w:hAnsi="Calibri" w:cs="Calibri"/>
          <w:lang w:val="en-US"/>
        </w:rPr>
      </w:pPr>
      <w:r w:rsidRPr="00846118">
        <w:rPr>
          <w:rFonts w:ascii="Calibri" w:hAnsi="Calibri" w:cs="Calibri"/>
          <w:lang w:val="en-US"/>
        </w:rPr>
        <w:t xml:space="preserve">BM was available for flow cytometric evaluation in 194 dogs; it was infiltrated in 130 (67.0%) dogs, with a median of 12% neoplastic cells (range, 1% – 83.8%). </w:t>
      </w:r>
    </w:p>
    <w:p w14:paraId="51CD2A14" w14:textId="77777777" w:rsidR="00F95FE0" w:rsidRPr="00846118" w:rsidRDefault="00F95FE0" w:rsidP="00F95FE0">
      <w:pPr>
        <w:spacing w:after="0" w:line="480" w:lineRule="auto"/>
        <w:jc w:val="both"/>
        <w:rPr>
          <w:rFonts w:ascii="Calibri" w:hAnsi="Calibri" w:cs="Calibri"/>
          <w:lang w:val="en-US"/>
        </w:rPr>
      </w:pPr>
      <w:r w:rsidRPr="00846118">
        <w:rPr>
          <w:rFonts w:ascii="Calibri" w:hAnsi="Calibri" w:cs="Calibri"/>
          <w:lang w:val="en-US"/>
        </w:rPr>
        <w:t xml:space="preserve">PB was available for flow cytometric evaluation in 196 dogs; it was infiltrated in 125 (63.8%) dogs with a median of 3.6% neoplastic cells (range, 1.1% – 87.5%). </w:t>
      </w:r>
    </w:p>
    <w:p w14:paraId="215C1900" w14:textId="46D42B24" w:rsidR="00F95FE0" w:rsidRPr="00846118" w:rsidRDefault="00F95FE0" w:rsidP="00F95FE0">
      <w:pPr>
        <w:spacing w:after="0" w:line="480" w:lineRule="auto"/>
        <w:jc w:val="both"/>
        <w:rPr>
          <w:rFonts w:ascii="Calibri" w:hAnsi="Calibri" w:cs="Calibri"/>
          <w:lang w:val="en-US"/>
        </w:rPr>
      </w:pPr>
      <w:r w:rsidRPr="00846118">
        <w:rPr>
          <w:rFonts w:ascii="Calibri" w:hAnsi="Calibri" w:cs="Calibri"/>
          <w:lang w:val="en-US"/>
        </w:rPr>
        <w:t>LDH levels were increased in 113 (55.1%) dogs at presentation.</w:t>
      </w:r>
    </w:p>
    <w:p w14:paraId="283C0203" w14:textId="19D75A62" w:rsidR="00883590" w:rsidRPr="00846118" w:rsidRDefault="00883590">
      <w:pPr>
        <w:rPr>
          <w:rFonts w:ascii="Calibri" w:hAnsi="Calibri" w:cs="Calibri"/>
          <w:sz w:val="24"/>
          <w:szCs w:val="24"/>
          <w:lang w:val="en-US"/>
        </w:rPr>
      </w:pPr>
      <w:r w:rsidRPr="00846118">
        <w:rPr>
          <w:rFonts w:ascii="Calibri" w:hAnsi="Calibri" w:cs="Calibri"/>
          <w:sz w:val="24"/>
          <w:szCs w:val="24"/>
          <w:lang w:val="en-US"/>
        </w:rPr>
        <w:br w:type="page"/>
      </w:r>
    </w:p>
    <w:p w14:paraId="75B322A3" w14:textId="4FA38689" w:rsidR="00CD7087" w:rsidRDefault="00976AD3" w:rsidP="00883590">
      <w:pPr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lastRenderedPageBreak/>
        <w:t>Supplementary Figures</w:t>
      </w:r>
    </w:p>
    <w:p w14:paraId="24C35371" w14:textId="0DACEDF2" w:rsidR="00976AD3" w:rsidRDefault="00976AD3" w:rsidP="00F04A39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1C6330FC" w14:textId="5DA88308" w:rsidR="00D246EB" w:rsidRDefault="00D246EB" w:rsidP="00976AD3">
      <w:pPr>
        <w:rPr>
          <w:rFonts w:ascii="Calibri" w:hAnsi="Calibri" w:cs="Calibri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4B7AE76" wp14:editId="705B2465">
            <wp:extent cx="6120130" cy="3674745"/>
            <wp:effectExtent l="0" t="0" r="0" b="1905"/>
            <wp:docPr id="2" name="image3.jpg" title="Immagin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g" title="Immagine">
                      <a:extLst>
                        <a:ext uri="{FF2B5EF4-FFF2-40B4-BE49-F238E27FC236}">
                          <a16:creationId xmlns:a16="http://schemas.microsoft.com/office/drawing/2014/main" id="{00000000-0008-0000-0500-000002000000}"/>
                        </a:ext>
                      </a:extLst>
                    </pic:cNvPr>
                    <pic:cNvPicPr preferRelativeResize="0"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74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D482F5" w14:textId="668DABA8" w:rsidR="00D246EB" w:rsidRDefault="00D246EB" w:rsidP="00D246EB">
      <w:pPr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Supplementary Fig. </w:t>
      </w:r>
      <w:r w:rsidR="00F04A39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. Oncoplot of recurrently mutated genes in aggressive TCLs. 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Genes of the K9 lymphoma </w:t>
      </w:r>
      <w:r w:rsidR="003534FB">
        <w:rPr>
          <w:rFonts w:ascii="Calibri" w:hAnsi="Calibri" w:cs="Calibri"/>
          <w:sz w:val="20"/>
          <w:szCs w:val="20"/>
          <w:lang w:val="en-US"/>
        </w:rPr>
        <w:t>assay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 harboring putative somatic short variants (SNVs and indels) identified in </w:t>
      </w:r>
      <w:r>
        <w:rPr>
          <w:rFonts w:ascii="Calibri" w:hAnsi="Calibri" w:cs="Calibri"/>
          <w:sz w:val="20"/>
          <w:szCs w:val="20"/>
          <w:lang w:val="en-US"/>
        </w:rPr>
        <w:t>40 aggressive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T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CLs are depicted. Genes are represented in descending order according to the frequency of mutation. </w:t>
      </w:r>
      <w:r w:rsidR="00F04A39" w:rsidRPr="00F04A39">
        <w:rPr>
          <w:rFonts w:ascii="Calibri" w:hAnsi="Calibri" w:cs="Calibri"/>
          <w:sz w:val="20"/>
          <w:szCs w:val="20"/>
          <w:lang w:val="en-US"/>
        </w:rPr>
        <w:t>Mutation frequency is calculated on dogs harboring at least one protein-coding mutation in one of the panel genes</w:t>
      </w:r>
      <w:r w:rsidR="00F04A39">
        <w:rPr>
          <w:rFonts w:ascii="Calibri" w:hAnsi="Calibri" w:cs="Calibri"/>
          <w:sz w:val="20"/>
          <w:szCs w:val="20"/>
          <w:lang w:val="en-US"/>
        </w:rPr>
        <w:t>.</w:t>
      </w:r>
      <w:r w:rsidR="00F04A39" w:rsidRPr="00F04A39"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D246EB">
        <w:rPr>
          <w:rFonts w:ascii="Calibri" w:hAnsi="Calibri" w:cs="Calibri"/>
          <w:sz w:val="20"/>
          <w:szCs w:val="20"/>
          <w:lang w:val="en-US"/>
        </w:rPr>
        <w:t>Different mutation types are identified with different colors. Clinico-pathological data including diagnosis, sex, breed, stage and substage are shown at the bottom.</w:t>
      </w:r>
    </w:p>
    <w:p w14:paraId="4DBA429F" w14:textId="7D9A9970" w:rsidR="00417D21" w:rsidRDefault="00417D21">
      <w:pPr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br w:type="page"/>
      </w:r>
    </w:p>
    <w:p w14:paraId="2EFD4910" w14:textId="362C0B7B" w:rsidR="00417D21" w:rsidRDefault="00417D21" w:rsidP="00D246EB">
      <w:pPr>
        <w:rPr>
          <w:rFonts w:ascii="Calibri" w:hAnsi="Calibri" w:cs="Calibri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52C134A4" wp14:editId="31529C1C">
            <wp:extent cx="6120130" cy="3658870"/>
            <wp:effectExtent l="0" t="0" r="0" b="0"/>
            <wp:docPr id="4" name="image1.jpg" title="Immagin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g" title="Immagine">
                      <a:extLst>
                        <a:ext uri="{FF2B5EF4-FFF2-40B4-BE49-F238E27FC236}">
                          <a16:creationId xmlns:a16="http://schemas.microsoft.com/office/drawing/2014/main" id="{00000000-0008-0000-0500-000004000000}"/>
                        </a:ext>
                      </a:extLst>
                    </pic:cNvPr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58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B60AC" w14:textId="7EA6296E" w:rsidR="00417D21" w:rsidRDefault="00417D21" w:rsidP="00417D21">
      <w:pPr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Supplementary Fig. </w:t>
      </w:r>
      <w:r w:rsidR="00F04A39">
        <w:rPr>
          <w:rFonts w:ascii="Calibri" w:hAnsi="Calibri" w:cs="Calibri"/>
          <w:b/>
          <w:bCs/>
          <w:sz w:val="20"/>
          <w:szCs w:val="20"/>
          <w:lang w:val="en-US"/>
        </w:rPr>
        <w:t>2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. Oncoplot of recurrently mutated genes in indolent TCLs. 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Genes of the K9 lymphoma </w:t>
      </w:r>
      <w:r w:rsidR="003534FB">
        <w:rPr>
          <w:rFonts w:ascii="Calibri" w:hAnsi="Calibri" w:cs="Calibri"/>
          <w:sz w:val="20"/>
          <w:szCs w:val="20"/>
          <w:lang w:val="en-US"/>
        </w:rPr>
        <w:t>assay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 harboring putative somatic short variants (SNVs and indels) identified in </w:t>
      </w:r>
      <w:r>
        <w:rPr>
          <w:rFonts w:ascii="Calibri" w:hAnsi="Calibri" w:cs="Calibri"/>
          <w:sz w:val="20"/>
          <w:szCs w:val="20"/>
          <w:lang w:val="en-US"/>
        </w:rPr>
        <w:t>12 indolent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T</w:t>
      </w:r>
      <w:r w:rsidRPr="00D246EB">
        <w:rPr>
          <w:rFonts w:ascii="Calibri" w:hAnsi="Calibri" w:cs="Calibri"/>
          <w:sz w:val="20"/>
          <w:szCs w:val="20"/>
          <w:lang w:val="en-US"/>
        </w:rPr>
        <w:t xml:space="preserve">CLs are depicted. Genes are represented in descending order according to the frequency of mutation. </w:t>
      </w:r>
      <w:r w:rsidR="00F04A39" w:rsidRPr="00F04A39">
        <w:rPr>
          <w:rFonts w:ascii="Calibri" w:hAnsi="Calibri" w:cs="Calibri"/>
          <w:sz w:val="20"/>
          <w:szCs w:val="20"/>
          <w:lang w:val="en-US"/>
        </w:rPr>
        <w:t>Mutation frequency is calculated on dogs harboring at least one protein-coding mutation in one of the panel genes</w:t>
      </w:r>
      <w:r w:rsidR="00F04A39">
        <w:rPr>
          <w:rFonts w:ascii="Calibri" w:hAnsi="Calibri" w:cs="Calibri"/>
          <w:sz w:val="20"/>
          <w:szCs w:val="20"/>
          <w:lang w:val="en-US"/>
        </w:rPr>
        <w:t xml:space="preserve">. </w:t>
      </w:r>
      <w:r w:rsidRPr="00D246EB">
        <w:rPr>
          <w:rFonts w:ascii="Calibri" w:hAnsi="Calibri" w:cs="Calibri"/>
          <w:sz w:val="20"/>
          <w:szCs w:val="20"/>
          <w:lang w:val="en-US"/>
        </w:rPr>
        <w:t>Different mutation types are identified with different colors. Clinico-pathological data including diagnosis, sex, breed, stage and substage are shown at the bottom.</w:t>
      </w:r>
    </w:p>
    <w:p w14:paraId="13039D48" w14:textId="77777777" w:rsidR="00417D21" w:rsidRPr="00D246EB" w:rsidRDefault="00417D21" w:rsidP="00D246EB">
      <w:pPr>
        <w:rPr>
          <w:rFonts w:ascii="Calibri" w:hAnsi="Calibri" w:cs="Calibri"/>
          <w:sz w:val="20"/>
          <w:szCs w:val="20"/>
          <w:lang w:val="en-US"/>
        </w:rPr>
      </w:pPr>
    </w:p>
    <w:p w14:paraId="7D9F8C0F" w14:textId="77777777" w:rsidR="00D246EB" w:rsidRPr="00976AD3" w:rsidRDefault="00D246EB" w:rsidP="00976AD3">
      <w:pPr>
        <w:rPr>
          <w:rFonts w:ascii="Calibri" w:hAnsi="Calibri" w:cs="Calibri"/>
          <w:sz w:val="20"/>
          <w:szCs w:val="20"/>
          <w:lang w:val="en-US"/>
        </w:rPr>
      </w:pPr>
    </w:p>
    <w:sectPr w:rsidR="00D246EB" w:rsidRPr="00976A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087"/>
    <w:rsid w:val="00073C3B"/>
    <w:rsid w:val="001C640C"/>
    <w:rsid w:val="00313C7F"/>
    <w:rsid w:val="003534FB"/>
    <w:rsid w:val="00417D21"/>
    <w:rsid w:val="00691838"/>
    <w:rsid w:val="0079127F"/>
    <w:rsid w:val="00846118"/>
    <w:rsid w:val="00883590"/>
    <w:rsid w:val="00976AD3"/>
    <w:rsid w:val="00B64646"/>
    <w:rsid w:val="00CB5E87"/>
    <w:rsid w:val="00CD7087"/>
    <w:rsid w:val="00D246EB"/>
    <w:rsid w:val="00F04A39"/>
    <w:rsid w:val="00F9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53019"/>
  <w15:chartTrackingRefBased/>
  <w15:docId w15:val="{12F47545-A554-41C4-A18F-C63B35066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D70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D70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D70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D70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D70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D70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D70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D70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D70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D70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D70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D70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D708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D708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D708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D708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D708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D708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D70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D7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D70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D70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D70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D708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D708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D708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D70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D708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D70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Fanelli</dc:creator>
  <cp:keywords/>
  <dc:description/>
  <cp:lastModifiedBy>Antonella Fanelli</cp:lastModifiedBy>
  <cp:revision>11</cp:revision>
  <dcterms:created xsi:type="dcterms:W3CDTF">2024-01-23T14:09:00Z</dcterms:created>
  <dcterms:modified xsi:type="dcterms:W3CDTF">2024-02-14T10:43:00Z</dcterms:modified>
</cp:coreProperties>
</file>