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</w:rPr>
        <w:t>T</w:t>
      </w:r>
      <w:bookmarkStart w:id="6" w:name="_GoBack"/>
      <w:bookmarkEnd w:id="6"/>
      <w:r>
        <w:rPr>
          <w:rFonts w:hint="eastAsia" w:ascii="Times New Roman" w:hAnsi="Times New Roman" w:cs="Times New Roman"/>
          <w:lang w:val="en-US" w:eastAsia="zh-CN"/>
        </w:rPr>
        <w:t>able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 xml:space="preserve"> Univariate analysis of</w:t>
      </w:r>
      <w:r>
        <w:rPr>
          <w:rFonts w:hint="eastAsia" w:ascii="Times New Roman" w:hAnsi="Times New Roman" w:cs="Times New Roman"/>
          <w:lang w:val="en-US" w:eastAsia="zh-CN"/>
        </w:rPr>
        <w:t xml:space="preserve"> live birth in blastocyst FET cycles with hormone replacement treatment</w:t>
      </w:r>
    </w:p>
    <w:tbl>
      <w:tblPr>
        <w:tblStyle w:val="3"/>
        <w:tblpPr w:leftFromText="180" w:rightFromText="180" w:vertAnchor="page" w:horzAnchor="page" w:tblpX="1720" w:tblpY="2203"/>
        <w:tblOverlap w:val="never"/>
        <w:tblW w:w="865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7"/>
        <w:gridCol w:w="1000"/>
        <w:gridCol w:w="1557"/>
        <w:gridCol w:w="8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hint="eastAsia" w:eastAsiaTheme="minor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Factors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OR</w:t>
            </w:r>
          </w:p>
        </w:tc>
        <w:tc>
          <w:tcPr>
            <w:tcW w:w="1557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95% CL</w:t>
            </w:r>
          </w:p>
        </w:tc>
        <w:tc>
          <w:tcPr>
            <w:tcW w:w="89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Female a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ge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1.059</w:t>
            </w:r>
          </w:p>
        </w:tc>
        <w:tc>
          <w:tcPr>
            <w:tcW w:w="155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1.020-1.098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Female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BMI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1.064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1.017-1.112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Duration of infertility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1.042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0.974-1.115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0.232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Infertility type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Primary infertility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Reference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0.237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07" w:type="dxa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Secondary infertility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1.225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0.875-1.713</w:t>
            </w:r>
          </w:p>
        </w:tc>
        <w:tc>
          <w:tcPr>
            <w:tcW w:w="89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57" w:type="dxa"/>
            <w:gridSpan w:val="4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Endometrial preparation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protocol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HRT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Reference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0.361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GnRHa-HRT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1.195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0.815-1.752</w:t>
            </w:r>
          </w:p>
        </w:tc>
        <w:tc>
          <w:tcPr>
            <w:tcW w:w="89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Endometrial thickness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bookmarkStart w:id="0" w:name="OLE_LINK7"/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on the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day of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endometrial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transformation</w:t>
            </w:r>
            <w:bookmarkEnd w:id="0"/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0.981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0.898-1.071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0.666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Serum estrogen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bookmarkStart w:id="1" w:name="OLE_LINK8"/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on the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day of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endometrial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transformation</w:t>
            </w:r>
            <w:bookmarkEnd w:id="1"/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1.000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1.000-1.000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Serum progesterone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on the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day of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endometrial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transformation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0.999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0.839-1.191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20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bookmarkStart w:id="2" w:name="OLE_LINK9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Endometrial thickness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on the day of embryo transfer</w:t>
            </w:r>
            <w:bookmarkEnd w:id="2"/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0.962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0.904-1.023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0.215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207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The increase percentage of e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ndometrial thickness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on embryo transfer day compared with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endometrial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transformation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day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(%)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0995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0.987-1.003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0.226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7" w:type="dxa"/>
            <w:gridSpan w:val="4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Endometrial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pattern on the day of embryo transfer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Trilinear (Pattern A)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Reference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0.020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Not trilinear (Pattern B, B-C, C)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0.269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0.089-0.810</w:t>
            </w:r>
          </w:p>
        </w:tc>
        <w:tc>
          <w:tcPr>
            <w:tcW w:w="89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Serum estrogen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</w:t>
            </w:r>
            <w:bookmarkStart w:id="3" w:name="OLE_LINK10"/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on the day of embryo transfer</w:t>
            </w:r>
            <w:bookmarkEnd w:id="3"/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1.000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1.000-1.000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0.362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Serum progesterone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on the day of embryo transfer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0.991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0.976-1.006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0.246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Number of embryos transferred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0.364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0.226-0.586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bookmarkStart w:id="4" w:name="OLE_LINK12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＜0.001</w:t>
            </w:r>
            <w:bookmarkEnd w:id="4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The grade of transferred blastocyst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0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 xml:space="preserve">Cycles with at least 1 </w:t>
            </w:r>
            <w:bookmarkStart w:id="5" w:name="OLE_LINK26"/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 xml:space="preserve">high-quality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blastocys</w:t>
            </w:r>
            <w:bookmarkEnd w:id="5"/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Reference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 xml:space="preserve">Cycles with no high-quality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blastocyst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3.396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1.654-6.975</w:t>
            </w:r>
          </w:p>
        </w:tc>
        <w:tc>
          <w:tcPr>
            <w:tcW w:w="89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jNzU1MjU0Y2QxOGZlY2IyN2U0NjQ5MDU2ODU0ZWIifQ=="/>
  </w:docVars>
  <w:rsids>
    <w:rsidRoot w:val="47791CFD"/>
    <w:rsid w:val="2E870FE2"/>
    <w:rsid w:val="47791CFD"/>
    <w:rsid w:val="4D41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2024-01-18T07:58:00Z</dcterms:created>
  <dc:creator>cc</dc:creator>
  <cp:lastModifiedBy>cc</cp:lastModifiedBy>
  <dcterms:modified xsi:type="dcterms:W3CDTF">2024-01-19T01:35:13Z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047F991BEB364AA7BD7F7D9B2E0E371B_11</vt:lpwstr>
  </property>
</Properties>
</file>