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Table 1. Baseline characteristics of participants with COVID-19 recruited in this study</w:t>
      </w:r>
    </w:p>
    <w:tbl>
      <w:tblPr>
        <w:tblStyle w:val="4"/>
        <w:tblW w:w="13916" w:type="dxa"/>
        <w:jc w:val="center"/>
        <w:shd w:val="clear" w:color="auto" w:fill="DAE3F3" w:themeFill="accent1" w:themeFillTint="32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401"/>
        <w:gridCol w:w="2410"/>
        <w:gridCol w:w="1920"/>
        <w:gridCol w:w="2574"/>
        <w:gridCol w:w="3045"/>
      </w:tblGrid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Patient</w:t>
            </w:r>
          </w:p>
        </w:tc>
        <w:tc>
          <w:tcPr>
            <w:tcW w:w="24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241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Severity of disease</w:t>
            </w:r>
          </w:p>
        </w:tc>
        <w:tc>
          <w:tcPr>
            <w:tcW w:w="192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Age</w:t>
            </w:r>
          </w:p>
        </w:tc>
        <w:tc>
          <w:tcPr>
            <w:tcW w:w="257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Course of disease</w:t>
            </w:r>
          </w:p>
        </w:tc>
        <w:tc>
          <w:tcPr>
            <w:tcW w:w="304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Days post-symptom onset 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574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54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81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54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64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52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56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155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</w:rPr>
              <w:t>369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Media</w:t>
            </w:r>
          </w:p>
        </w:tc>
        <w:tc>
          <w:tcPr>
            <w:tcW w:w="2401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57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30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  <w:t>54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6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(IQR)</w:t>
            </w:r>
          </w:p>
        </w:tc>
        <w:tc>
          <w:tcPr>
            <w:tcW w:w="2401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30-52.25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74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  <w:t>16-24.25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3045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val="en-US" w:eastAsia="zh-CN"/>
              </w:rPr>
              <w:t>48-63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6"/>
                <w:szCs w:val="16"/>
                <w:lang w:eastAsia="zh-CN"/>
              </w:rPr>
              <w:t>）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>
      <w:bookmarkStart w:id="4" w:name="_GoBack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Times New Roman" w:hAnsi="Times New Roman" w:cs="Times New Roman"/>
          <w:b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2</w:t>
      </w:r>
      <w:r>
        <w:rPr>
          <w:rFonts w:ascii="Times New Roman" w:hAnsi="Times New Roman" w:cs="Times New Roman"/>
          <w:b/>
          <w:sz w:val="24"/>
          <w:szCs w:val="28"/>
        </w:rPr>
        <w:t xml:space="preserve">. Baseline characteristics of </w:t>
      </w:r>
      <w:bookmarkStart w:id="0" w:name="OLE_LINK2"/>
      <w:r>
        <w:rPr>
          <w:rFonts w:ascii="Times New Roman" w:hAnsi="Times New Roman" w:cs="Times New Roman"/>
          <w:b/>
          <w:sz w:val="24"/>
          <w:szCs w:val="28"/>
        </w:rPr>
        <w:t>vaccine recipients</w:t>
      </w:r>
      <w:bookmarkEnd w:id="0"/>
      <w:r>
        <w:rPr>
          <w:rFonts w:ascii="Times New Roman" w:hAnsi="Times New Roman" w:cs="Times New Roman"/>
          <w:b/>
          <w:sz w:val="24"/>
          <w:szCs w:val="28"/>
        </w:rPr>
        <w:t xml:space="preserve"> recruited in this study</w:t>
      </w:r>
    </w:p>
    <w:tbl>
      <w:tblPr>
        <w:tblStyle w:val="4"/>
        <w:tblW w:w="13997" w:type="dxa"/>
        <w:jc w:val="center"/>
        <w:shd w:val="clear" w:color="auto" w:fill="DAE3F3" w:themeFill="accent1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1117"/>
        <w:gridCol w:w="851"/>
        <w:gridCol w:w="2132"/>
        <w:gridCol w:w="2547"/>
        <w:gridCol w:w="2359"/>
        <w:gridCol w:w="2747"/>
      </w:tblGrid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bookmarkStart w:id="1" w:name="OLE_LINK3" w:colFirst="0" w:colLast="0"/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Vaccine recipient</w:t>
            </w:r>
          </w:p>
        </w:tc>
        <w:tc>
          <w:tcPr>
            <w:tcW w:w="111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ex</w:t>
            </w:r>
          </w:p>
        </w:tc>
        <w:tc>
          <w:tcPr>
            <w:tcW w:w="85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Age</w:t>
            </w:r>
          </w:p>
        </w:tc>
        <w:tc>
          <w:tcPr>
            <w:tcW w:w="213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Initial vaccine</w:t>
            </w:r>
          </w:p>
        </w:tc>
        <w:tc>
          <w:tcPr>
            <w:tcW w:w="254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Secondary vaccine</w:t>
            </w:r>
          </w:p>
        </w:tc>
        <w:tc>
          <w:tcPr>
            <w:tcW w:w="235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Interval between doses 1 and 2</w:t>
            </w:r>
          </w:p>
        </w:tc>
        <w:tc>
          <w:tcPr>
            <w:tcW w:w="274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Days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ost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ose last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32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11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32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32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2359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bookmarkEnd w:id="1"/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Media</w:t>
            </w:r>
          </w:p>
        </w:tc>
        <w:tc>
          <w:tcPr>
            <w:tcW w:w="111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132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35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747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44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(IQR)</w:t>
            </w:r>
          </w:p>
        </w:tc>
        <w:tc>
          <w:tcPr>
            <w:tcW w:w="1117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(32-45)</w:t>
            </w:r>
          </w:p>
        </w:tc>
        <w:tc>
          <w:tcPr>
            <w:tcW w:w="2132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47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359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(24-25)</w:t>
            </w:r>
          </w:p>
        </w:tc>
        <w:tc>
          <w:tcPr>
            <w:tcW w:w="2747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(16-17)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/>
    <w:p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cs="Times New Roman" w:eastAsiaTheme="minorEastAsia"/>
          <w:b/>
          <w:sz w:val="24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3</w:t>
      </w:r>
      <w:r>
        <w:rPr>
          <w:rFonts w:ascii="Times New Roman" w:hAnsi="Times New Roman" w:cs="Times New Roman"/>
          <w:b/>
          <w:sz w:val="24"/>
          <w:szCs w:val="28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Neutralization titer against sarbecoviruses </w:t>
      </w:r>
      <w:r>
        <w:rPr>
          <w:rFonts w:hint="eastAsia" w:ascii="Times New Roman" w:hAnsi="Times New Roman" w:cs="Times New Roman"/>
          <w:b/>
          <w:sz w:val="24"/>
          <w:szCs w:val="28"/>
        </w:rPr>
        <w:t>in plasma from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participants with COVID-19</w:t>
      </w:r>
    </w:p>
    <w:tbl>
      <w:tblPr>
        <w:tblStyle w:val="11"/>
        <w:tblpPr w:leftFromText="180" w:rightFromText="180" w:vertAnchor="text" w:horzAnchor="page" w:tblpX="1586" w:tblpY="446"/>
        <w:tblOverlap w:val="never"/>
        <w:tblW w:w="13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9E2F3" w:themeFill="accent1" w:themeFillTint="33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612"/>
        <w:gridCol w:w="1594"/>
        <w:gridCol w:w="1202"/>
        <w:gridCol w:w="1398"/>
        <w:gridCol w:w="1398"/>
        <w:gridCol w:w="1398"/>
        <w:gridCol w:w="1398"/>
        <w:gridCol w:w="1398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41" w:type="dxa"/>
            <w:vMerge w:val="restart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Patient</w:t>
            </w:r>
          </w:p>
        </w:tc>
        <w:tc>
          <w:tcPr>
            <w:tcW w:w="1612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Neutralization breadth</w:t>
            </w:r>
          </w:p>
        </w:tc>
        <w:tc>
          <w:tcPr>
            <w:tcW w:w="11186" w:type="dxa"/>
            <w:gridSpan w:val="8"/>
            <w:tcBorders>
              <w:top w:val="single" w:color="auto" w:sz="12" w:space="0"/>
              <w:bottom w:val="single" w:color="000000" w:themeColor="text1" w:sz="8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Neutralization (ID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vertAlign w:val="subscript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41" w:type="dxa"/>
            <w:vMerge w:val="continue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D9E2F3" w:themeFill="accent1" w:themeFillTint="33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1594" w:type="dxa"/>
            <w:tcBorders>
              <w:top w:val="single" w:color="000000" w:themeColor="text1" w:sz="8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SARS-CoV-2</w:t>
            </w:r>
          </w:p>
        </w:tc>
        <w:tc>
          <w:tcPr>
            <w:tcW w:w="1202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RaTG13</w:t>
            </w:r>
          </w:p>
        </w:tc>
        <w:tc>
          <w:tcPr>
            <w:tcW w:w="1398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GX-P5L</w:t>
            </w:r>
          </w:p>
        </w:tc>
        <w:tc>
          <w:tcPr>
            <w:tcW w:w="1398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GD18</w:t>
            </w:r>
          </w:p>
        </w:tc>
        <w:tc>
          <w:tcPr>
            <w:tcW w:w="1398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SARS-CoV</w:t>
            </w:r>
          </w:p>
        </w:tc>
        <w:tc>
          <w:tcPr>
            <w:tcW w:w="1398" w:type="dxa"/>
            <w:tcBorders>
              <w:top w:val="single" w:color="000000" w:themeColor="text1" w:sz="8" w:space="0"/>
              <w:bottom w:val="single" w:color="auto" w:sz="12" w:space="0"/>
              <w:right w:val="single" w:color="D9E2F3" w:themeColor="accent1" w:themeTint="33" w:sz="4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SZ3</w:t>
            </w:r>
          </w:p>
        </w:tc>
        <w:tc>
          <w:tcPr>
            <w:tcW w:w="1398" w:type="dxa"/>
            <w:tcBorders>
              <w:top w:val="single" w:color="000000" w:themeColor="text1" w:sz="8" w:space="0"/>
              <w:left w:val="single" w:color="D9E2F3" w:themeColor="accent1" w:themeTint="33" w:sz="4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Civet007</w:t>
            </w:r>
          </w:p>
        </w:tc>
        <w:tc>
          <w:tcPr>
            <w:tcW w:w="1400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WIV1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top w:val="single" w:color="auto" w:sz="12" w:space="0"/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12" w:type="dxa"/>
            <w:tcBorders>
              <w:top w:val="single" w:color="auto" w:sz="12" w:space="0"/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202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398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98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2248</w:t>
            </w:r>
          </w:p>
        </w:tc>
        <w:tc>
          <w:tcPr>
            <w:tcW w:w="1398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398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398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2412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1195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1236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4084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right w:val="nil"/>
            </w:tcBorders>
            <w:shd w:val="clear" w:color="auto" w:fill="D9E2F3" w:themeFill="accent1" w:themeFillTint="33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Median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12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5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1202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2843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8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400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41" w:type="dxa"/>
            <w:tcBorders>
              <w:bottom w:val="single" w:color="auto" w:sz="12" w:space="0"/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 xml:space="preserve">(IQR) </w:t>
            </w:r>
          </w:p>
        </w:tc>
        <w:tc>
          <w:tcPr>
            <w:tcW w:w="1612" w:type="dxa"/>
            <w:tcBorders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  <w:t>(6-7)</w:t>
            </w:r>
          </w:p>
        </w:tc>
        <w:tc>
          <w:tcPr>
            <w:tcW w:w="1594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(139-1209)</w:t>
            </w:r>
          </w:p>
        </w:tc>
        <w:tc>
          <w:tcPr>
            <w:tcW w:w="1202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(87-491)</w:t>
            </w:r>
          </w:p>
        </w:tc>
        <w:tc>
          <w:tcPr>
            <w:tcW w:w="1398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(89-501)</w:t>
            </w:r>
          </w:p>
        </w:tc>
        <w:tc>
          <w:tcPr>
            <w:tcW w:w="1398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(1345-4275)</w:t>
            </w:r>
          </w:p>
        </w:tc>
        <w:tc>
          <w:tcPr>
            <w:tcW w:w="1398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(30-32)</w:t>
            </w:r>
          </w:p>
        </w:tc>
        <w:tc>
          <w:tcPr>
            <w:tcW w:w="1398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(59-131)</w:t>
            </w:r>
          </w:p>
        </w:tc>
        <w:tc>
          <w:tcPr>
            <w:tcW w:w="1398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(30-154)</w:t>
            </w:r>
          </w:p>
        </w:tc>
        <w:tc>
          <w:tcPr>
            <w:tcW w:w="1400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(51-297)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Times New Roman" w:hAnsi="Times New Roman" w:cs="Times New Roman"/>
          <w:b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cs="Times New Roman" w:eastAsiaTheme="minorEastAsia"/>
          <w:b/>
          <w:sz w:val="24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4</w:t>
      </w:r>
      <w:r>
        <w:rPr>
          <w:rFonts w:ascii="Times New Roman" w:hAnsi="Times New Roman" w:cs="Times New Roman"/>
          <w:b/>
          <w:sz w:val="24"/>
          <w:szCs w:val="28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Neutralization titer against sarbecoviruses </w:t>
      </w:r>
      <w:r>
        <w:rPr>
          <w:rFonts w:hint="eastAsia" w:ascii="Times New Roman" w:hAnsi="Times New Roman" w:cs="Times New Roman"/>
          <w:b/>
          <w:sz w:val="24"/>
          <w:szCs w:val="28"/>
        </w:rPr>
        <w:t>in plasma from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vaccine recipients</w:t>
      </w:r>
    </w:p>
    <w:tbl>
      <w:tblPr>
        <w:tblStyle w:val="11"/>
        <w:tblpPr w:leftFromText="180" w:rightFromText="180" w:vertAnchor="text" w:horzAnchor="page" w:tblpX="1586" w:tblpY="446"/>
        <w:tblOverlap w:val="never"/>
        <w:tblW w:w="13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9E2F3" w:themeFill="accent1" w:themeFillTint="33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1611"/>
        <w:gridCol w:w="1457"/>
        <w:gridCol w:w="1269"/>
        <w:gridCol w:w="1269"/>
        <w:gridCol w:w="1181"/>
        <w:gridCol w:w="1294"/>
        <w:gridCol w:w="1294"/>
        <w:gridCol w:w="1294"/>
        <w:gridCol w:w="1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E2F3" w:themeFill="accent1" w:themeFillTint="33"/>
        </w:tblPrEx>
        <w:trPr>
          <w:trHeight w:val="454" w:hRule="atLeast"/>
        </w:trPr>
        <w:tc>
          <w:tcPr>
            <w:tcW w:w="1869" w:type="dxa"/>
            <w:vMerge w:val="restart"/>
            <w:tcBorders>
              <w:top w:val="single" w:color="auto" w:sz="12" w:space="0"/>
              <w:bottom w:val="nil"/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Vaccine recipient</w:t>
            </w:r>
          </w:p>
        </w:tc>
        <w:tc>
          <w:tcPr>
            <w:tcW w:w="1611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Neutralization breadth</w:t>
            </w:r>
          </w:p>
        </w:tc>
        <w:tc>
          <w:tcPr>
            <w:tcW w:w="10359" w:type="dxa"/>
            <w:gridSpan w:val="8"/>
            <w:tcBorders>
              <w:top w:val="single" w:color="auto" w:sz="12" w:space="0"/>
              <w:bottom w:val="single" w:color="000000" w:themeColor="text1" w:sz="8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Neutralization (ID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vertAlign w:val="subscript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69" w:type="dxa"/>
            <w:vMerge w:val="continue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1611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1457" w:type="dxa"/>
            <w:tcBorders>
              <w:top w:val="single" w:color="000000" w:themeColor="text1" w:sz="8" w:space="0"/>
              <w:left w:val="nil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SARS-CoV-2</w:t>
            </w:r>
          </w:p>
        </w:tc>
        <w:tc>
          <w:tcPr>
            <w:tcW w:w="1269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RaTG13</w:t>
            </w:r>
          </w:p>
        </w:tc>
        <w:tc>
          <w:tcPr>
            <w:tcW w:w="1269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GX-P5L</w:t>
            </w:r>
          </w:p>
        </w:tc>
        <w:tc>
          <w:tcPr>
            <w:tcW w:w="1181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GD18</w:t>
            </w:r>
          </w:p>
        </w:tc>
        <w:tc>
          <w:tcPr>
            <w:tcW w:w="1294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SARS-CoV</w:t>
            </w:r>
          </w:p>
        </w:tc>
        <w:tc>
          <w:tcPr>
            <w:tcW w:w="1294" w:type="dxa"/>
            <w:tcBorders>
              <w:top w:val="single" w:color="000000" w:themeColor="text1" w:sz="8" w:space="0"/>
              <w:bottom w:val="single" w:color="auto" w:sz="12" w:space="0"/>
              <w:right w:val="single" w:color="D9E2F3" w:themeColor="accent1" w:themeTint="33" w:sz="4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SZ3</w:t>
            </w:r>
          </w:p>
        </w:tc>
        <w:tc>
          <w:tcPr>
            <w:tcW w:w="1294" w:type="dxa"/>
            <w:tcBorders>
              <w:top w:val="single" w:color="000000" w:themeColor="text1" w:sz="8" w:space="0"/>
              <w:left w:val="single" w:color="D9E2F3" w:themeColor="accent1" w:themeTint="33" w:sz="4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Civet007</w:t>
            </w:r>
          </w:p>
        </w:tc>
        <w:tc>
          <w:tcPr>
            <w:tcW w:w="1301" w:type="dxa"/>
            <w:tcBorders>
              <w:top w:val="single" w:color="000000" w:themeColor="text1" w:sz="8" w:space="0"/>
              <w:bottom w:val="single" w:color="auto" w:sz="12" w:space="0"/>
            </w:tcBorders>
            <w:shd w:val="clear" w:color="auto" w:fill="D9E2F3" w:themeFill="accent1" w:themeFillTint="3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WIV1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11" w:type="dxa"/>
            <w:tcBorders>
              <w:top w:val="single" w:color="auto" w:sz="12" w:space="0"/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269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142 </w:t>
            </w:r>
          </w:p>
        </w:tc>
        <w:tc>
          <w:tcPr>
            <w:tcW w:w="1269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325 </w:t>
            </w:r>
          </w:p>
        </w:tc>
        <w:tc>
          <w:tcPr>
            <w:tcW w:w="1294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tcBorders>
              <w:top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2285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745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3982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3423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742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241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2695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1072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1112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263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496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2077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1624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442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1323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189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267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1232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191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146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2204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789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Vaccine recipient</w:t>
            </w: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977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 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346 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611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Median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11" w:type="dxa"/>
            <w:tcBorders>
              <w:left w:val="nil"/>
            </w:tcBorders>
            <w:shd w:val="clear" w:color="auto" w:fill="D9E2F3" w:themeFill="accent1" w:themeFillTint="33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57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8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94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01" w:type="dxa"/>
            <w:shd w:val="clear" w:color="auto" w:fill="D9E2F3" w:themeFill="accent1" w:themeFillTint="3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69" w:type="dxa"/>
            <w:tcBorders>
              <w:top w:val="nil"/>
              <w:bottom w:val="single" w:color="auto" w:sz="12" w:space="0"/>
              <w:right w:val="nil"/>
            </w:tcBorders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 xml:space="preserve">(IQR) </w:t>
            </w:r>
          </w:p>
        </w:tc>
        <w:tc>
          <w:tcPr>
            <w:tcW w:w="1611" w:type="dxa"/>
            <w:tcBorders>
              <w:left w:val="nil"/>
              <w:bottom w:val="single" w:color="auto" w:sz="12" w:space="0"/>
            </w:tcBorders>
            <w:shd w:val="clear" w:color="auto" w:fill="D9E2F3" w:themeFill="accent1" w:themeFillTint="3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  <w:t>4-5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457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36-130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269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45-145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269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30-30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181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(294-1168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(30-3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30-50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(30-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  <w:tc>
          <w:tcPr>
            <w:tcW w:w="1301" w:type="dxa"/>
            <w:tcBorders>
              <w:bottom w:val="single" w:color="auto" w:sz="12" w:space="0"/>
            </w:tcBorders>
            <w:shd w:val="clear" w:color="auto" w:fill="D9E2F3" w:themeFill="accent1" w:themeFillTint="3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126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)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5</w:t>
      </w:r>
      <w:r>
        <w:rPr>
          <w:rFonts w:ascii="Times New Roman" w:hAnsi="Times New Roman" w:cs="Times New Roman"/>
          <w:b/>
          <w:sz w:val="24"/>
          <w:szCs w:val="28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8"/>
        </w:rPr>
        <w:t>Baseline characteristics of COVID-19 convalescents who received vaccination in this study</w:t>
      </w:r>
    </w:p>
    <w:tbl>
      <w:tblPr>
        <w:tblStyle w:val="4"/>
        <w:tblW w:w="13915" w:type="dxa"/>
        <w:jc w:val="center"/>
        <w:shd w:val="clear" w:color="auto" w:fill="DAE3F3" w:themeFill="accent1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234"/>
        <w:gridCol w:w="1233"/>
        <w:gridCol w:w="760"/>
        <w:gridCol w:w="2145"/>
        <w:gridCol w:w="2430"/>
        <w:gridCol w:w="1244"/>
        <w:gridCol w:w="1429"/>
        <w:gridCol w:w="1014"/>
        <w:gridCol w:w="1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117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Patient</w:t>
            </w:r>
          </w:p>
        </w:tc>
        <w:tc>
          <w:tcPr>
            <w:tcW w:w="123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23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Severity of disease</w:t>
            </w:r>
          </w:p>
        </w:tc>
        <w:tc>
          <w:tcPr>
            <w:tcW w:w="76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Age</w:t>
            </w:r>
          </w:p>
        </w:tc>
        <w:tc>
          <w:tcPr>
            <w:tcW w:w="214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Days post-discharge (before vaccine)</w:t>
            </w:r>
          </w:p>
        </w:tc>
        <w:tc>
          <w:tcPr>
            <w:tcW w:w="243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Days post-discharge (after vaccine)</w:t>
            </w:r>
          </w:p>
        </w:tc>
        <w:tc>
          <w:tcPr>
            <w:tcW w:w="124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Initial vaccine</w:t>
            </w:r>
          </w:p>
        </w:tc>
        <w:tc>
          <w:tcPr>
            <w:tcW w:w="142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Secondary vaccine</w:t>
            </w:r>
          </w:p>
        </w:tc>
        <w:tc>
          <w:tcPr>
            <w:tcW w:w="101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Third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vaccine</w:t>
            </w:r>
          </w:p>
        </w:tc>
        <w:tc>
          <w:tcPr>
            <w:tcW w:w="124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Days Post Dose last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23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145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238</w:t>
            </w:r>
          </w:p>
        </w:tc>
        <w:tc>
          <w:tcPr>
            <w:tcW w:w="2430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697</w:t>
            </w:r>
          </w:p>
        </w:tc>
        <w:tc>
          <w:tcPr>
            <w:tcW w:w="124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Kconvac</w:t>
            </w:r>
          </w:p>
        </w:tc>
        <w:tc>
          <w:tcPr>
            <w:tcW w:w="1429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Kconvac</w:t>
            </w:r>
          </w:p>
        </w:tc>
        <w:tc>
          <w:tcPr>
            <w:tcW w:w="1014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1249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123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236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695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366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697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362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693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201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361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692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359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690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355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686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Unknown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350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681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358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689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361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692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54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350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681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Unknown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351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682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345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676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Unknown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351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682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353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684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Unknown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361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715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364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718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51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362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716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357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711</w:t>
            </w:r>
          </w:p>
        </w:tc>
        <w:tc>
          <w:tcPr>
            <w:tcW w:w="124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358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712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Zifivax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53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353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707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353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707</w:t>
            </w:r>
          </w:p>
        </w:tc>
        <w:tc>
          <w:tcPr>
            <w:tcW w:w="124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74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357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711</w:t>
            </w:r>
          </w:p>
        </w:tc>
        <w:tc>
          <w:tcPr>
            <w:tcW w:w="124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75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Unknow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Unknow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429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  <w:t>Patient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  <w:t>76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Non-severe</w:t>
            </w: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Unknow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Unknow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Sinopharm</w:t>
            </w: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Media</w:t>
            </w:r>
          </w:p>
        </w:tc>
        <w:tc>
          <w:tcPr>
            <w:tcW w:w="12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2145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357</w:t>
            </w:r>
          </w:p>
        </w:tc>
        <w:tc>
          <w:tcPr>
            <w:tcW w:w="243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693</w:t>
            </w:r>
          </w:p>
        </w:tc>
        <w:tc>
          <w:tcPr>
            <w:tcW w:w="1244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118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(IQR)</w:t>
            </w:r>
          </w:p>
        </w:tc>
        <w:tc>
          <w:tcPr>
            <w:tcW w:w="1234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(43-51)</w:t>
            </w:r>
          </w:p>
        </w:tc>
        <w:tc>
          <w:tcPr>
            <w:tcW w:w="2145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(351-361)</w:t>
            </w:r>
          </w:p>
        </w:tc>
        <w:tc>
          <w:tcPr>
            <w:tcW w:w="243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(685-709)</w:t>
            </w:r>
          </w:p>
        </w:tc>
        <w:tc>
          <w:tcPr>
            <w:tcW w:w="1244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(22-151)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>
      <w:pPr>
        <w:tabs>
          <w:tab w:val="left" w:pos="2529"/>
        </w:tabs>
      </w:pPr>
    </w:p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Times New Roman" w:hAnsi="Times New Roman" w:cs="Times New Roman" w:eastAsiaTheme="minorEastAsia"/>
          <w:b/>
          <w:sz w:val="24"/>
          <w:szCs w:val="28"/>
          <w:lang w:val="en-US" w:eastAsia="zh-CN"/>
        </w:rPr>
      </w:pPr>
      <w:bookmarkStart w:id="2" w:name="OLE_LINK1"/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6</w:t>
      </w:r>
      <w:r>
        <w:rPr>
          <w:rFonts w:ascii="Times New Roman" w:hAnsi="Times New Roman" w:cs="Times New Roman"/>
          <w:b/>
          <w:sz w:val="24"/>
          <w:szCs w:val="28"/>
        </w:rPr>
        <w:t xml:space="preserve">. Baseline characteristics of vaccine recipients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who </w:t>
      </w:r>
      <w:r>
        <w:rPr>
          <w:rFonts w:hint="eastAsia" w:ascii="Times New Roman" w:hAnsi="Times New Roman" w:cs="Times New Roman"/>
          <w:b/>
          <w:sz w:val="24"/>
          <w:szCs w:val="28"/>
        </w:rPr>
        <w:t xml:space="preserve">received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booster </w:t>
      </w:r>
      <w:r>
        <w:rPr>
          <w:rFonts w:hint="eastAsia" w:ascii="Times New Roman" w:hAnsi="Times New Roman" w:cs="Times New Roman"/>
          <w:b/>
          <w:sz w:val="24"/>
          <w:szCs w:val="28"/>
        </w:rPr>
        <w:t>vaccination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in this study</w:t>
      </w:r>
    </w:p>
    <w:bookmarkEnd w:id="2"/>
    <w:tbl>
      <w:tblPr>
        <w:tblStyle w:val="4"/>
        <w:tblW w:w="13937" w:type="dxa"/>
        <w:jc w:val="center"/>
        <w:shd w:val="clear" w:color="auto" w:fill="DAE3F3" w:themeFill="accent1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8"/>
        <w:gridCol w:w="1448"/>
        <w:gridCol w:w="1090"/>
        <w:gridCol w:w="1986"/>
        <w:gridCol w:w="3434"/>
        <w:gridCol w:w="3291"/>
      </w:tblGrid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Vaccine recipient</w:t>
            </w:r>
          </w:p>
        </w:tc>
        <w:tc>
          <w:tcPr>
            <w:tcW w:w="144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09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Age</w:t>
            </w:r>
          </w:p>
        </w:tc>
        <w:tc>
          <w:tcPr>
            <w:tcW w:w="198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Third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vaccine</w:t>
            </w:r>
          </w:p>
        </w:tc>
        <w:tc>
          <w:tcPr>
            <w:tcW w:w="343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Days post the first vaccination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(before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third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vaccine)</w:t>
            </w:r>
          </w:p>
        </w:tc>
        <w:tc>
          <w:tcPr>
            <w:tcW w:w="329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Days post the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third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vaccine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recipient1</w:t>
            </w:r>
          </w:p>
        </w:tc>
        <w:tc>
          <w:tcPr>
            <w:tcW w:w="1448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86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recipient5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recipient8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recipient16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recipient18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recipient23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recipient27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recipient30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recipient31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recipient32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recipient41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recipient43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recipient47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recipient50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recipient52</w:t>
            </w:r>
          </w:p>
        </w:tc>
        <w:tc>
          <w:tcPr>
            <w:tcW w:w="144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recipient55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recipient57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recipient61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recipient66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86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recipient79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recipient80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recipient81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86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recipient98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86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recipient101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Vaccine recipient109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Sinovac</w:t>
            </w:r>
          </w:p>
        </w:tc>
        <w:tc>
          <w:tcPr>
            <w:tcW w:w="3434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Media</w:t>
            </w:r>
          </w:p>
        </w:tc>
        <w:tc>
          <w:tcPr>
            <w:tcW w:w="1448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90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986" w:type="dxa"/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434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276</w:t>
            </w:r>
          </w:p>
        </w:tc>
        <w:tc>
          <w:tcPr>
            <w:tcW w:w="3291" w:type="dxa"/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</w:tr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88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(IQR)</w:t>
            </w:r>
          </w:p>
        </w:tc>
        <w:tc>
          <w:tcPr>
            <w:tcW w:w="1448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9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(33-48)</w:t>
            </w:r>
          </w:p>
        </w:tc>
        <w:tc>
          <w:tcPr>
            <w:tcW w:w="1986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434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(275-278)</w:t>
            </w:r>
          </w:p>
        </w:tc>
        <w:tc>
          <w:tcPr>
            <w:tcW w:w="3291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(18-24)</w:t>
            </w: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IQR</w:t>
      </w:r>
      <w:r>
        <w:rPr>
          <w:rFonts w:hint="eastAsia" w:ascii="Times New Roman" w:hAnsi="Times New Roman" w:cs="Times New Roman"/>
          <w:b/>
          <w:sz w:val="24"/>
          <w:szCs w:val="28"/>
        </w:rPr>
        <w:t>:</w:t>
      </w:r>
      <w:r>
        <w:rPr>
          <w:rFonts w:ascii="Times New Roman" w:hAnsi="Times New Roman" w:cs="Times New Roman"/>
          <w:b/>
          <w:sz w:val="24"/>
          <w:szCs w:val="28"/>
        </w:rPr>
        <w:t xml:space="preserve"> Interquartile range.</w:t>
      </w:r>
    </w:p>
    <w:p/>
    <w:p/>
    <w:p/>
    <w:p/>
    <w:p/>
    <w:p/>
    <w:p/>
    <w:p/>
    <w:p/>
    <w:p/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cs="Times New Roman"/>
          <w:b/>
          <w:sz w:val="24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7</w:t>
      </w:r>
      <w:r>
        <w:rPr>
          <w:rFonts w:ascii="Times New Roman" w:hAnsi="Times New Roman" w:cs="Times New Roman"/>
          <w:b/>
          <w:sz w:val="24"/>
          <w:szCs w:val="28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Neutralization activity, target, binding breadth, and binding activity of 116 SARS-CoV-2 nAbs</w:t>
      </w:r>
    </w:p>
    <w:tbl>
      <w:tblPr>
        <w:tblStyle w:val="4"/>
        <w:tblW w:w="13897" w:type="dxa"/>
        <w:jc w:val="center"/>
        <w:shd w:val="clear" w:color="auto" w:fill="DAE3F3" w:themeFill="accent1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66"/>
        <w:gridCol w:w="949"/>
        <w:gridCol w:w="1194"/>
        <w:gridCol w:w="1588"/>
        <w:gridCol w:w="1143"/>
        <w:gridCol w:w="1089"/>
        <w:gridCol w:w="971"/>
        <w:gridCol w:w="1365"/>
        <w:gridCol w:w="932"/>
        <w:gridCol w:w="1194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34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bookmarkStart w:id="3" w:name="OLE_LINK4" w:colFirst="0" w:colLast="11"/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ntibody</w:t>
            </w:r>
          </w:p>
        </w:tc>
        <w:tc>
          <w:tcPr>
            <w:tcW w:w="1266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Inhibition</w:t>
            </w:r>
          </w:p>
        </w:tc>
        <w:tc>
          <w:tcPr>
            <w:tcW w:w="949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Target</w:t>
            </w:r>
          </w:p>
        </w:tc>
        <w:tc>
          <w:tcPr>
            <w:tcW w:w="1194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Binding b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readth</w:t>
            </w:r>
          </w:p>
        </w:tc>
        <w:tc>
          <w:tcPr>
            <w:tcW w:w="9254" w:type="dxa"/>
            <w:gridSpan w:val="8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1"/>
                <w:szCs w:val="21"/>
                <w:lang w:val="en-US" w:eastAsia="zh-CN"/>
              </w:rPr>
              <w:t>Binding activity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34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6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94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SARS-CoV-2 </w:t>
            </w:r>
          </w:p>
        </w:tc>
        <w:tc>
          <w:tcPr>
            <w:tcW w:w="114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RaTG13 </w:t>
            </w:r>
          </w:p>
        </w:tc>
        <w:tc>
          <w:tcPr>
            <w:tcW w:w="108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GX-P5L </w:t>
            </w:r>
          </w:p>
        </w:tc>
        <w:tc>
          <w:tcPr>
            <w:tcW w:w="97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GD18 </w:t>
            </w:r>
          </w:p>
        </w:tc>
        <w:tc>
          <w:tcPr>
            <w:tcW w:w="136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SARS-CoV </w:t>
            </w:r>
          </w:p>
        </w:tc>
        <w:tc>
          <w:tcPr>
            <w:tcW w:w="93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SZ3 </w:t>
            </w:r>
          </w:p>
        </w:tc>
        <w:tc>
          <w:tcPr>
            <w:tcW w:w="119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Civet-007</w:t>
            </w:r>
          </w:p>
        </w:tc>
        <w:tc>
          <w:tcPr>
            <w:tcW w:w="97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WIV1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23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SCM13-65</w:t>
            </w:r>
          </w:p>
        </w:tc>
        <w:tc>
          <w:tcPr>
            <w:tcW w:w="1266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2.8062</w:t>
            </w:r>
          </w:p>
        </w:tc>
        <w:tc>
          <w:tcPr>
            <w:tcW w:w="1143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2.52985</w:t>
            </w:r>
          </w:p>
        </w:tc>
        <w:tc>
          <w:tcPr>
            <w:tcW w:w="1089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2.49365</w:t>
            </w:r>
          </w:p>
        </w:tc>
        <w:tc>
          <w:tcPr>
            <w:tcW w:w="971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2.51785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2.5087</w:t>
            </w:r>
          </w:p>
        </w:tc>
        <w:tc>
          <w:tcPr>
            <w:tcW w:w="932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2.4905</w:t>
            </w:r>
          </w:p>
        </w:tc>
        <w:tc>
          <w:tcPr>
            <w:tcW w:w="119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2.55165</w:t>
            </w:r>
          </w:p>
        </w:tc>
        <w:tc>
          <w:tcPr>
            <w:tcW w:w="972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SCM12-61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2.23265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2.3123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2.64455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2.62635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2.67935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2.61835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2.62605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VSM9-12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2.3164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2.1653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2.46865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2.69995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2.66285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2.66835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VSM9-44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2.45755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1.91075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2.62115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2.8548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2.8037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2.54645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1.8777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2.5273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2.66815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2.6164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2.66755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2.5682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VSM16-28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2.70435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2.60855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2.5751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2.80495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2.7436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2.6424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VSM8-83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2.60615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2.3604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2.63035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2.61895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2.6308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2.58135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VSM7-81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2.02705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2.05075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2.55055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2.6647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2.42205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SCM14-64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2.58055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2.4524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2.67155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2.65255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2.6382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2.6268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VSM16-12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2.35385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1.92175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2.4588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2.6466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2.61235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2.5193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2.53865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SCM5-15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2.78925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2.0583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2.55505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2.7464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2.49155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2.3376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SCM12-55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2.44665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1.9876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2.422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2.59625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2.46505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2.59125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2.3424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VSM4-83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2.59865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2.0627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2.5851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2.83605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2.6083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2.5052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2.80035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VSM11-26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0.8518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2.21005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2.74215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2.42705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2.6612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2.1119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VSM14-56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2.4101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0.89395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2.38365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2.6237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2.5271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2.25205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VSM15-10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2.38695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1.0637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2.31495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2.6292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1.99495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2.0421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1.36755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VSM9-60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2.3398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1.22375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2.1376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2.65975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2.3588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2.51065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1.8959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VSM7-92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2.243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1.9288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2.4307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0.6666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1.2837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0.4643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SCM16-51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2.51715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1.85775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2.66265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0.70165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0.9151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0.6982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SCM15-89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1.73255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0.3161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0.39485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2.6946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0.6021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0.46005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0.34385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VSM14-37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2.52505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0.3104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1.11615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2.5204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0.3146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0.45045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0.2224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VSM15-44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1.88205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0.6258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1.68365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2.74955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0.4563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0.51275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SCM14-52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1.9472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0.5311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2.65435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0.576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SCM9-27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0.43545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2.3091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0.68275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1.11315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1.46475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2.1628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1.9614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2.7216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0.3911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0.26975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SCM16-60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2.57255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0.27425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0.2006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0.73605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0.41815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0.46995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0.40145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SCM16-30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0.0802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0.0792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2.1302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1.88435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1.88205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1.7288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SCM14-69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2.81045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0.23275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0.24655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2.90185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0.3022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0.53315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0.35615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SCM12-62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2.1851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1.6817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2.8286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0.17515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0.31365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0.1732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VSM13-40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0.37665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0.4308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2.5659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0.16165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0.2739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SCM13-74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1.754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0.89305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0.6856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2.63255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0.24565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0.28875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0.23735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2.5377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0.45505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0.7012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1.3318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0.16325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0.1642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0.1039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SCM15-26</w:t>
            </w:r>
          </w:p>
        </w:tc>
        <w:tc>
          <w:tcPr>
            <w:tcW w:w="1266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</w:t>
            </w:r>
          </w:p>
        </w:tc>
        <w:tc>
          <w:tcPr>
            <w:tcW w:w="949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8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2.44325</w:t>
            </w:r>
          </w:p>
        </w:tc>
        <w:tc>
          <w:tcPr>
            <w:tcW w:w="1143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1.81845</w:t>
            </w:r>
          </w:p>
        </w:tc>
        <w:tc>
          <w:tcPr>
            <w:tcW w:w="1089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2.46375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2.65545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0.0972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0.1074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0.08585</w:t>
            </w:r>
          </w:p>
        </w:tc>
        <w:tc>
          <w:tcPr>
            <w:tcW w:w="972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1.52785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1.01745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0.25865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1.73495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0.16385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SCM13-36</w:t>
            </w:r>
          </w:p>
        </w:tc>
        <w:tc>
          <w:tcPr>
            <w:tcW w:w="1266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2.13525</w:t>
            </w:r>
          </w:p>
        </w:tc>
        <w:tc>
          <w:tcPr>
            <w:tcW w:w="1143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1.80435</w:t>
            </w:r>
          </w:p>
        </w:tc>
        <w:tc>
          <w:tcPr>
            <w:tcW w:w="1089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0.26565</w:t>
            </w:r>
          </w:p>
        </w:tc>
        <w:tc>
          <w:tcPr>
            <w:tcW w:w="971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2.5576</w:t>
            </w:r>
          </w:p>
        </w:tc>
        <w:tc>
          <w:tcPr>
            <w:tcW w:w="1365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0.04065</w:t>
            </w:r>
          </w:p>
        </w:tc>
        <w:tc>
          <w:tcPr>
            <w:tcW w:w="932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0.0561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0.03525</w:t>
            </w:r>
          </w:p>
        </w:tc>
        <w:tc>
          <w:tcPr>
            <w:tcW w:w="972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SCM7-2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0.04915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2.5658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VSM11-53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2.3472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1.21785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2.56645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0.07305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VSM12-26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2.44295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0.2445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2.40345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0.05005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VSM14-67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1.21905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0.2265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0.7201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0.4188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0.15525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0.1819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SCM10-50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2.6656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1.3109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2.60845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0.0676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0.0773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SCM15-45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2.08995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0.08555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0.3008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2.7616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0.07095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0.0921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VSM15-9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2.1267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0.2794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1.2234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2.65475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VSM6-68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1.65995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0.1941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1.90055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2.6465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0.0997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0.0962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0.0947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VSM8-76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2.6656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1.3109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2.60845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0.0676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0.0773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SCM15-13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2.55135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0.76755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0.13125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2.65425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0.05635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0.16295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0.1301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VSM10-4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2.33205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0.14715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1.82555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1.8614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0.0712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0.12115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VSM6-38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2.61445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0.07125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1.02875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2.5854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0.09245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0.07025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VSM14-63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2.6698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0.254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1.71985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2.48395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0.10805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0.18515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VSM12-37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2.59615</w:t>
            </w:r>
          </w:p>
        </w:tc>
        <w:tc>
          <w:tcPr>
            <w:tcW w:w="1143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0.64235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2.5779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0.1147</w:t>
            </w:r>
          </w:p>
        </w:tc>
        <w:tc>
          <w:tcPr>
            <w:tcW w:w="932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0.0538</w:t>
            </w:r>
          </w:p>
        </w:tc>
        <w:tc>
          <w:tcPr>
            <w:tcW w:w="119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VSM8-40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1.96715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0.5499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0.4341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0.2969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0.1276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0.0782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VSM7-26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1.1878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0.7307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0.95435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0.2024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0.08495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0.10005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SCM9-68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0.62085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0.6018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0.4713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0.07875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0.0707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0.0427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65%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0.7187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0.3836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0.20065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SCM10-2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2.4662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2.66875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0.08075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SCM14-73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2.62355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0.11685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0.11465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2.7118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0.14485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0.18965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0.14555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SCM15-85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2.53125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0.1116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2.5751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0.1113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SCM16-15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2.56165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2.50655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0.1224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0.0847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SCM9-57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2.05645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2.7767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0.0646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SCM9-63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1.7056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0.08405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2.5141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0.09405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0.09645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VSM12-60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1.86925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0.27625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2.43325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0.11385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0.0637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VSM14-58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2.52655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0.0948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0.1259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2.67095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0.09375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0.13485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0.0653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VSM14-89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1.86225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0.15025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2.5947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0.1966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0.22765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0.24285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VSM7-80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2.12385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2.69095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VSM7-88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0.60655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0.4099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0.2926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0.18495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0.0866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VSM8-70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2.1424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0.06365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0.0659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2.57415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0.0461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0.08215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SCM10-91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1.06275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2.6481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0.0939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SCM11-46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0.0349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2.65385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0.0481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SCM13-37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0.9566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0.20135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2.35985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0.10365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SCM14-37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1.0497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0.14715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0.09185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2.01295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2.3051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0.07175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0.09025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SCM14-53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2.3041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0.2353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0.13375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0.10215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0.25055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0.25725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SCM14-91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1.99315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0.13315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0.1133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2.7138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0.14045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0.1652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0.23395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SCM15-38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1.45255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0.23485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0.1245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2.5827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0.16165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0.24065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0.2008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SCM15-52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2.76465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1.40445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0.05405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0.07445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SCM15-61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2.4758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0.06525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2.69655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0.0828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SCM15-66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1.5837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0.0789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2.68315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SCM16-14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1.1361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0.1052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0.11165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2.5698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0.08985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0.09635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SCM9-24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2.8193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0.05475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2.7361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0.0427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VSM13-20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1.75045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2.03055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VSM16-55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2.1228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2.5719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VSM6-37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1.67745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0.21505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0.22525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2.2861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0.12645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VSM7-36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2.3559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2.64535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0.05225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VSM7-73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2.46385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0.10505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0.0878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2.60255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0.1006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0.09325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0.12585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VSM7-83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0.06305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2.58415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VSM9-47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2.2672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0.1428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0.12095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2.72415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0.2799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0.74635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0.03495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0.03645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2.46335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SCM13-40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2.29315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0.04405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2.64735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0.03685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SCM15-27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2.46005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2.83875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0.18895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0.23865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0.2211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VSM14-50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1.68615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0.09185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2.30405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0.13225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0.0606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VSM16-56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1.61525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0.03595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2.5588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0.03675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SCM11-12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2.10405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0.07945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2.1117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0.08985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0.0749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SCM11-24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2.0802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2.33285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0.0397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0.0426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VSM6-66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1.29425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0.06745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0.0645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2.5331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VSM16-83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1.7172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2.71275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0.0329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2.68895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0.0602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2.52285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0.09435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0.03625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VSM13-85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1.29425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0.06745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0.0645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2.5331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SCM13-29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2.21685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0.1582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0.04255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2.4002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0.1661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0.14795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0.6299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0.04665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1.38875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0.05995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0.04715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0.04935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SCM10-74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1.7172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0.03535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2.71275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0.0329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VSM8-65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0.60655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0.4099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0.2926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0.18495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0.0703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0.0866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SCM9-62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1.75045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2.03055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0.04215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0.0628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VSM14-93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2.1228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0.0371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0.0351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2.5719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0.0333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0.04565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VSM11-7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0.45385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0.1138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0.1038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0.8769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0.12955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0.15685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0.07915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VSM6-39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0.48225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0.11985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0.1172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0.4182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0.1408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0.09045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0.07305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SCM10-94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0.9566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0.20135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2.35985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0.0662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0.10365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0.0374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VSM12-46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0.45635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0.07965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0.0667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0.0577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SCM11-45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0.4486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VSM12-55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1.0794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0.10035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0.04795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0.2162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0.06955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0.0592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VSM13-30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1.82005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0.1554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SCM16-40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0.4486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0.0364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0.0459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0.03265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0.04355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0.03355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SCM14-24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1.28725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VSM16-43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0.23485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0.1573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0.05405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0.05735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0.03645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0.0489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VSM12-15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1.28725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0.0586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0.03285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0.0665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0.06385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VSM14-86</w:t>
            </w:r>
          </w:p>
        </w:tc>
        <w:tc>
          <w:tcPr>
            <w:tcW w:w="1266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85%</w:t>
            </w:r>
          </w:p>
        </w:tc>
        <w:tc>
          <w:tcPr>
            <w:tcW w:w="94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1.82005</w:t>
            </w:r>
          </w:p>
        </w:tc>
        <w:tc>
          <w:tcPr>
            <w:tcW w:w="1143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0.0497</w:t>
            </w:r>
          </w:p>
        </w:tc>
        <w:tc>
          <w:tcPr>
            <w:tcW w:w="1089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0.0393</w:t>
            </w:r>
          </w:p>
        </w:tc>
        <w:tc>
          <w:tcPr>
            <w:tcW w:w="97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0.1554</w:t>
            </w:r>
          </w:p>
        </w:tc>
        <w:tc>
          <w:tcPr>
            <w:tcW w:w="136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0.04225</w:t>
            </w:r>
          </w:p>
        </w:tc>
        <w:tc>
          <w:tcPr>
            <w:tcW w:w="93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0.05835</w:t>
            </w:r>
          </w:p>
        </w:tc>
        <w:tc>
          <w:tcPr>
            <w:tcW w:w="11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0.0881</w:t>
            </w:r>
          </w:p>
        </w:tc>
        <w:tc>
          <w:tcPr>
            <w:tcW w:w="972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3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VSM9-51</w:t>
            </w:r>
          </w:p>
        </w:tc>
        <w:tc>
          <w:tcPr>
            <w:tcW w:w="1266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81%</w:t>
            </w:r>
          </w:p>
        </w:tc>
        <w:tc>
          <w:tcPr>
            <w:tcW w:w="949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S1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8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0.7153</w:t>
            </w:r>
          </w:p>
        </w:tc>
        <w:tc>
          <w:tcPr>
            <w:tcW w:w="1143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0.1682</w:t>
            </w:r>
          </w:p>
        </w:tc>
        <w:tc>
          <w:tcPr>
            <w:tcW w:w="1089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0.17655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0.12115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0.0407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0.0385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</w:t>
            </w:r>
          </w:p>
        </w:tc>
        <w:tc>
          <w:tcPr>
            <w:tcW w:w="972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234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VSM7-75</w:t>
            </w:r>
          </w:p>
        </w:tc>
        <w:tc>
          <w:tcPr>
            <w:tcW w:w="1266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</w:p>
        </w:tc>
        <w:tc>
          <w:tcPr>
            <w:tcW w:w="949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S2</w:t>
            </w:r>
          </w:p>
        </w:tc>
        <w:tc>
          <w:tcPr>
            <w:tcW w:w="1194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88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1.95715</w:t>
            </w:r>
          </w:p>
        </w:tc>
        <w:tc>
          <w:tcPr>
            <w:tcW w:w="1143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2.7843</w:t>
            </w:r>
          </w:p>
        </w:tc>
        <w:tc>
          <w:tcPr>
            <w:tcW w:w="1089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2.62135</w:t>
            </w:r>
          </w:p>
        </w:tc>
        <w:tc>
          <w:tcPr>
            <w:tcW w:w="971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2.776</w:t>
            </w:r>
          </w:p>
        </w:tc>
        <w:tc>
          <w:tcPr>
            <w:tcW w:w="1365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2.31435</w:t>
            </w:r>
          </w:p>
        </w:tc>
        <w:tc>
          <w:tcPr>
            <w:tcW w:w="932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2.22285</w:t>
            </w:r>
          </w:p>
        </w:tc>
        <w:tc>
          <w:tcPr>
            <w:tcW w:w="1194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2.64155</w:t>
            </w:r>
          </w:p>
        </w:tc>
        <w:tc>
          <w:tcPr>
            <w:tcW w:w="972" w:type="dxa"/>
            <w:tcBorders>
              <w:top w:val="nil"/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2.66965</w:t>
            </w:r>
          </w:p>
        </w:tc>
      </w:tr>
      <w:bookmarkEnd w:id="3"/>
    </w:tbl>
    <w:p>
      <w:pPr>
        <w:rPr>
          <w:rFonts w:hint="eastAsia" w:ascii="Times New Roman" w:hAnsi="Times New Roman" w:eastAsia="宋体" w:cs="Times New Roman"/>
          <w:b/>
          <w:bCs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>The binding activity was determined by measuring the OD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vertAlign w:val="subscript"/>
          <w:lang w:val="en-US" w:eastAsia="zh-CN"/>
        </w:rPr>
        <w:t>450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 value of the antibody against the spike S1 or S2 proteins of sarbecoviruses at a concentration of 1 </w:t>
      </w:r>
      <w:r>
        <w:rPr>
          <w:rFonts w:hint="default" w:ascii="Times New Roman" w:hAnsi="Times New Roman" w:eastAsia="宋体" w:cs="Times New Roman"/>
          <w:b/>
          <w:bCs/>
          <w:kern w:val="0"/>
          <w:szCs w:val="21"/>
          <w:lang w:val="en-US" w:eastAsia="zh-CN"/>
        </w:rPr>
        <w:t>μ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>g/mL</w:t>
      </w:r>
      <w:r>
        <w:rPr>
          <w:rFonts w:hint="eastAsia" w:ascii="Times New Roman" w:hAnsi="Times New Roman" w:eastAsia="宋体" w:cs="Times New Roman"/>
          <w:b/>
          <w:bCs/>
          <w:kern w:val="0"/>
          <w:sz w:val="21"/>
          <w:szCs w:val="21"/>
          <w:lang w:val="en-US" w:eastAsia="zh-CN"/>
        </w:rPr>
        <w:t xml:space="preserve">. </w:t>
      </w:r>
    </w:p>
    <w:p>
      <w:pPr>
        <w:rPr>
          <w:rFonts w:hint="default" w:ascii="Times New Roman" w:hAnsi="Times New Roman" w:eastAsia="宋体" w:cs="Times New Roman"/>
          <w:b/>
          <w:bCs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lang w:eastAsia="en-US"/>
          <w14:textFill>
            <w14:solidFill>
              <w14:schemeClr w14:val="tx1"/>
            </w14:solidFill>
          </w14:textFill>
        </w:rPr>
        <w:t>n average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lang w:eastAsia="en-US"/>
          <w14:textFill>
            <w14:solidFill>
              <w14:schemeClr w14:val="tx1"/>
            </w14:solidFill>
          </w14:textFill>
        </w:rPr>
        <w:t>OD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vertAlign w:val="subscript"/>
          <w:lang w:eastAsia="en-US"/>
          <w14:textFill>
            <w14:solidFill>
              <w14:schemeClr w14:val="tx1"/>
            </w14:solidFill>
          </w14:textFill>
        </w:rPr>
        <w:t>450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lang w:eastAsia="en-US"/>
          <w14:textFill>
            <w14:solidFill>
              <w14:schemeClr w14:val="tx1"/>
            </w14:solidFill>
          </w14:textFill>
        </w:rPr>
        <w:t xml:space="preserve"> value three-fold greater than the cut-off value (average OD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vertAlign w:val="subscript"/>
          <w:lang w:eastAsia="en-US"/>
          <w14:textFill>
            <w14:solidFill>
              <w14:schemeClr w14:val="tx1"/>
            </w14:solidFill>
          </w14:textFill>
        </w:rPr>
        <w:t>450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lang w:eastAsia="en-US"/>
          <w14:textFill>
            <w14:solidFill>
              <w14:schemeClr w14:val="tx1"/>
            </w14:solidFill>
          </w14:textFill>
        </w:rPr>
        <w:t xml:space="preserve"> value of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negative antibody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highlight w:val="none"/>
          <w:lang w:eastAsia="en-US"/>
          <w14:textFill>
            <w14:solidFill>
              <w14:schemeClr w14:val="tx1"/>
            </w14:solidFill>
          </w14:textFill>
        </w:rPr>
        <w:t>) was considered a positive readout.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/>
    <w:p/>
    <w:p/>
    <w:p/>
    <w:p/>
    <w:p/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cs="Times New Roman"/>
          <w:b/>
          <w:sz w:val="24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8</w:t>
      </w:r>
      <w:r>
        <w:rPr>
          <w:rFonts w:ascii="Times New Roman" w:hAnsi="Times New Roman" w:cs="Times New Roman"/>
          <w:b/>
          <w:sz w:val="24"/>
          <w:szCs w:val="28"/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Neutralization </w:t>
      </w:r>
      <w:r>
        <w:rPr>
          <w:rFonts w:hint="eastAsia" w:ascii="Times New Roman" w:hAnsi="Times New Roman" w:cs="Times New Roman"/>
          <w:b/>
          <w:sz w:val="24"/>
          <w:szCs w:val="28"/>
          <w:lang w:val="en-US" w:eastAsia="zh-CN"/>
        </w:rPr>
        <w:t>breadth and neutralizing activity of 33 nAbs against sarbecoviruses.</w:t>
      </w:r>
    </w:p>
    <w:tbl>
      <w:tblPr>
        <w:tblStyle w:val="4"/>
        <w:tblW w:w="13878" w:type="dxa"/>
        <w:jc w:val="center"/>
        <w:shd w:val="clear" w:color="auto" w:fill="DAE3F3" w:themeFill="accent1" w:themeFillTint="32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696"/>
        <w:gridCol w:w="1594"/>
        <w:gridCol w:w="1277"/>
        <w:gridCol w:w="1598"/>
        <w:gridCol w:w="1211"/>
        <w:gridCol w:w="1670"/>
        <w:gridCol w:w="799"/>
        <w:gridCol w:w="1382"/>
        <w:gridCol w:w="1235"/>
      </w:tblGrid>
      <w:tr>
        <w:tblPrEx>
          <w:shd w:val="clear" w:color="auto" w:fill="DAE3F3" w:themeFill="accent1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6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ntibody</w:t>
            </w:r>
          </w:p>
        </w:tc>
        <w:tc>
          <w:tcPr>
            <w:tcW w:w="1696" w:type="dxa"/>
            <w:vMerge w:val="restart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Neutralization b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readth</w:t>
            </w:r>
          </w:p>
        </w:tc>
        <w:tc>
          <w:tcPr>
            <w:tcW w:w="10766" w:type="dxa"/>
            <w:gridSpan w:val="8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Inhibition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416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696" w:type="dxa"/>
            <w:vMerge w:val="continue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SARS-CoV-2 </w:t>
            </w:r>
          </w:p>
        </w:tc>
        <w:tc>
          <w:tcPr>
            <w:tcW w:w="127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RaTG13 </w:t>
            </w:r>
          </w:p>
        </w:tc>
        <w:tc>
          <w:tcPr>
            <w:tcW w:w="159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GX-P5L </w:t>
            </w:r>
          </w:p>
        </w:tc>
        <w:tc>
          <w:tcPr>
            <w:tcW w:w="121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GD18 </w:t>
            </w:r>
          </w:p>
        </w:tc>
        <w:tc>
          <w:tcPr>
            <w:tcW w:w="167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SARS-CoV </w:t>
            </w:r>
          </w:p>
        </w:tc>
        <w:tc>
          <w:tcPr>
            <w:tcW w:w="79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SZ3 </w:t>
            </w:r>
          </w:p>
        </w:tc>
        <w:tc>
          <w:tcPr>
            <w:tcW w:w="138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Civet-007</w:t>
            </w:r>
          </w:p>
        </w:tc>
        <w:tc>
          <w:tcPr>
            <w:tcW w:w="123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WIV1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416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SCM12-61</w:t>
            </w:r>
          </w:p>
        </w:tc>
        <w:tc>
          <w:tcPr>
            <w:tcW w:w="1696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77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598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11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99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382" w:type="dxa"/>
            <w:tcBorders>
              <w:top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35" w:type="dxa"/>
            <w:tcBorders>
              <w:top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VSM16-12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SCM13-65</w:t>
            </w:r>
          </w:p>
        </w:tc>
        <w:tc>
          <w:tcPr>
            <w:tcW w:w="1696" w:type="dxa"/>
            <w:tcBorders>
              <w:bottom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598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11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99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382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35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VSM9-44</w:t>
            </w:r>
          </w:p>
        </w:tc>
        <w:tc>
          <w:tcPr>
            <w:tcW w:w="1696" w:type="dxa"/>
            <w:tcBorders>
              <w:bottom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598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11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99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382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235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VSM8-83</w:t>
            </w:r>
          </w:p>
        </w:tc>
        <w:tc>
          <w:tcPr>
            <w:tcW w:w="1696" w:type="dxa"/>
            <w:tcBorders>
              <w:bottom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598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11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670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99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382" w:type="dxa"/>
            <w:tcBorders>
              <w:bottom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35" w:type="dxa"/>
            <w:tcBorders>
              <w:bottom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VSM9-12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VSM13-9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SCM14-64</w:t>
            </w:r>
          </w:p>
        </w:tc>
        <w:tc>
          <w:tcPr>
            <w:tcW w:w="1696" w:type="dxa"/>
            <w:tcBorders>
              <w:top w:val="nil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94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277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598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11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670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799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tcBorders>
              <w:top w:val="nil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235" w:type="dxa"/>
            <w:tcBorders>
              <w:top w:val="nil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VSM15-10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VSM4-83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SCM16-30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SCM12-62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VSM14-37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SCM15-89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SCM9-27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VSM7-92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SCM5-15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VSM15-44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VSM13-40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VSM9-60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VSM16-28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VSM7-81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VSM14-56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VSM11-26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SCM13-74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SCM15-26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SCM12-55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SCM16-60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SCM14-69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SCM16-9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VSM14-4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16" w:type="dxa"/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SCM16-51</w:t>
            </w:r>
          </w:p>
        </w:tc>
        <w:tc>
          <w:tcPr>
            <w:tcW w:w="1696" w:type="dxa"/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94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77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598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11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670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99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82" w:type="dxa"/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235" w:type="dxa"/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416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SCM14-52</w:t>
            </w:r>
          </w:p>
        </w:tc>
        <w:tc>
          <w:tcPr>
            <w:tcW w:w="1696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94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77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98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11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670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99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2" w:type="dxa"/>
            <w:tcBorders>
              <w:bottom w:val="single" w:color="auto" w:sz="12" w:space="0"/>
            </w:tcBorders>
            <w:shd w:val="clear" w:color="auto" w:fill="DAE3F3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5" w:type="dxa"/>
            <w:tcBorders>
              <w:bottom w:val="single" w:color="auto" w:sz="12" w:space="0"/>
            </w:tcBorders>
            <w:shd w:val="clear" w:color="auto" w:fill="DAE3F3" w:themeFill="accent1" w:themeFillTint="3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</w:tr>
    </w:tbl>
    <w:p>
      <w:pP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The neutralization activity of the nAb was determined by measuring its inhibition of pseudotyped sarbecovirus particles at a concentration of 10 </w:t>
      </w:r>
      <w:r>
        <w:rPr>
          <w:rFonts w:hint="default" w:ascii="Times New Roman" w:hAnsi="Times New Roman" w:eastAsia="宋体" w:cs="Times New Roman"/>
          <w:b/>
          <w:bCs/>
          <w:kern w:val="0"/>
          <w:szCs w:val="21"/>
          <w:lang w:val="en-US" w:eastAsia="zh-CN"/>
        </w:rPr>
        <w:t>μ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g/mL. </w:t>
      </w:r>
    </w:p>
    <w:p>
      <w:pP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lang w:eastAsia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An inhibition rate of 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lang w:eastAsia="en-US"/>
          <w14:textFill>
            <w14:solidFill>
              <w14:schemeClr w14:val="tx1"/>
            </w14:solidFill>
          </w14:textFill>
        </w:rPr>
        <w:t>greater than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50%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eastAsia="zh-CN"/>
        </w:rPr>
        <w:t xml:space="preserve"> was considered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1"/>
          <w:szCs w:val="21"/>
          <w:lang w:eastAsia="en-US"/>
          <w14:textFill>
            <w14:solidFill>
              <w14:schemeClr w14:val="tx1"/>
            </w14:solidFill>
          </w14:textFill>
        </w:rPr>
        <w:t xml:space="preserve"> a positive readout.</w:t>
      </w:r>
    </w:p>
    <w:p>
      <w:pPr>
        <w:rPr>
          <w:rFonts w:hint="eastAsia" w:ascii="Times New Roman" w:hAnsi="Times New Roman" w:eastAsia="Times New Roman" w:cs="Times New Roman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MWQ0Njc5YjYxMDI3MjQ3ODE1NzMzZTYxY2I4MTIifQ=="/>
  </w:docVars>
  <w:rsids>
    <w:rsidRoot w:val="002A41D5"/>
    <w:rsid w:val="00265A5E"/>
    <w:rsid w:val="002A41D5"/>
    <w:rsid w:val="00373FAD"/>
    <w:rsid w:val="005133A9"/>
    <w:rsid w:val="006C1FBC"/>
    <w:rsid w:val="00930EB1"/>
    <w:rsid w:val="00F0141D"/>
    <w:rsid w:val="06891B4D"/>
    <w:rsid w:val="07293490"/>
    <w:rsid w:val="0A6F0F60"/>
    <w:rsid w:val="0FE14CD4"/>
    <w:rsid w:val="10DF5DCB"/>
    <w:rsid w:val="110F3211"/>
    <w:rsid w:val="11FA7CDF"/>
    <w:rsid w:val="1326469B"/>
    <w:rsid w:val="14BC3891"/>
    <w:rsid w:val="16414353"/>
    <w:rsid w:val="187463FE"/>
    <w:rsid w:val="196E2CDC"/>
    <w:rsid w:val="1A197E89"/>
    <w:rsid w:val="1A6F59A4"/>
    <w:rsid w:val="1DDC5D8A"/>
    <w:rsid w:val="1EA404AD"/>
    <w:rsid w:val="1F062B8A"/>
    <w:rsid w:val="1F897A62"/>
    <w:rsid w:val="20541CA7"/>
    <w:rsid w:val="23FE1ABC"/>
    <w:rsid w:val="242E53FA"/>
    <w:rsid w:val="27683E5C"/>
    <w:rsid w:val="2927562A"/>
    <w:rsid w:val="2CBD0626"/>
    <w:rsid w:val="2FB92FF4"/>
    <w:rsid w:val="300857C0"/>
    <w:rsid w:val="302A0D5E"/>
    <w:rsid w:val="30373439"/>
    <w:rsid w:val="32246FF5"/>
    <w:rsid w:val="34E02B31"/>
    <w:rsid w:val="3571631E"/>
    <w:rsid w:val="3A812DE0"/>
    <w:rsid w:val="3DFD62C3"/>
    <w:rsid w:val="45C074D8"/>
    <w:rsid w:val="4A9B332A"/>
    <w:rsid w:val="4B222B39"/>
    <w:rsid w:val="50296FC4"/>
    <w:rsid w:val="51E43809"/>
    <w:rsid w:val="54CB6F02"/>
    <w:rsid w:val="58CF6DF6"/>
    <w:rsid w:val="5BFB631F"/>
    <w:rsid w:val="5DCA7D0D"/>
    <w:rsid w:val="5DCD34A8"/>
    <w:rsid w:val="5E6C71A6"/>
    <w:rsid w:val="5ED30AD1"/>
    <w:rsid w:val="5F3506EF"/>
    <w:rsid w:val="5F795405"/>
    <w:rsid w:val="637E619A"/>
    <w:rsid w:val="6458256F"/>
    <w:rsid w:val="66697085"/>
    <w:rsid w:val="6C885F5B"/>
    <w:rsid w:val="6F060E0B"/>
    <w:rsid w:val="6F6D70DC"/>
    <w:rsid w:val="72752A0D"/>
    <w:rsid w:val="75B9250E"/>
    <w:rsid w:val="76EC264E"/>
    <w:rsid w:val="77DD5086"/>
    <w:rsid w:val="7AB62E95"/>
    <w:rsid w:val="7D5A50FD"/>
    <w:rsid w:val="7F96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semiHidden/>
    <w:unhideWhenUsed/>
    <w:qFormat/>
    <w:uiPriority w:val="99"/>
    <w:pPr>
      <w:jc w:val="left"/>
    </w:pPr>
  </w:style>
  <w:style w:type="paragraph" w:styleId="3">
    <w:name w:val="annotation subject"/>
    <w:basedOn w:val="2"/>
    <w:next w:val="2"/>
    <w:link w:val="8"/>
    <w:semiHidden/>
    <w:unhideWhenUsed/>
    <w:qFormat/>
    <w:uiPriority w:val="99"/>
    <w:rPr>
      <w:b/>
      <w:bCs/>
    </w:r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  <w:style w:type="character" w:customStyle="1" w:styleId="7">
    <w:name w:val="批注文字 字符"/>
    <w:basedOn w:val="5"/>
    <w:link w:val="2"/>
    <w:semiHidden/>
    <w:qFormat/>
    <w:uiPriority w:val="99"/>
  </w:style>
  <w:style w:type="character" w:customStyle="1" w:styleId="8">
    <w:name w:val="批注主题 字符"/>
    <w:basedOn w:val="7"/>
    <w:link w:val="3"/>
    <w:semiHidden/>
    <w:qFormat/>
    <w:uiPriority w:val="99"/>
    <w:rPr>
      <w:b/>
      <w:bCs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15"/>
      <w:szCs w:val="15"/>
      <w:u w:val="none"/>
    </w:rPr>
  </w:style>
  <w:style w:type="character" w:customStyle="1" w:styleId="10">
    <w:name w:val="font2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table" w:customStyle="1" w:styleId="11">
    <w:name w:val="清单表 2 - 着色 51"/>
    <w:basedOn w:val="4"/>
    <w:qFormat/>
    <w:uiPriority w:val="47"/>
    <w:tblPr>
      <w:tblBorders>
        <w:top w:val="single" w:color="9CC2E5" w:themeColor="accent5" w:themeTint="99" w:sz="4" w:space="0"/>
        <w:bottom w:val="single" w:color="9CC2E5" w:themeColor="accent5" w:themeTint="99" w:sz="4" w:space="0"/>
        <w:insideH w:val="single" w:color="9CC2E5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5" w:themeFillTint="33"/>
      </w:tcPr>
    </w:tblStylePr>
    <w:tblStylePr w:type="band1Horz">
      <w:tcPr>
        <w:shd w:val="clear" w:color="auto" w:fill="DEEAF6" w:themeFill="accent5" w:themeFillTint="33"/>
      </w:tcPr>
    </w:tblStylePr>
  </w:style>
  <w:style w:type="character" w:customStyle="1" w:styleId="12">
    <w:name w:val="font0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5414</Words>
  <Characters>24823</Characters>
  <Lines>16</Lines>
  <Paragraphs>4</Paragraphs>
  <TotalTime>0</TotalTime>
  <ScaleCrop>false</ScaleCrop>
  <LinksUpToDate>false</LinksUpToDate>
  <CharactersWithSpaces>25994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2022-04-07T03:06:00Z</dcterms:created>
  <dc:creator>wu qian</dc:creator>
  <cp:lastModifiedBy>湖胡湖</cp:lastModifiedBy>
  <dcterms:modified xsi:type="dcterms:W3CDTF">2024-01-04T06:55:45Z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C4FF840337C443A78011E7B4F4D18043_13</vt:lpwstr>
  </property>
</Properties>
</file>