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65423" w14:textId="77777777" w:rsidR="00F81E30" w:rsidRDefault="00F81E30" w:rsidP="00F81E30">
      <w:pPr>
        <w:pStyle w:val="BodyText"/>
        <w:rPr>
          <w:b/>
          <w:i/>
          <w:iCs/>
          <w:sz w:val="28"/>
        </w:rPr>
      </w:pPr>
      <w:r w:rsidRPr="00395376">
        <w:rPr>
          <w:b/>
          <w:i/>
          <w:iCs/>
          <w:sz w:val="28"/>
        </w:rPr>
        <w:t>Supplementary</w:t>
      </w:r>
      <w:r w:rsidRPr="00395376">
        <w:rPr>
          <w:b/>
          <w:i/>
          <w:iCs/>
          <w:spacing w:val="-14"/>
          <w:sz w:val="28"/>
        </w:rPr>
        <w:t xml:space="preserve"> </w:t>
      </w:r>
      <w:r w:rsidRPr="00395376">
        <w:rPr>
          <w:b/>
          <w:i/>
          <w:iCs/>
          <w:sz w:val="28"/>
        </w:rPr>
        <w:t>Information</w:t>
      </w:r>
    </w:p>
    <w:p w14:paraId="55AB5EA1" w14:textId="77777777" w:rsidR="005B70D4" w:rsidRPr="005B70D4" w:rsidRDefault="005B70D4" w:rsidP="005B70D4">
      <w:pPr>
        <w:spacing w:line="480" w:lineRule="auto"/>
        <w:rPr>
          <w:rFonts w:ascii="Times New Roman" w:eastAsia="Times New Roman" w:hAnsi="Times New Roman" w:cs="Times New Roman"/>
          <w:b/>
          <w:bCs/>
          <w:color w:val="000000"/>
          <w:kern w:val="0"/>
          <w:sz w:val="24"/>
          <w:szCs w:val="24"/>
        </w:rPr>
      </w:pPr>
      <w:bookmarkStart w:id="0" w:name="_Hlk150199230"/>
      <w:r w:rsidRPr="005B70D4">
        <w:rPr>
          <w:rFonts w:ascii="Times New Roman" w:eastAsia="Times New Roman" w:hAnsi="Times New Roman" w:cs="Times New Roman"/>
          <w:b/>
          <w:bCs/>
          <w:color w:val="000000"/>
          <w:kern w:val="0"/>
          <w:sz w:val="24"/>
          <w:szCs w:val="24"/>
        </w:rPr>
        <w:t xml:space="preserve">Multiscale off-fault brecciation records </w:t>
      </w:r>
      <w:proofErr w:type="spellStart"/>
      <w:r w:rsidRPr="005B70D4">
        <w:rPr>
          <w:rFonts w:ascii="Times New Roman" w:eastAsia="Times New Roman" w:hAnsi="Times New Roman" w:cs="Times New Roman"/>
          <w:b/>
          <w:bCs/>
          <w:color w:val="000000"/>
          <w:kern w:val="0"/>
          <w:sz w:val="24"/>
          <w:szCs w:val="24"/>
        </w:rPr>
        <w:t>coseismic</w:t>
      </w:r>
      <w:proofErr w:type="spellEnd"/>
      <w:r w:rsidRPr="005B70D4">
        <w:rPr>
          <w:rFonts w:ascii="Times New Roman" w:eastAsia="Times New Roman" w:hAnsi="Times New Roman" w:cs="Times New Roman"/>
          <w:b/>
          <w:bCs/>
          <w:color w:val="000000"/>
          <w:kern w:val="0"/>
          <w:sz w:val="24"/>
          <w:szCs w:val="24"/>
        </w:rPr>
        <w:t xml:space="preserve"> energy budget of principal fault zone</w:t>
      </w:r>
      <w:bookmarkEnd w:id="0"/>
    </w:p>
    <w:p w14:paraId="46F1E404" w14:textId="77777777" w:rsidR="005B70D4" w:rsidRPr="00395376" w:rsidRDefault="005B70D4" w:rsidP="00F81E30">
      <w:pPr>
        <w:pStyle w:val="BodyText"/>
        <w:rPr>
          <w:i/>
          <w:iCs/>
        </w:rPr>
      </w:pPr>
    </w:p>
    <w:p w14:paraId="51708D72" w14:textId="77777777" w:rsidR="00C9431F" w:rsidRDefault="00C9431F" w:rsidP="00C9431F">
      <w:pPr>
        <w:pStyle w:val="BodyText"/>
      </w:pPr>
      <w:r>
        <w:t>Geri Agroli</w:t>
      </w:r>
      <w:r>
        <w:rPr>
          <w:vertAlign w:val="superscript"/>
        </w:rPr>
        <w:t>1</w:t>
      </w:r>
      <w:r>
        <w:t>, Atsushi Okamoto</w:t>
      </w:r>
      <w:r w:rsidRPr="00FE5C87">
        <w:rPr>
          <w:vertAlign w:val="superscript"/>
        </w:rPr>
        <w:t>1</w:t>
      </w:r>
      <w:r>
        <w:t>, Masaoki Uno</w:t>
      </w:r>
      <w:r w:rsidRPr="00FE5C87">
        <w:rPr>
          <w:vertAlign w:val="superscript"/>
        </w:rPr>
        <w:t>1</w:t>
      </w:r>
      <w:r>
        <w:t>, Noriyoshi Tsuchiya</w:t>
      </w:r>
      <w:r w:rsidRPr="00FE5C87">
        <w:rPr>
          <w:vertAlign w:val="superscript"/>
        </w:rPr>
        <w:t>1,2</w:t>
      </w:r>
      <w:r>
        <w:t>*</w:t>
      </w:r>
    </w:p>
    <w:p w14:paraId="65EF3A16" w14:textId="77777777" w:rsidR="00C9431F" w:rsidRDefault="00C9431F" w:rsidP="00C9431F">
      <w:pPr>
        <w:pStyle w:val="BodyText"/>
      </w:pPr>
    </w:p>
    <w:p w14:paraId="25943882" w14:textId="77777777" w:rsidR="00C9431F" w:rsidRDefault="00C9431F" w:rsidP="00C9431F">
      <w:pPr>
        <w:pStyle w:val="BodyText"/>
      </w:pPr>
      <w:r>
        <w:t>1. Graduated School of Environmental Studies, Tohoku University, Sendai 980-8579, Japan</w:t>
      </w:r>
    </w:p>
    <w:p w14:paraId="424896E3" w14:textId="77777777" w:rsidR="00C9431F" w:rsidRDefault="00C9431F" w:rsidP="00C9431F">
      <w:pPr>
        <w:pStyle w:val="BodyText"/>
        <w:rPr>
          <w:rFonts w:cs="Times New Roman"/>
        </w:rPr>
      </w:pPr>
      <w:r>
        <w:t xml:space="preserve">2. </w:t>
      </w:r>
      <w:r w:rsidRPr="00FF397B">
        <w:rPr>
          <w:rFonts w:cs="Times New Roman"/>
        </w:rPr>
        <w:t>National Institute of Technology, Hachinohe College, Hachinohe, Aomori 039-1192, Japan</w:t>
      </w:r>
    </w:p>
    <w:p w14:paraId="27E30407" w14:textId="77777777" w:rsidR="00F81E30" w:rsidRDefault="00F81E30" w:rsidP="00F81E30">
      <w:pPr>
        <w:pStyle w:val="BodyText"/>
      </w:pPr>
    </w:p>
    <w:p w14:paraId="1E639504" w14:textId="77777777" w:rsidR="00585562" w:rsidRDefault="00F81E30" w:rsidP="00F81E30">
      <w:pPr>
        <w:pStyle w:val="BodyText"/>
      </w:pPr>
      <w:r>
        <w:t>* Corresponding author</w:t>
      </w:r>
      <w:r w:rsidR="00585562">
        <w:t>:</w:t>
      </w:r>
    </w:p>
    <w:p w14:paraId="769A7CD1" w14:textId="7D5443BB" w:rsidR="00585562" w:rsidRDefault="00585562" w:rsidP="00F81E30">
      <w:pPr>
        <w:pStyle w:val="BodyText"/>
      </w:pPr>
      <w:r>
        <w:t>Noriyoshi Tsuchiya</w:t>
      </w:r>
    </w:p>
    <w:p w14:paraId="4B1E43C1" w14:textId="22EAA25D" w:rsidR="00F81E30" w:rsidRDefault="00F81E30" w:rsidP="00F81E30">
      <w:pPr>
        <w:pStyle w:val="BodyText"/>
      </w:pPr>
      <w:r>
        <w:rPr>
          <w:color w:val="0562C1"/>
          <w:spacing w:val="1"/>
        </w:rPr>
        <w:t xml:space="preserve"> </w:t>
      </w:r>
      <w:r>
        <w:rPr>
          <w:i/>
          <w:color w:val="0000FF"/>
          <w:u w:val="single"/>
        </w:rPr>
        <w:t>noriyoshi.tsuchiya.e6@tohoku.ac.jp</w:t>
      </w:r>
    </w:p>
    <w:p w14:paraId="631A1A54" w14:textId="77777777" w:rsidR="00F81E30" w:rsidRDefault="00F81E30" w:rsidP="00F81E30">
      <w:pPr>
        <w:pStyle w:val="BodyText"/>
      </w:pPr>
    </w:p>
    <w:p w14:paraId="7B70F2D6" w14:textId="77777777" w:rsidR="00F81E30" w:rsidRDefault="00F81E30" w:rsidP="00F81E30">
      <w:pPr>
        <w:pStyle w:val="BodyText"/>
      </w:pPr>
    </w:p>
    <w:p w14:paraId="3720F248" w14:textId="77777777" w:rsidR="00F81E30" w:rsidRDefault="00F81E30" w:rsidP="00F81E30">
      <w:pPr>
        <w:pStyle w:val="BodyText"/>
        <w:rPr>
          <w:spacing w:val="-1"/>
        </w:rPr>
      </w:pPr>
      <w:r>
        <w:rPr>
          <w:spacing w:val="-1"/>
        </w:rPr>
        <w:t>This</w:t>
      </w:r>
      <w:r>
        <w:rPr>
          <w:spacing w:val="-13"/>
        </w:rPr>
        <w:t xml:space="preserve"> </w:t>
      </w:r>
      <w:r>
        <w:rPr>
          <w:spacing w:val="-1"/>
        </w:rPr>
        <w:t>PDF</w:t>
      </w:r>
      <w:r>
        <w:rPr>
          <w:spacing w:val="-11"/>
        </w:rPr>
        <w:t xml:space="preserve"> </w:t>
      </w:r>
      <w:r>
        <w:rPr>
          <w:spacing w:val="-1"/>
        </w:rPr>
        <w:t>file</w:t>
      </w:r>
      <w:r>
        <w:rPr>
          <w:spacing w:val="-12"/>
        </w:rPr>
        <w:t xml:space="preserve"> </w:t>
      </w:r>
      <w:r>
        <w:rPr>
          <w:spacing w:val="-1"/>
        </w:rPr>
        <w:t>includes:</w:t>
      </w:r>
    </w:p>
    <w:p w14:paraId="6B5E5C0D" w14:textId="431DE09C" w:rsidR="00D17F6A" w:rsidRDefault="00D17F6A" w:rsidP="00F81E30">
      <w:pPr>
        <w:pStyle w:val="BodyText"/>
      </w:pPr>
      <w:r>
        <w:rPr>
          <w:spacing w:val="-1"/>
        </w:rPr>
        <w:t>Supplementary text</w:t>
      </w:r>
    </w:p>
    <w:p w14:paraId="05FB756C" w14:textId="77BD0600" w:rsidR="00F81E30" w:rsidRDefault="00F81E30" w:rsidP="00F81E30">
      <w:pPr>
        <w:pStyle w:val="BodyText"/>
      </w:pPr>
      <w:r>
        <w:t>Supplementary</w:t>
      </w:r>
      <w:r>
        <w:rPr>
          <w:spacing w:val="-10"/>
        </w:rPr>
        <w:t xml:space="preserve"> </w:t>
      </w:r>
      <w:r w:rsidR="00203E61">
        <w:t>Figures</w:t>
      </w:r>
      <w:r>
        <w:rPr>
          <w:spacing w:val="-9"/>
        </w:rPr>
        <w:t xml:space="preserve"> 1 </w:t>
      </w:r>
      <w:r>
        <w:t>to</w:t>
      </w:r>
      <w:r>
        <w:rPr>
          <w:spacing w:val="-9"/>
        </w:rPr>
        <w:t xml:space="preserve"> </w:t>
      </w:r>
      <w:r w:rsidR="003D1F2C">
        <w:rPr>
          <w:spacing w:val="-9"/>
        </w:rPr>
        <w:t>6</w:t>
      </w:r>
    </w:p>
    <w:p w14:paraId="1AD46BBB" w14:textId="7EA5BDF1" w:rsidR="00F81E30" w:rsidRDefault="00F81E30" w:rsidP="00F81E30">
      <w:pPr>
        <w:pStyle w:val="BodyText"/>
      </w:pPr>
      <w:r>
        <w:t>Supplementary</w:t>
      </w:r>
      <w:r>
        <w:rPr>
          <w:spacing w:val="-14"/>
        </w:rPr>
        <w:t xml:space="preserve"> </w:t>
      </w:r>
      <w:r w:rsidR="00203E61">
        <w:t>Tables</w:t>
      </w:r>
      <w:r>
        <w:rPr>
          <w:spacing w:val="-14"/>
        </w:rPr>
        <w:t xml:space="preserve"> </w:t>
      </w:r>
      <w:r>
        <w:t xml:space="preserve">1 to </w:t>
      </w:r>
      <w:r w:rsidR="00E57576">
        <w:t>4</w:t>
      </w:r>
      <w:r>
        <w:rPr>
          <w:spacing w:val="-14"/>
        </w:rPr>
        <w:t xml:space="preserve"> </w:t>
      </w:r>
    </w:p>
    <w:p w14:paraId="581DF24C" w14:textId="22D1F4C5" w:rsidR="00F81E30" w:rsidRDefault="00F81E30">
      <w:r>
        <w:br w:type="page"/>
      </w:r>
    </w:p>
    <w:p w14:paraId="619759BD" w14:textId="77777777" w:rsidR="00D17F6A" w:rsidRDefault="00D17F6A" w:rsidP="00D17F6A">
      <w:pPr>
        <w:pStyle w:val="Heading1"/>
        <w:rPr>
          <w:sz w:val="28"/>
          <w:szCs w:val="28"/>
        </w:rPr>
      </w:pPr>
      <w:r w:rsidRPr="00D17F6A">
        <w:rPr>
          <w:sz w:val="28"/>
          <w:szCs w:val="28"/>
        </w:rPr>
        <w:lastRenderedPageBreak/>
        <w:t>Supplementary Text</w:t>
      </w:r>
    </w:p>
    <w:p w14:paraId="2DAA91DA" w14:textId="77777777" w:rsidR="0042778D" w:rsidRDefault="0042778D" w:rsidP="0042778D">
      <w:pPr>
        <w:pStyle w:val="Heading2"/>
        <w:rPr>
          <w:rFonts w:ascii="Times New Roman" w:hAnsi="Times New Roman" w:cs="Times New Roman"/>
          <w:b/>
          <w:bCs/>
          <w:color w:val="auto"/>
          <w:sz w:val="28"/>
          <w:szCs w:val="28"/>
        </w:rPr>
      </w:pPr>
      <w:r>
        <w:rPr>
          <w:rFonts w:ascii="Times New Roman" w:hAnsi="Times New Roman" w:cs="Times New Roman"/>
          <w:b/>
          <w:bCs/>
          <w:color w:val="auto"/>
          <w:sz w:val="28"/>
          <w:szCs w:val="28"/>
        </w:rPr>
        <w:t>Temperature estimation and composition of ore-forming fluid</w:t>
      </w:r>
    </w:p>
    <w:p w14:paraId="03AA157E" w14:textId="661F17D4" w:rsidR="0042778D" w:rsidRPr="00B46872" w:rsidRDefault="0042778D" w:rsidP="00585562">
      <w:pPr>
        <w:pStyle w:val="BodyText"/>
        <w:spacing w:line="480" w:lineRule="auto"/>
        <w:jc w:val="both"/>
        <w:rPr>
          <w:rFonts w:cs="Times New Roman"/>
        </w:rPr>
      </w:pPr>
      <w:r w:rsidRPr="00B46872">
        <w:rPr>
          <w:rFonts w:cs="Times New Roman"/>
        </w:rPr>
        <w:t xml:space="preserve">Arsenopyrite is quite ubiquitous and it corresponds with antimony mineralization and </w:t>
      </w:r>
      <w:proofErr w:type="spellStart"/>
      <w:r w:rsidRPr="00B46872">
        <w:rPr>
          <w:rFonts w:cs="Times New Roman"/>
        </w:rPr>
        <w:t>paragenetically</w:t>
      </w:r>
      <w:proofErr w:type="spellEnd"/>
      <w:r w:rsidRPr="00B46872">
        <w:rPr>
          <w:rFonts w:cs="Times New Roman"/>
        </w:rPr>
        <w:t xml:space="preserve"> considered as the early stage of mineral deposition </w:t>
      </w:r>
      <w:r w:rsidRPr="00B46872">
        <w:rPr>
          <w:rFonts w:cs="Times New Roman"/>
        </w:rPr>
        <w:fldChar w:fldCharType="begin"/>
      </w:r>
      <w:r w:rsidR="00194796">
        <w:rPr>
          <w:rFonts w:cs="Times New Roman"/>
        </w:rPr>
        <w:instrText xml:space="preserve"> ADDIN ZOTERO_ITEM CSL_CITATION {"citationID":"8Xx7KeHg","properties":{"formattedCitation":"\\super 6,7\\nosupersub{}","plainCitation":"6,7","noteIndex":0},"citationItems":[{"id":561,"uris":["http://zotero.org/users/10529844/items/6VHVNKVH"],"itemData":{"id":561,"type":"article-journal","abstract":"Deposits of stibnite and cinnabar show a strong spatial association with metamorphic rocks and occur mainly within orogenic belts. Our study addresses the Emirli stibnite and Hali{dotless}köy cinnabar deposits within the Menderes Massif in western Turkey. Stibnite mineralisation occurs as stratabound lenses in graphite- and mica-schist, and as structurally controlled veins. Both types have a common mineral paragenesis containing pyrite, arsenopyrite, stibnite, gold, base metal sulphides, marcasite, realgar, orpiment and cinnabar. Realgar, orpiment and cinnabar are not present in the stratabound lenses. Quartz is the principle gangue mineral in all the deposits. The initial fluids were dilute, carbonic and rather hot (with Th &gt; 300 °C). Deposition of pyrite and arsenopyrite is probably due to cooling of the fluids and to sulphidation and/or decreasing fO2, caused by interaction with syn-sedimentary sulphides in the country rocks. Arsenopyrite geothermometry indicates an average depositional temperature of 330 °C in the initial quartz vein. Vein formation increased the fluid pressure and caused effervescence, which resulted in a sudden pressure drop from 1.4 kbar during the initial quartz formation to </w:instrText>
      </w:r>
      <w:r w:rsidR="00194796">
        <w:rPr>
          <w:rFonts w:ascii="Cambria Math" w:hAnsi="Cambria Math" w:cs="Cambria Math"/>
        </w:rPr>
        <w:instrText>∼</w:instrText>
      </w:r>
      <w:r w:rsidR="00194796">
        <w:rPr>
          <w:rFonts w:cs="Times New Roman"/>
        </w:rPr>
        <w:instrText xml:space="preserve">440 bars, and stibnite precipitated at 232 to 307 °C. Boiling and concomitant sulphur loss during stibnite precipitation may have also initiated gold deposition. Further cooling below 190 °C under a pressure of ≤ 600 bars caused cinnabar deposition, mainly in the Hali{dotless}köy deposit. Salinity of the fluids during stibnite and cinnabar precipitation is 0.8 to 7.1 wt.% NaCl eq. and suggests a meteoric fluid. The structural framework induced by the initiation of extensional tectonics served as conduits for the penetration of surficial fluids to the environs of a possible magmatic heat source evidenced by thermal waters in the region. Stibnite from the stratabound (graphite-schist hosted) lenses and the crosscutting veins in the Emirli deposit have sulphur isotope compositions in a range of - 5.8‰ to - 8.9‰. δ34S values of pyrite from the graphite-schist zones and mica-schists are in the ranges of - 8.9‰ to - 7.7‰ and - 10.2‰ to - 11.7‰, respectively. It is therefore concluded that the sulphur in stibnite originated from sulphide minerals in the country rocks, which in turn may have a source related to bacterial reduction of sulphate within the pre-metamorphic sediments. Cinnabar has heavier δ34S contents (- 6.5‰ to - 6.8‰), suggesting a minor magmatic sulphur contribution towards the final stages of mineralisation. © 2005 Elsevier B.V. All rights reserved.","container-title":"Ore Geology Reviews","DOI":"10.1016/j.oregeorev.2004.12.006","ISSN":"01691368","issue":"1","note":"publisher: Elsevier","page":"19-51","title":"Geology, mineralogy and geochemistry of the gold-bearing stibnite and cinnabar deposits in the Emirli and Hali{dotless}köy areas (Ödemiş, İzmir, West Turkey)","volume":"29","author":[{"family":"Akçay","given":"Miǧraç"},{"family":"Özkan","given":"H. Mustafa"},{"family":"Moon","given":"Charlie J."},{"family":"Spiro","given":"Baruch"}],"issued":{"date-parts":[["2006",7,1]]},"citation-key":"Akcay_etal.2006_GeologyMineralogyGeochemistry"}},{"id":489,"uris":["http://zotero.org/users/10529844/items/QVAA2MWU"],"itemData":{"id":489,"type":"article-journal","abstract":"Structural, textural, mineralogic, microthermometric, and isotopic data obtained on the Biards Sb-Au district, located in the south Limousin area (Massif Central, France) provide new evidence for the tectonic setting of stibnite and gold deposition during the late orogenic Variscan collapse in western Europe. A variety of geologic and geophysical data define a major, crustal-scale, left-lateral strike-slip shear zone that acted as a trap for Sb-Au mineralization. During these movements, fault-fill veins and then extensional veins of limited extent were created along rheologic heterogeneities that focused brittle deformation. Geometry and orientation of both vein sets indicate two main episodes of emplacement of ore related to a progressive wrench movement in response to an counterclockwise rotation of the regional stress axes. Both veins sets are filled by quartz and sulfides in three stages: an early arsenopyrite-pyrite stage with fine-grained quartz, a sphalerite-Pb, Sb sulfosalt-native gold stage with comb quartz, and a late stibnite-berthierite stage with comb quartz. Combined fluid inclusion and stable isotope studies on quartz, muscovite, and sulfides reveal that the three stages result from the continuous evolution of a deep-seated hydrothermal system in which the latest stages mixed with meteoric water. These data argue for cooling and a pressure drop during ore deposition and indicate a shallow level of emplacement for Sb-Au veins. A comparison of the Biards deposits with other upper Paleozoic gold and antimony deposits in the Massif Central, the western Variscides, and elsewhere in the world illustrates their common association with crustal-scale, strike-slip shear zones. The Upper Carboniferous age (305-300 Ma) of the Sb-Au deposits indicates that they formed during the early stages of the postthickening extension of the Variscan lithosphere. Sb-Au-bearing strike-slip shear zones resulted from the late Variscan crustal collapse guided by the very large scale dextral shearing between central Europe, northern Africa, and the northern Appalachians, and associated with the opening of the paleo-Tethys and the closing of the Theic ocean during the late Paleozoic Gondwana-Laurasia translation.","container-title":"Economic Geology","DOI":"10.2113/gsecongeo.98.7.1427","ISSN":"03610128","issue":"7","page":"1427-1447","title":"The biards Sb-Au-bearing shear zone (Massif Central, France): An indicator of crustal-scale transcurrent tectonic guiding Late Variscan Collapse","volume":"98","author":[{"family":"Bellot","given":"Jean Philippe"},{"family":"Lerouge","given":"Catherine"},{"family":"Bailly","given":"Laurent"},{"family":"Bouchot","given":"Vincent"}],"issued":{"date-parts":[["2003"]]},"citation-key":"Bellot_etal.2003_BiardsSbAubearingShear"}}],"schema":"https://github.com/citation-style-language/schema/raw/master/csl-citation.json"} </w:instrText>
      </w:r>
      <w:r w:rsidRPr="00B46872">
        <w:rPr>
          <w:rFonts w:cs="Times New Roman"/>
        </w:rPr>
        <w:fldChar w:fldCharType="separate"/>
      </w:r>
      <w:r w:rsidR="00194796" w:rsidRPr="00194796">
        <w:rPr>
          <w:rFonts w:cs="Times New Roman"/>
          <w:kern w:val="0"/>
          <w:vertAlign w:val="superscript"/>
        </w:rPr>
        <w:t>6,7</w:t>
      </w:r>
      <w:r w:rsidRPr="00B46872">
        <w:rPr>
          <w:rFonts w:cs="Times New Roman"/>
        </w:rPr>
        <w:fldChar w:fldCharType="end"/>
      </w:r>
      <w:r w:rsidRPr="00B46872">
        <w:rPr>
          <w:rFonts w:cs="Times New Roman"/>
        </w:rPr>
        <w:t xml:space="preserve">. The composition of arsenopyrite can be utilized in buffered assemblages as a cationic geothermometer following </w:t>
      </w:r>
      <w:r w:rsidRPr="00B46872">
        <w:rPr>
          <w:rFonts w:cs="Times New Roman"/>
        </w:rPr>
        <w:fldChar w:fldCharType="begin"/>
      </w:r>
      <w:r w:rsidR="00194796">
        <w:rPr>
          <w:rFonts w:cs="Times New Roman"/>
        </w:rPr>
        <w:instrText xml:space="preserve"> ADDIN ZOTERO_ITEM CSL_CITATION {"citationID":"GAhUZOJT","properties":{"formattedCitation":"\\super 8\\nosupersub{}","plainCitation":"8","noteIndex":0},"citationItems":[{"id":642,"uris":["http://zotero.org/users/10529844/items/SCCDFAXR"],"itemData":{"id":642,"type":"article-journal","abstract":"Subsolidus recrystallization experiments in the system Fe-As-S have been carried out using dry, eutectic, halide fluxes to speed reaction mtes. At 300'C the composition range of arsenopyrite extends from less than 3O at % As in equilibrium with pyrite and arsenic to approximately 33.5 at.% As in equilibrium with pyrrhotite and loellingite. At 700\"C arsenopyrite contains approximately 38.5 at. % As irrespective of the assemblage in which it is synthesized. The As-content of arsenopyrite may be obtained from its d131 and the equation: At. % arsenic = 866.67 d131-1381.12 Microprobe analysesshow that natural arsenopyrite crystals coexistingwith pyrrhotite, pyrite or pyritefpyrrhotite are commonly zoned with a Sirich center and an As-rich rim. The zoning in arsenopyrite from As-rich environments is in the opposite sense. At preseDt, the most reasonable explanation is that the zoning reflects local disequilibrium during growth. However, the overall compositional limits of natural arsenopyrites are dependent on the coexisting Fe-As-S minerals and these limits correspond very well with compositional limits determined experimentally. Because of its refractory nature, arsenopyrite does not readily re&lt;quilibrate on cooling and its composition rcflects formation temperature provided an estimate of the sulfur activity prevailing at deposition can be made from the coexisting minerals. The results of high-pressure experiments were not conclusive, but taken in conjunction with calculations and the composition of arsenopyrite from metamorphosed ore deposits, they suggest that tlte effect of confining pressure is much smaller than ind:icated by Clark (1960c) and that arsenopyrite is unlikely to be a useful geobarometer.","container-title":"Iraduit par le journal","note":"ISBN: 0008-4476, 0008-4476","page":"364-386","title":"Phase relations involving arsenopyrite in the system Fe-As-S and their application","volume":"14","author":[{"family":"Kretschmar","given":"Ulrich"},{"family":"Scott","given":"S D"}],"issued":{"date-parts":[["1976"]]},"citation-key":"Kretschmar_Scott.1976_PhaseRelationsInvolving"}}],"schema":"https://github.com/citation-style-language/schema/raw/master/csl-citation.json"} </w:instrText>
      </w:r>
      <w:r w:rsidRPr="00B46872">
        <w:rPr>
          <w:rFonts w:cs="Times New Roman"/>
        </w:rPr>
        <w:fldChar w:fldCharType="separate"/>
      </w:r>
      <w:r w:rsidR="00194796" w:rsidRPr="00194796">
        <w:rPr>
          <w:rFonts w:cs="Times New Roman"/>
          <w:kern w:val="0"/>
          <w:vertAlign w:val="superscript"/>
        </w:rPr>
        <w:t>8</w:t>
      </w:r>
      <w:r w:rsidRPr="00B46872">
        <w:rPr>
          <w:rFonts w:cs="Times New Roman"/>
        </w:rPr>
        <w:fldChar w:fldCharType="end"/>
      </w:r>
      <w:r w:rsidRPr="00B46872">
        <w:rPr>
          <w:rFonts w:cs="Times New Roman"/>
        </w:rPr>
        <w:t xml:space="preserve"> and later modified by </w:t>
      </w:r>
      <w:r w:rsidRPr="00B46872">
        <w:rPr>
          <w:rFonts w:cs="Times New Roman"/>
        </w:rPr>
        <w:fldChar w:fldCharType="begin"/>
      </w:r>
      <w:r w:rsidR="00194796">
        <w:rPr>
          <w:rFonts w:cs="Times New Roman"/>
        </w:rPr>
        <w:instrText xml:space="preserve"> ADDIN ZOTERO_ITEM CSL_CITATION {"citationID":"xs6QV2XW","properties":{"formattedCitation":"\\super 9\\nosupersub{}","plainCitation":"9","noteIndex":0},"citationItems":[{"id":645,"uris":["http://zotero.org/users/10529844/items/HTLVEF9V"],"itemData":{"id":645,"type":"article-journal","container-title":"AGU 1984 spring meeting.","note":"issue: 65; 16","page":"290","title":"A reexamination of the arsenopyrite geothermometer/ geobarometer; pressure considerations and corrections","volume":"23","author":[{"family":"Sharp","given":"Zachary D"},{"family":"Essene","given":"Eric J"},{"family":"Kelly","given":"William C"}],"issued":{"date-parts":[["1984"]]},"citation-key":"Sharp_etal.1984_ReexaminationArsenopyriteGeothermometer"}}],"schema":"https://github.com/citation-style-language/schema/raw/master/csl-citation.json"} </w:instrText>
      </w:r>
      <w:r w:rsidRPr="00B46872">
        <w:rPr>
          <w:rFonts w:cs="Times New Roman"/>
        </w:rPr>
        <w:fldChar w:fldCharType="separate"/>
      </w:r>
      <w:r w:rsidR="00194796" w:rsidRPr="00194796">
        <w:rPr>
          <w:rFonts w:cs="Times New Roman"/>
          <w:kern w:val="0"/>
          <w:vertAlign w:val="superscript"/>
        </w:rPr>
        <w:t>9</w:t>
      </w:r>
      <w:r w:rsidRPr="00B46872">
        <w:rPr>
          <w:rFonts w:cs="Times New Roman"/>
        </w:rPr>
        <w:fldChar w:fldCharType="end"/>
      </w:r>
      <w:r w:rsidRPr="00B46872">
        <w:rPr>
          <w:rFonts w:cs="Times New Roman"/>
        </w:rPr>
        <w:t xml:space="preserve"> . In Ichinokawa euhedral-arsenopyrite and pyrite disseminated on the matrix of the bx-2. The core-to-rim measurements show that arsenopyrite’s chemical composition spans from 26 to 30 atomic percent of arsenic (As) (At%). Assuming that the arsenopyrites are at equilibrium with pyrite as buffered assemblages, the calculated temperatures are in the range of &lt;300°C to 360°C (Supplementary Fig. </w:t>
      </w:r>
      <w:r w:rsidR="00E05F3E">
        <w:rPr>
          <w:rFonts w:cs="Times New Roman"/>
        </w:rPr>
        <w:t>6</w:t>
      </w:r>
      <w:r w:rsidRPr="00B46872">
        <w:rPr>
          <w:rFonts w:cs="Times New Roman"/>
        </w:rPr>
        <w:t>a</w:t>
      </w:r>
      <w:r w:rsidR="00E05F3E">
        <w:rPr>
          <w:rFonts w:cs="Times New Roman"/>
        </w:rPr>
        <w:t>-c</w:t>
      </w:r>
      <w:r w:rsidRPr="00B46872">
        <w:rPr>
          <w:rFonts w:cs="Times New Roman"/>
        </w:rPr>
        <w:t xml:space="preserve"> and Table. </w:t>
      </w:r>
      <w:r w:rsidR="008E39F3">
        <w:rPr>
          <w:rFonts w:cs="Times New Roman"/>
        </w:rPr>
        <w:t>2</w:t>
      </w:r>
      <w:r w:rsidRPr="00B46872">
        <w:rPr>
          <w:rFonts w:cs="Times New Roman"/>
        </w:rPr>
        <w:t xml:space="preserve">). We consider the onset of breccia-2 (bx-2) formation to be around that temperature and it influences the physicochemical condition of the fluid afterward. An attempt to measure the titanium content in quartz-matrix was also conducted, however, no titanium was detected indicating that this particular quartz precipitate at a temperature under 514°C corresponds to titanium concentration less than 7ppm </w:t>
      </w:r>
      <w:r w:rsidRPr="00B46872">
        <w:rPr>
          <w:rFonts w:cs="Times New Roman"/>
        </w:rPr>
        <w:fldChar w:fldCharType="begin"/>
      </w:r>
      <w:r w:rsidR="00194796">
        <w:rPr>
          <w:rFonts w:cs="Times New Roman"/>
        </w:rPr>
        <w:instrText xml:space="preserve"> ADDIN ZOTERO_ITEM CSL_CITATION {"citationID":"kO1jqnsp","properties":{"formattedCitation":"\\super 10,11\\nosupersub{}","plainCitation":"10,11","noteIndex":0},"citationItems":[{"id":367,"uris":["http://zotero.org/users/10529844/items/8MFD8JNJ"],"itemData":{"id":367,"type":"article-journal","abstract":"Petrological and fluid inclusion data were used to characterize multiple generations of veins within the Erdenet Cu–Mo deposit, Mongolia, and constrain the evolution of fluids within the magmatic–hydrothermal system. Three types of veins are present (from early to late): quartz–molybdenite, quartz–pyrite, and quartz. The host rock was emplaced at temperatures of 700–750◦C, the first quartz was precipitated from magma-derived supercritical fluids at 650–700◦C, quartz–molybdenite and quartz–pyrite veins were formed at ~600◦C, and the quartz veins were precipitated in response to retrograde silica solubility caused by decreasing temperatures at &lt;500◦C. We infer that over-pressured fluid beneath the cupola caused localized fluid injection, or that accumulated stress caused ruptures and earthquakes related to sector collapse; these events disrupted impermeable layers and allowed fluids to percolate through weakened zones.","container-title":"Geosciences (Switzerland)","DOI":"10.3390/geosciences10050201","ISSN":"20763263","issue":"5","title":"Transport and evolution of supercritical fluids during the formation of the erdenet CU–MO deposit, Mongolia","volume":"10","author":[{"family":"Agroli","given":"Geri"},{"family":"Okamoto","given":"Atsushi"},{"family":"Uno","given":"Masaoki"},{"family":"Tsuchiya","given":"Noriyoshi"}],"issued":{"date-parts":[["2020"]]},"citation-key":"Agroli_etal.2020_TransportEvolutionSupercritical"}},{"id":47,"uris":["http://zotero.org/users/10529844/items/QUGZFV7X"],"itemData":{"id":47,"type":"article-journal","abstract":"Titanium is one of many trace elements to substitute for silicon in the mineral quartz. Here, we describe the temperature dependence of that substitution, in the form of a new geothermometer. To calibrate the \"TitaniQ\" thermometer, we synthesized quartz in the presence of rutile and either aqueous fluid or hydrous silicate melt, at temperatures ranging from 600 to 1,000 degrees C, at 1.0 GPa. The Ti contents of quartz (in ppm by weight) from 13 experiments increase exponentially with reciprocal T as described by: Log(X(Ti)(qtz)) = (5.69 +/- 0.02) - (3765 +/- 24)/T(K). Application of this thermometer is straightforward, typically requiring analysis of only one phase (quartz). This can be accomplished either by EPMA for crystallization temperatures above 600 degrees C, or by SIMS for temperatures down to at least 400 degrees. Resulting temperature estimates are very precise (usually better than +/- 5 degrees C), potentially allowing detailed characterization of thermal histories within individual quartz grains. Although calibrated for quartz crystallized in the presence of rutile, the thermometer can also be applied to rutile-absent systems if TiO(2) activity is constrained.","container-title":"Contributions to Mineralogy and Petrology","DOI":"10.1007/s00410-006-0132-1","ISSN":"00107999","issue":"6","note":"ISBN: 0010-7999","page":"743-754","title":"TitaniQ: A titanium-in-quartz geothermometer","volume":"152","author":[{"family":"Wark","given":"David A."},{"family":"Watson","given":"E. Bruce"}],"issued":{"date-parts":[["2006"]]},"citation-key":"Wark_Watson.2006_TitaniQTitaniuminquartzGeothermometer"}}],"schema":"https://github.com/citation-style-language/schema/raw/master/csl-citation.json"} </w:instrText>
      </w:r>
      <w:r w:rsidRPr="00B46872">
        <w:rPr>
          <w:rFonts w:cs="Times New Roman"/>
        </w:rPr>
        <w:fldChar w:fldCharType="separate"/>
      </w:r>
      <w:r w:rsidR="00194796" w:rsidRPr="00194796">
        <w:rPr>
          <w:rFonts w:cs="Times New Roman"/>
          <w:kern w:val="0"/>
          <w:vertAlign w:val="superscript"/>
        </w:rPr>
        <w:t>10,11</w:t>
      </w:r>
      <w:r w:rsidRPr="00B46872">
        <w:rPr>
          <w:rFonts w:cs="Times New Roman"/>
        </w:rPr>
        <w:fldChar w:fldCharType="end"/>
      </w:r>
      <w:r w:rsidRPr="00B46872">
        <w:rPr>
          <w:rFonts w:cs="Times New Roman"/>
        </w:rPr>
        <w:t>, and It is consistent with our arsenopyrite geothermometer.</w:t>
      </w:r>
    </w:p>
    <w:p w14:paraId="2F072637" w14:textId="27C6A5E4" w:rsidR="0042778D" w:rsidRPr="00B46872" w:rsidRDefault="0042778D" w:rsidP="00585562">
      <w:pPr>
        <w:pStyle w:val="BodyText"/>
        <w:spacing w:line="480" w:lineRule="auto"/>
        <w:jc w:val="both"/>
        <w:rPr>
          <w:rFonts w:cs="Times New Roman"/>
        </w:rPr>
      </w:pPr>
      <w:r w:rsidRPr="00B46872">
        <w:rPr>
          <w:rFonts w:cs="Times New Roman"/>
        </w:rPr>
        <w:t>Fluid inclusion (FI) was performed on euhedral quartz and barely from syntaxial quartz of the Sb- bearing vein</w:t>
      </w:r>
      <w:r w:rsidR="0077074F">
        <w:rPr>
          <w:rFonts w:cs="Times New Roman"/>
        </w:rPr>
        <w:t xml:space="preserve"> </w:t>
      </w:r>
      <w:r w:rsidR="0077074F" w:rsidRPr="00B46872">
        <w:rPr>
          <w:rFonts w:cs="Times New Roman"/>
        </w:rPr>
        <w:t xml:space="preserve">(Supplementary Fig. </w:t>
      </w:r>
      <w:r w:rsidR="008E39F3">
        <w:rPr>
          <w:rFonts w:cs="Times New Roman"/>
        </w:rPr>
        <w:t>5</w:t>
      </w:r>
      <w:r w:rsidR="0077074F">
        <w:rPr>
          <w:rFonts w:cs="Times New Roman"/>
        </w:rPr>
        <w:t>d</w:t>
      </w:r>
      <w:r w:rsidR="0077074F" w:rsidRPr="00B46872">
        <w:rPr>
          <w:rFonts w:cs="Times New Roman"/>
        </w:rPr>
        <w:t>)</w:t>
      </w:r>
      <w:r w:rsidRPr="00B46872">
        <w:rPr>
          <w:rFonts w:cs="Times New Roman"/>
        </w:rPr>
        <w:t>. The measurement tries to encompass the multiple quartz generation as we mentioned above, yet the inclusion size &lt;2 µm on average makes it more challenging to tie CL-image and FI therefore, we assess the inclusion according to the relative position of core or rim. The FI has elongated and sub-rounded assemblages consisting of vapor and liquid phases of H</w:t>
      </w:r>
      <w:r w:rsidRPr="00B46872">
        <w:rPr>
          <w:rFonts w:cs="Times New Roman"/>
          <w:vertAlign w:val="subscript"/>
        </w:rPr>
        <w:t>2</w:t>
      </w:r>
      <w:r w:rsidRPr="00B46872">
        <w:rPr>
          <w:rFonts w:cs="Times New Roman"/>
        </w:rPr>
        <w:t xml:space="preserve">O (Supplementary Fig. </w:t>
      </w:r>
      <w:r w:rsidR="000E539F">
        <w:rPr>
          <w:rFonts w:cs="Times New Roman"/>
        </w:rPr>
        <w:t>5</w:t>
      </w:r>
      <w:r w:rsidR="0077074F">
        <w:rPr>
          <w:rFonts w:cs="Times New Roman"/>
        </w:rPr>
        <w:t>e</w:t>
      </w:r>
      <w:r w:rsidRPr="00B46872">
        <w:rPr>
          <w:rFonts w:cs="Times New Roman"/>
        </w:rPr>
        <w:t>).</w:t>
      </w:r>
    </w:p>
    <w:p w14:paraId="62BCB91A" w14:textId="622D75B0" w:rsidR="00A8438E" w:rsidRDefault="0042778D" w:rsidP="00585562">
      <w:pPr>
        <w:pStyle w:val="BodyText"/>
        <w:spacing w:line="480" w:lineRule="auto"/>
        <w:jc w:val="both"/>
        <w:rPr>
          <w:rFonts w:cs="Times New Roman"/>
        </w:rPr>
      </w:pPr>
      <w:r w:rsidRPr="00B46872">
        <w:rPr>
          <w:rFonts w:cs="Times New Roman"/>
        </w:rPr>
        <w:t>Based on Raman analysis, the liquid and vapor have broad peak intensities of 3100-3600 cm</w:t>
      </w:r>
      <w:r w:rsidRPr="00B46872">
        <w:rPr>
          <w:rFonts w:cs="Times New Roman"/>
          <w:vertAlign w:val="superscript"/>
        </w:rPr>
        <w:t xml:space="preserve">−1 </w:t>
      </w:r>
      <w:r w:rsidRPr="00B46872">
        <w:rPr>
          <w:rFonts w:cs="Times New Roman"/>
        </w:rPr>
        <w:t>corresponding to water. The vapor contains a small amount of CO</w:t>
      </w:r>
      <w:r w:rsidRPr="00B46872">
        <w:rPr>
          <w:rFonts w:cs="Times New Roman"/>
          <w:vertAlign w:val="subscript"/>
        </w:rPr>
        <w:t>2</w:t>
      </w:r>
      <w:r w:rsidRPr="00B46872">
        <w:rPr>
          <w:rFonts w:cs="Times New Roman"/>
        </w:rPr>
        <w:t xml:space="preserve">, this is also suggested petrographically by the presence of darker color at the rim of the bubble (Supplementary Fig. </w:t>
      </w:r>
      <w:r w:rsidR="000E539F">
        <w:rPr>
          <w:rFonts w:cs="Times New Roman"/>
        </w:rPr>
        <w:t>5</w:t>
      </w:r>
      <w:r w:rsidR="00420C5E">
        <w:rPr>
          <w:rFonts w:cs="Times New Roman"/>
        </w:rPr>
        <w:t>f</w:t>
      </w:r>
      <w:r w:rsidRPr="00B46872">
        <w:rPr>
          <w:rFonts w:cs="Times New Roman"/>
        </w:rPr>
        <w:t xml:space="preserve">). </w:t>
      </w:r>
      <w:r w:rsidRPr="00B46872">
        <w:rPr>
          <w:rFonts w:cs="Times New Roman"/>
        </w:rPr>
        <w:lastRenderedPageBreak/>
        <w:t xml:space="preserve">According to the </w:t>
      </w:r>
      <w:proofErr w:type="spellStart"/>
      <w:r w:rsidRPr="00B46872">
        <w:rPr>
          <w:rFonts w:cs="Times New Roman"/>
        </w:rPr>
        <w:t>microthermometry</w:t>
      </w:r>
      <w:proofErr w:type="spellEnd"/>
      <w:r w:rsidRPr="00B46872">
        <w:rPr>
          <w:rFonts w:cs="Times New Roman"/>
        </w:rPr>
        <w:t xml:space="preserve"> analysis, the homogenization temperature (Th) of core-area is span around 221 to 325°C and the rim side is in the range of 115-183°C. A limited amount of ice melting temperature (Tm) was obtained yielding the temperature of -5.7 to -1.2°C which corresponds to salinity </w:t>
      </w:r>
      <w:r w:rsidRPr="00B46872">
        <w:rPr>
          <w:rFonts w:ascii="Cambria Math" w:hAnsi="Cambria Math" w:cs="Cambria Math"/>
        </w:rPr>
        <w:t>∼</w:t>
      </w:r>
      <w:r w:rsidRPr="00B46872">
        <w:rPr>
          <w:rFonts w:cs="Times New Roman"/>
        </w:rPr>
        <w:t>2 to 8.8wt% (NaCl eq.) respectively (</w:t>
      </w:r>
      <w:r w:rsidR="00420C5E" w:rsidRPr="00B46872">
        <w:rPr>
          <w:rFonts w:cs="Times New Roman"/>
        </w:rPr>
        <w:t xml:space="preserve">Supplementary Fig. </w:t>
      </w:r>
      <w:r w:rsidR="00185D2D">
        <w:rPr>
          <w:rFonts w:cs="Times New Roman"/>
        </w:rPr>
        <w:t>5</w:t>
      </w:r>
      <w:r w:rsidR="00227235">
        <w:rPr>
          <w:rFonts w:cs="Times New Roman"/>
        </w:rPr>
        <w:t>g</w:t>
      </w:r>
      <w:r w:rsidR="00420C5E" w:rsidRPr="00B46872">
        <w:rPr>
          <w:rFonts w:cs="Times New Roman"/>
        </w:rPr>
        <w:t xml:space="preserve"> </w:t>
      </w:r>
      <w:r w:rsidRPr="00B46872">
        <w:rPr>
          <w:rFonts w:cs="Times New Roman"/>
        </w:rPr>
        <w:t xml:space="preserve">and Table. </w:t>
      </w:r>
      <w:r w:rsidR="008E39F3">
        <w:rPr>
          <w:rFonts w:cs="Times New Roman"/>
        </w:rPr>
        <w:t>3</w:t>
      </w:r>
      <w:r w:rsidRPr="00B46872">
        <w:rPr>
          <w:rFonts w:cs="Times New Roman"/>
        </w:rPr>
        <w:t>).</w:t>
      </w:r>
    </w:p>
    <w:p w14:paraId="0508BF80" w14:textId="77777777" w:rsidR="00A8438E" w:rsidRDefault="00A8438E">
      <w:pPr>
        <w:rPr>
          <w:rFonts w:ascii="Times New Roman" w:eastAsia="Noto Sans CJK JP" w:hAnsi="Times New Roman" w:cs="Times New Roman"/>
          <w:sz w:val="24"/>
          <w:szCs w:val="24"/>
          <w14:ligatures w14:val="none"/>
        </w:rPr>
      </w:pPr>
      <w:r>
        <w:rPr>
          <w:rFonts w:cs="Times New Roman"/>
        </w:rPr>
        <w:br w:type="page"/>
      </w:r>
    </w:p>
    <w:p w14:paraId="3BA74DD1" w14:textId="77777777" w:rsidR="00A8438E" w:rsidRDefault="00A8438E" w:rsidP="00A8438E">
      <w:pPr>
        <w:pStyle w:val="Heading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Characteristics of </w:t>
      </w:r>
      <w:r w:rsidRPr="009A3472">
        <w:rPr>
          <w:rFonts w:ascii="Times New Roman" w:hAnsi="Times New Roman" w:cs="Times New Roman"/>
          <w:b/>
          <w:bCs/>
          <w:color w:val="auto"/>
          <w:sz w:val="28"/>
          <w:szCs w:val="28"/>
        </w:rPr>
        <w:t>stibnite mineralization in Ichinokawa</w:t>
      </w:r>
    </w:p>
    <w:p w14:paraId="1C612D3C" w14:textId="77777777" w:rsidR="00A8438E" w:rsidRDefault="00A8438E" w:rsidP="00585562">
      <w:pPr>
        <w:pStyle w:val="BodyText"/>
        <w:spacing w:line="480" w:lineRule="auto"/>
        <w:jc w:val="both"/>
      </w:pPr>
      <w:r>
        <w:t xml:space="preserve">The occurrence of Ichinokawa breccia has been subjected to a long history of stibnite mines. Visible stibnite is mainly found near the mine area either the </w:t>
      </w:r>
      <w:proofErr w:type="spellStart"/>
      <w:r>
        <w:t>adit</w:t>
      </w:r>
      <w:proofErr w:type="spellEnd"/>
      <w:r>
        <w:t xml:space="preserve"> or mine tail, here pelitic schist or breccia with size boulder to pebbles contains stibnite vein. Unfortunately, we can’t encounter an Sb-related outcrop. In our three sampling points, stibnite most likely occurs in two mineralization styles. First is stibnite deposited parallel with schistosity or lineation of pelitic schist accompanied by the presence of yellowish mineral and relatively porous with a vivid void spread through the sample (Supplementary Fig. 6a). The second occurrence and the most common one is stibnite presents as a veinlet within the breccia this veinlet truncates both breccia (bx1 and bx-2) and intact pelitic schist, and later we consider stibnite as the last product of fluid evolution in Ichinokawa (Supplementary Fig. 6b).</w:t>
      </w:r>
    </w:p>
    <w:p w14:paraId="57111643" w14:textId="77777777" w:rsidR="00A8438E" w:rsidRDefault="00A8438E" w:rsidP="00585562">
      <w:pPr>
        <w:pStyle w:val="BodyText"/>
        <w:spacing w:line="480" w:lineRule="auto"/>
        <w:jc w:val="both"/>
      </w:pPr>
      <w:r>
        <w:t xml:space="preserve">The more details observation of stibnite veinlet indicates that stibnite deposition is accompanied by occurrences of needle-quartz crystals or bipyramidal quartz </w:t>
      </w:r>
      <w:r>
        <w:fldChar w:fldCharType="begin"/>
      </w:r>
      <w:r>
        <w:instrText xml:space="preserve"> ADDIN ZOTERO_ITEM CSL_CITATION {"citationID":"o05KDatU","properties":{"formattedCitation":"\\super 1,2\\nosupersub{}","plainCitation":"1,2","noteIndex":0},"citationItems":[{"id":292,"uris":["http://zotero.org/users/10529844/items/N9Z667ZL"],"itemData":{"id":292,"type":"article-journal","abstract":"Syntaxial quartz veins were synthesized by hydrothermal flow-through experiments using rock blocks (metachert, sandstone, and granite) containing slits. Based on analyses of vein textures using birefringence imaging microscopy, we identified two stages of crystal growth. During stage 1, quartz grain growth occurs without an increase in grain width. During stage 2, quartz grains develop facets and grow preferentially parallel to the c-axis orientation, and the aspect ratio of quartz grains shifts toward </w:instrText>
      </w:r>
      <w:r>
        <w:rPr>
          <w:rFonts w:ascii="Cambria Math" w:hAnsi="Cambria Math" w:cs="Cambria Math"/>
        </w:rPr>
        <w:instrText>∼</w:instrText>
      </w:r>
      <w:r>
        <w:instrText xml:space="preserve">2.9. Competitive growth occurs significantly at stage 2, and the transition from stage 1-2 occurs at a critical distance from the vein wall, being approximately equal to the host-rock grain size. Crystal growth in the slits produce various textures controlled by the ratio of slit aperture (H) to host-rock grain size (d). In high H/d cracks, elongate-blocky texture develops by grain impingement during stage 2, whereas in low H/d cracks, crystals that bridge the crack form without competitive growth by grain impingement at stage 1. Heterogeneous structures of fracture porosity are produced during syntaxial vein formation, due to the anisotropy in the growth rate of quartz. Such \"incompletely sealed\" cracks may act as important fluid pathways and as weak planes in the upper crust. © 2011 Elsevier Ltd.","container-title":"Journal of Structural Geology","DOI":"10.1016/j.jsg.2011.10.004","ISSN":"01918141","issue":"12","note":"publisher: Pergamon","page":"1764-1775","title":"Textures of syntaxial quartz veins synthesized by hydrothermal experiments","volume":"33","author":[{"family":"Okamoto","given":"Atsushi"},{"family":"Sekine","given":"Kotaro"}],"issued":{"date-parts":[["2011",12,1]]},"citation-key":"Okamoto_Sekine.2011_TexturesSyntaxialQuartz"}},{"id":15,"uris":["http://zotero.org/users/10529844/items/DZN28IKR"],"itemData":{"id":15,"type":"article-journal","abstract":"Quartz phenocrysts and xenocrysts are a common component of volcanic rocks but rarely contribute to our understanding of magmatic or eruptive processes due to an apparent internal chemical and structural homogeneity. Scanning electron microscopy cathodoluminescence imaging (SEM-CL) and secondary ion mass spectroscopy (ion microprobe) analysis (SIMS) are used here to demonstrate that quartz crystals in volcanic rocks show hitherto unrecognised internal structural and chemical zoning. Two contrasting crystal morphologies have been studied. Porphyritic euhedral bipyramidal quartz crystals in dacite from Bonne Nuit Bay, Jersey, UK show fine-scale growth zoning in SEM-CL. Zones are narrow (1–40 μm wide), planar, parallel to crystal faces, and overgrow more broadly zoned, rounded cores. These crystals are interpreted to have formed at small degrees of undercooling by diffusion-controlled growth. Quiescent magma conditions are indicated by the preservation of an Al-rich diffusive boundary layer which has not been removed by melt shearing during convection. In contrast, rounded and embayed porphyritic quartz grains in a quartz dacite from the Esperanza Mine, E1 Salvador, northern Chile show broad internal SEM-CL zones with irregular boundaries, some of which are truncated by grain margins indicating dissolution. Crystal rounding may occur by dissolution or melting due to thermal or thermal-chemical disequilibrium with surrounding melt, and embayments by gas bubble enhanced convective dissolution are consistent with the development of incipient ocelli textures (strings of amphibole inclusions adjacent to quartz rims). Several episodes of rounding can be recognised in some xenocrysts. Ion microprobe (SIMS) analysis of quartz from both samples shows that A1 contents are higher in areas of bright CL emission. Previous studies of CL in quartz have suggested that several factors control luminescence. Although A1 substitution for Si in SiO4 tetrahedra may be partly responsible for SEM-CL zoning recorded in volcanic quartz, additional mechanisms (including the effect of growth rate on defect density) probably also play a major role.","container-title":"Geochimica et Cosmochimica Acta","DOI":"10.1016/S0016-7037(97)00248-2","ISSN":"0016-7037","issue":"20","journalAbbreviation":"Geochimica et Cosmochimica Acta","language":"en","page":"4337-4348","source":"ScienceDirect","title":"Cathodoluminescence and trace element zoning in quartz phenocrysts and xenocrysts","volume":"61","author":[{"family":"Watt","given":"Gordon R."},{"family":"Wright","given":"Paul"},{"family":"Galloway","given":"Simon"},{"family":"McLean","given":"Chris"}],"issued":{"date-parts":[["1997",10,1]]},"citation-key":"Watt_etal.1997_CathodoluminescenceTraceElement"}}],"schema":"https://github.com/citation-style-language/schema/raw/master/csl-citation.json"} </w:instrText>
      </w:r>
      <w:r>
        <w:fldChar w:fldCharType="separate"/>
      </w:r>
      <w:r w:rsidRPr="00194796">
        <w:rPr>
          <w:rFonts w:cs="Times New Roman"/>
          <w:kern w:val="0"/>
          <w:vertAlign w:val="superscript"/>
        </w:rPr>
        <w:t>1,2</w:t>
      </w:r>
      <w:r>
        <w:fldChar w:fldCharType="end"/>
      </w:r>
      <w:r>
        <w:t xml:space="preserve">. Quartz crystals grow in two different styles (Supplementary Fig. 6c). The initial quartz grows as syntaxial quartz from the vein wall (as substrate) to the center of the vein and perfect individual doubly terminated crystal (euhedral) quartz floating in the surrounding in close association with stibnite crystals appears as a filling of veinlets and cavities, postdating arsenopyrite. Cathodoluminescence shows that syntaxial quartz has a low luminosity (CL-Dark) with no zoning, in contrast, the euhedral quartz has three distinct textures representing different quartz generations from core to rim (Supplementary Fig. 5d) (the schematic figure). The earliest stage (qtz-a) has bright luminescence with zoning and dissolution texture observed in the rim part. The second stage (qtz-b) has a CL-Gray texture with less zoning area compared to qtz-a, they often occur as inclusion within the core of qtz-a. And the last stages (qtz-c) show the lowest CL intensity with clear oscillatory zoning, they evenly intruded through prior deposited quartz (qtz-a and qtz-b). The plausible fluctuation of P-T of the fluid can lead to abrupt dissolution and precipitation of quartz under hydrothermal conditions </w:t>
      </w:r>
      <w:r>
        <w:fldChar w:fldCharType="begin"/>
      </w:r>
      <w:r>
        <w:instrText xml:space="preserve"> ADDIN ZOTERO_ITEM CSL_CITATION {"citationID":"xqN49mOT","properties":{"formattedCitation":"\\super 3\\uc0\\u8211{}5\\nosupersub{}","plainCitation":"3–5","noteIndex":0},"citationItems":[{"id":31,"uris":["http://zotero.org/users/10529844/items/6GZYSPII"],"itemData":{"id":31,"type":"article-journal","abstract":"We conducted hydrothermal flow-through experiments at 430°C and 31MPa to investigate the mechanism of silica precipitation on granite under crustal conditions. Two experiments were performed using different input solutions: a single-component Si solution, and a multi-component solution with minor Al, Na, and K. The degree of supersaturation with respect to quartz, Ω=CSi/CSi,Qtz,eq, where CSi and CSi,Qtz,eq indicate Si concentration in solutions and the solubility of quartz within water, respectively, decreased from 3-3.5 to &lt;1.1 along the flow path. A variety of silica minerals formed during the experiments (opal-A, opal-C, chalcedony, and quartz), and their occurrences and modal abundances changed in response to Ω and the presence of additives in the solution.For near-equilibrium solutions (Ω&lt; </w:instrText>
      </w:r>
      <w:r>
        <w:rPr>
          <w:rFonts w:ascii="Cambria Math" w:hAnsi="Cambria Math" w:cs="Cambria Math"/>
        </w:rPr>
        <w:instrText>∼</w:instrText>
      </w:r>
      <w:r>
        <w:instrText xml:space="preserve">1.2), silica precipitation occurred in a simple way in both experiments, being restricted to overgrowths on pre-existing quartz surfaces in the granite. At higher saturation levels (Ω&gt; </w:instrText>
      </w:r>
      <w:r>
        <w:rPr>
          <w:rFonts w:ascii="Cambria Math" w:hAnsi="Cambria Math" w:cs="Cambria Math"/>
        </w:rPr>
        <w:instrText>∼</w:instrText>
      </w:r>
      <w:r>
        <w:instrText xml:space="preserve">1.2), silica minerals were deposited on other surfaces in addition to quartz. In the single-component experiment, the dominant silica minerals changed in the order of opal-A → opal-C → quartz with decreasing Si concentration along the flow path. In contrast, in the multi-component experiment, quartz and minor chalcedony formed throughout the entire reaction vessel. This finding indicates that impurities (Na, K, and Al) in the solutions inhibited the precipitation of opal and enhanced the direct nucleation of quartz. The systematic appearance of metastable silica minerals were examined by nucleation processes and macroscopic precipitation kinetics. Our experimental results indicate that different precipitation mechanisms yield contrasting textures, which in turn suggests that vein textures can be used as indicators of solution chemistry within the fracture. © 2010 Elsevier Ltd.","container-title":"Geochimica et Cosmochimica Acta","DOI":"10.1016/j.gca.2010.03.031","ISSN":"00167037","issue":"13","note":"publisher: Elsevier Ltd\nISBN: 0016-7037","page":"3692-3706","title":"Mineralogical and textural variation of silica minerals in hydrothermal flow-through experiments: Implications for quartz vein formation","volume":"74","author":[{"family":"Okamoto","given":"Atsushi"},{"family":"Saishu","given":"Hanae"},{"family":"Hirano","given":"Nobuo"},{"family":"Tsuchiya","given":"Noriyoshi"}],"issued":{"date-parts":[["2010"]]},"citation-key":"Okamoto_etal.2010_MineralogicalTexturalVariation"}},{"id":35,"uris":["http://zotero.org/users/10529844/items/2KLU7HLV"],"itemData":{"id":35,"type":"article-journal","abstract":"Scanning electron microscope-cathodoluminescence (SEM-CL) analysis of quartz reveals textures that cannot be observed using optical microscopy or backscattered electrons. These cryptic textures yield insight into timing and physical conditions of quartz growth, especially in environments with multiple quartz-precipitation events. Hydrothermal quartz from quartz-sulfide veins in the porphyry copper deposit in Butte, Montana, was analyzed by SEM-CL, revealing the following textures: euhedral growth zones, wide nonluminescing bands that cut across multiple quartz grains, rounded luminescent quartz grain cores with euhedral overgrowths, nonluminescing \"splatters\" of quartz connected by networks of cobweb-like nonluminescing quartz in otherwise luminescent quartz, concentric growth zones, and wide nonluminescent grain boundaries. These textures indicate that many veins have undergone fracturing, dilation, growth of quartz into fluid-filled space, quartz dissolution, and recrystallization of quartz. Precipitation and dissolution textures indicate that early quartz-molybdenite veins formed as a result of pressure fluctuations between lithostatic and hydrostatic at high temperatures, and later pyrite-quartz veins formed near hydrostatic pressure in response to temperature decrease through and beyond the field of retrograde quartz solubility.","container-title":"Geology","DOI":"10.1130/0091-7613(2002)030&lt;0727:SEMCAO&gt;2.0.CO;2","ISSN":"00917613","issue":"8","note":"ISBN: 0091-7613","page":"727-730","title":"Scanning electron microscope-cathodoluminescence analysis of quartz reveals complex growth histories in veins from the Butte porphyry copper deposit, Montana","volume":"30","author":[{"family":"Rusk","given":"Brian"},{"family":"Reed","given":"Mark"}],"issued":{"date-parts":[["2002"]]},"citation-key":"Rusk_Reed.2002_ScanningElectronMicroscopecathodoluminescence"}},{"id":37,"uris":["http://zotero.org/users/10529844/items/JGEIKN63"],"itemData":{"id":37,"type":"article-journal","abstract":"The hydrological system within Earth's crust is divided into the permeable zone and the underlying, much less permeable zone. In this study, we investigated the solubility and precipitation kinetics of silica in water under the conditions of the Kakkonda geothermal field, Japan, where well WD-1a penetrates the boundary between the hydrothermal convection zone and the heat conduction zone. We found that quartz solubility has a local minimum at the depth of the hydrological boundary, at ~3100-m depth (380 °C and 24 MPa), in the case of either hydrostatic conditions or fluid pressure increase above hydrostatic at deeper levels. The hydrothermal experiments reveal that rapid quartz precipitation occurs via nucleation when fluids are brought from the liquid region to the supercritical region. The preferential precipitation of quartz at a specific depth plays a significant role in forming and sustaining the permeable–impermeable boundary in the crust.","container-title":"Terra Nova","DOI":"10.1111/ter.12093","ISSN":"13653121","issue":"4","note":"ISBN: 1365-3121","page":"253-259","title":"The significance of silica precipitation on the formation of the permeable-impermeable boundary within Earth's crust","volume":"26","author":[{"family":"Saishu","given":"Hanae"},{"family":"Okamoto","given":"Atsushi"},{"family":"Tsuchiya","given":"Noriyoshi"}],"issued":{"date-parts":[["2014"]]},"citation-key":"Saishu_etal.2014_SignificanceSilicaPrecipitation"}}],"schema":"https://github.com/citation-style-language/schema/raw/master/csl-citation.json"} </w:instrText>
      </w:r>
      <w:r>
        <w:fldChar w:fldCharType="separate"/>
      </w:r>
      <w:r w:rsidRPr="00194796">
        <w:rPr>
          <w:rFonts w:cs="Times New Roman"/>
          <w:kern w:val="0"/>
          <w:vertAlign w:val="superscript"/>
        </w:rPr>
        <w:t>3–5</w:t>
      </w:r>
      <w:r>
        <w:fldChar w:fldCharType="end"/>
      </w:r>
      <w:r>
        <w:t>.</w:t>
      </w:r>
    </w:p>
    <w:p w14:paraId="2DA65C3E" w14:textId="77777777" w:rsidR="00D02199" w:rsidRDefault="00D02199" w:rsidP="0042778D">
      <w:pPr>
        <w:pStyle w:val="BodyText"/>
        <w:spacing w:line="360" w:lineRule="auto"/>
        <w:jc w:val="both"/>
      </w:pPr>
    </w:p>
    <w:p w14:paraId="5FF1B3E8" w14:textId="77777777" w:rsidR="00D02199" w:rsidRDefault="00D02199">
      <w:pPr>
        <w:rPr>
          <w:rFonts w:ascii="Times New Roman" w:eastAsia="Noto Sans CJK JP" w:hAnsi="Times New Roman" w:cs="Tahoma"/>
          <w:sz w:val="24"/>
          <w:szCs w:val="24"/>
          <w14:ligatures w14:val="none"/>
        </w:rPr>
      </w:pPr>
      <w:r>
        <w:br w:type="page"/>
      </w:r>
    </w:p>
    <w:p w14:paraId="6D127F58" w14:textId="0E87EAB9" w:rsidR="0027754E" w:rsidRPr="0042778D" w:rsidRDefault="00B51AF8" w:rsidP="0042778D">
      <w:pPr>
        <w:pStyle w:val="Heading2"/>
        <w:rPr>
          <w:rFonts w:ascii="Times New Roman" w:hAnsi="Times New Roman" w:cs="Times New Roman"/>
          <w:b/>
          <w:bCs/>
          <w:color w:val="auto"/>
          <w:sz w:val="28"/>
          <w:szCs w:val="28"/>
        </w:rPr>
      </w:pPr>
      <w:r w:rsidRPr="0042778D">
        <w:rPr>
          <w:rFonts w:ascii="Times New Roman" w:hAnsi="Times New Roman" w:cs="Times New Roman"/>
          <w:b/>
          <w:bCs/>
          <w:color w:val="auto"/>
          <w:sz w:val="28"/>
          <w:szCs w:val="28"/>
        </w:rPr>
        <w:t>M</w:t>
      </w:r>
      <w:r w:rsidR="003C4F84" w:rsidRPr="0042778D">
        <w:rPr>
          <w:rFonts w:ascii="Times New Roman" w:hAnsi="Times New Roman" w:cs="Times New Roman"/>
          <w:b/>
          <w:bCs/>
          <w:color w:val="auto"/>
          <w:sz w:val="28"/>
          <w:szCs w:val="28"/>
        </w:rPr>
        <w:t>echanism</w:t>
      </w:r>
      <w:r w:rsidR="008B3777" w:rsidRPr="0042778D">
        <w:rPr>
          <w:rFonts w:ascii="Times New Roman" w:hAnsi="Times New Roman" w:cs="Times New Roman"/>
          <w:b/>
          <w:bCs/>
          <w:color w:val="auto"/>
          <w:sz w:val="28"/>
          <w:szCs w:val="28"/>
        </w:rPr>
        <w:t xml:space="preserve"> and source of</w:t>
      </w:r>
      <w:r w:rsidRPr="0042778D">
        <w:rPr>
          <w:rFonts w:ascii="Times New Roman" w:hAnsi="Times New Roman" w:cs="Times New Roman"/>
          <w:b/>
          <w:bCs/>
          <w:color w:val="auto"/>
          <w:sz w:val="28"/>
          <w:szCs w:val="28"/>
        </w:rPr>
        <w:t xml:space="preserve"> ore-forming fluid</w:t>
      </w:r>
      <w:r w:rsidR="003C4F84" w:rsidRPr="0042778D">
        <w:rPr>
          <w:rFonts w:ascii="Times New Roman" w:hAnsi="Times New Roman" w:cs="Times New Roman"/>
          <w:b/>
          <w:bCs/>
          <w:color w:val="auto"/>
          <w:sz w:val="28"/>
          <w:szCs w:val="28"/>
        </w:rPr>
        <w:t xml:space="preserve"> for the massive mineralization of stibnite</w:t>
      </w:r>
    </w:p>
    <w:p w14:paraId="3904774D" w14:textId="1C9E836C" w:rsidR="002B3E77" w:rsidRDefault="002B3E77" w:rsidP="00585562">
      <w:pPr>
        <w:pStyle w:val="BodyText"/>
        <w:spacing w:line="480" w:lineRule="auto"/>
        <w:jc w:val="both"/>
      </w:pPr>
      <w:r>
        <w:t xml:space="preserve">One of the highlights at Ichinokawa is how to explain the formation of massive stibnite crystals. Stibnite (Sb) occurs in a wide variety of geological settings. Magmatic-related processes are a common antimony deposit that hosts most stibnite including the other ore-mineral. Sedimentary antimony deposit occurs as strata-bound deposit and antimony-enriched in coal seams. The structure-related antimony is a less-extend deposit that hosted two typical stibnite mineralization with distinct mineral assemblages. First is the Monotonous Sb deposit consisting of monomineralic-monomineralic Sb within the vein. It occurs within the shear zone of non-metamorphic to low-grade metamorphic rock at low temperatures. It corresponds to a relatively distal heat source compared to the second structural-related deposit of polymetallic Sb-(Au-W-Sn-As-Zn-Pb) type </w:t>
      </w:r>
      <w:r>
        <w:fldChar w:fldCharType="begin"/>
      </w:r>
      <w:r w:rsidR="00194796">
        <w:instrText xml:space="preserve"> ADDIN ZOTERO_ITEM CSL_CITATION {"citationID":"dLUJmFhZ","properties":{"formattedCitation":"\\super 12\\nosupersub{}","plainCitation":"12","noteIndex":0},"citationItems":[{"id":252,"uris":["http://zotero.org/users/10529844/items/YW5N7IPS"],"itemData":{"id":252,"type":"article-journal","abstract":"Economic geology is a mixtum compositum of all geoscientific disciplines focused on one goal, finding new mineral depsosits and enhancing their exploitation. The keystones of this mixtum compositum are geology and mineralogy whose studies are centered around the emplacement of the ore body and the development of its minerals and rocks. In the present study, mineralogy and geology act as x- and y-coordinates of a classification chart of mineral resources called the \"chessboard\" (or \"spreadsheet\") classification scheme. Magmatic and sedimentary lithologies together with tectonic structures (1. -D/pipes, 2. -D/veins) are plotted along the x-axis in the header of the spreadsheet diagram representing the columns in this chart diagram. 63 commodity groups, encompassing minerals and elements are plotted along the y-axis, forming the lines of the spreadsheet. These commodities are subjected to a tripartite subdivision into ore minerals, industrial minerals/rocks and gemstones/ornamental stones.Further information on the various types of mineral deposits, as to the major ore and gangue minerals, the current models and the mode of formation or when and in which geodynamic setting these deposits mainly formed throughout the geological past may be obtained from the text by simply using the code of each deposit in the chart. This code can be created by combining the commodity (lines) shown by numbers plus lower caps with the host rocks or structure (columns) given by capital letters.Each commodity has a small preface on the mineralogy and chemistry and ends up with an outlook into its final use and the supply situation of the raw material on a global basis, which may be updated by the user through a direct link to databases available on the internet. In this case the study has been linked to the commodity database of the US Geological Survey. The internal subdivision of each commodity section corresponds to the common host rock lithologies (magmatic, sedimentary, and metamorphic) and structures. Cross sections and images illustrate the common ore types of each commodity. Ore takes priority over the mineral. The minerals and host rocks are listed by their chemical and mineralogical compositions, respectively, separated from the text but supplemented with cross-references to the columns and lines, where they prevalently occur.A metallogenetic-geodynamic overview is given at the bottom of each column in the spreadsheet. It may be taken as the \"sum\" or the \" mean\" of a number of geodynamic models and ideas put forward by the various researchers for all the deposits pertaining to a certain clan of lithology or structure. This classical or conservative view of metallotects related to the common plate tectonic settings is supplemented by an approach taken for the first time for such a number of deposits, using the concepts of sequence stratigraphy. This paper, so as to say, is a \"launch pad\" for a new mindset in metallogenesis rather than the final result.The relationship supergene-hypogene and syngenetic-epigenetic has been the topic of many studies for ages but to keep them as separate entities is often unworkable in practice, especially in the so-called epithermal or near-surface/shallow deposits. Vein-type and stratiform ore bodies are generally handled also very differently. To get these different structural elements (space) and various mineralizing processes (time) together and to allow for a forward modeling in mineral exploration, architectural elements of sequence stratigraphy are adapted to mineral resources. Deposits are geological bodies which need accommodation space created by the environment of formation and the tectonic/geodynamic setting through time. They are controlled by horizontal to subhorizontal reference planes and/or vertical structures. Prerequisites for the deposits to evolve are thermal and/or mechanical gradients. Thermal energy is for most of the settings under consideration deeply rooted in the mantle. A perspective on how this concept might work is given in the text by a pilot project on mineral deposits in Central Europe and in the spreadsheet classification scheme by providing a color-coded categorization into. 1. mineralization mainly related to planar architectural elements, e.g. sequence boundaries subaerial and unconformities2. mineralization mainly related to planar architectural elements, e.g. sequence boundaries submarine, transgressive surfaces and maximum flooding zones/surfaces)3. mineralization mainly controlled by system tracts (lowstand system tracts transgressive system tracts, highstand system tracts)4. mineralization of subvolcanic or intermediate level to be correlated with the architectural elements of basin evolution5. mineralization of deep level to be correlated with the deep-seated structural elements.There are several squares on the chessboard left blank mainly for lack of information on sequence stratigraphy of mineral deposits. This method has not found many users yet in mineral exploration. This review is designed as an \"interactive paper\" open, for amendments in the electronic spreadsheet version and adjustable to the needs and wants of application, research and training in geosciences. Metamorphic host rock lithologies and commodities are addressed by different color codes in the chessboard classification scheme. © 2009 Elsevier B.V.","container-title":"Earth-Science Reviews","DOI":"10.1016/j.earscirev.2009.10.011","ISSN":"00128252","issue":"1-4","note":"publisher: Elsevier","page":"1-420","title":"The \"chessboard\" classification scheme of mineral deposits: Mineralogy and geology from aluminum to zirconium","volume":"100","author":[{"family":"Dill","given":"Harald G."}],"issued":{"date-parts":[["2010",6,1]]},"citation-key":"Dill.2010_ChessboardClassificationScheme"}}],"schema":"https://github.com/citation-style-language/schema/raw/master/csl-citation.json"} </w:instrText>
      </w:r>
      <w:r>
        <w:fldChar w:fldCharType="separate"/>
      </w:r>
      <w:r w:rsidR="00194796" w:rsidRPr="00194796">
        <w:rPr>
          <w:rFonts w:cs="Times New Roman"/>
          <w:kern w:val="0"/>
          <w:vertAlign w:val="superscript"/>
        </w:rPr>
        <w:t>12</w:t>
      </w:r>
      <w:r>
        <w:fldChar w:fldCharType="end"/>
      </w:r>
      <w:r>
        <w:t>.</w:t>
      </w:r>
    </w:p>
    <w:p w14:paraId="6B6F7F39" w14:textId="30AA5199" w:rsidR="002B3E77" w:rsidRDefault="002B3E77" w:rsidP="00585562">
      <w:pPr>
        <w:pStyle w:val="BodyText"/>
        <w:spacing w:line="480" w:lineRule="auto"/>
        <w:jc w:val="both"/>
      </w:pPr>
      <w:r>
        <w:t xml:space="preserve">The formation of structural-related antimony involves orogenesis and its dynamic process. The fluid derives from metamorphic dehydration percolate through structural features during regional deformation and subsequently mixes with the superficial fluid in the upper crust. Stibnite mineralization in Ichinokawa consists of monomineralic Sb (with some sb sulfosalt) which is present as veinlet and strata bound parallel to schistosity. The deposition of stibnite postdates the formation of breccia-2 because the vast amount of veinlet truncates both breccia-2 and pelitic-schist in the sample. The high concentration of Sb corresponds to breccia-2 also reported by </w:t>
      </w:r>
      <w:r>
        <w:fldChar w:fldCharType="begin"/>
      </w:r>
      <w:r w:rsidR="00194796">
        <w:instrText xml:space="preserve"> ADDIN ZOTERO_ITEM CSL_CITATION {"citationID":"4LioTc3l","properties":{"formattedCitation":"\\super 13\\nosupersub{}","plainCitation":"13","noteIndex":0},"citationItems":[{"id":436,"uris":["http://zotero.org/users/10529844/items/GQTNH67Z"],"itemData":{"id":436,"type":"article-journal","abstract":"The Middle Miocene Tobe hornfels in the Sanbagawa metamorphic belt, western Shikoku, southwest Japan, is characterized by an abnormally steep metamorphic gradient compared with other hornfelses associated with intrusive bodies. The basic hornfels, originally Sanbagawa greenschist rocks, is divided into the following three metamorphic zones: plagioclase, hornblende, and orthopyroxene. The plagioclase zone is defined by the appearance of calcic plagioclase, the hornblende zone by the assemblage of hornblende+calcic plagioclase+quartz, and the orthopyroxene zone is characterized by the assemblage of orthopyroxene + clinopyroxene + plagioclase + quartz. Calcic amphibole compositions change from actinolite to hornblende as a result of the continuous reactions during prograde metamorphism. Petrographical and thermometric studies indicate a metamorphic temperature range of 300-475°C for the plagioclase zone, 475-680°C for the hornblende zone, and 680-730°C for the orthopyroxene zone. The temperature gradient based on petrological studies is approximately 5°C/m, which is unusually high. Geological and petrological studies demonstrate that the hornfelses were formed by the focusing of high-temperature fluids through zones of relatively high fracture permeability. The steep thermal gradient in the Tobe hornfels body is consistent with a large fluid flux, greater than 8.3 × 10-7 m3 m-2 S-1 over the relatively short duration of metamorphism, approximately 100 years.","container-title":"Contributions to Mineralogy and Petrology","DOI":"10.1007/s004100050227","ISSN":"00107999","issue":"4","page":"341-358","title":"Middle Miocene thermal metamorphism due to the infiltration of high-temperature fluid in the Sanbagawa metamorphic belt, southwest Japan","volume":"125","author":[{"family":"Sakakibara","given":"Masayuki"},{"family":"Isono","given":"Yoko"}],"issued":{"date-parts":[["1996"]]},"citation-key":"Sakakibara_Isono.1996_MiddleMioceneThermal"}}],"schema":"https://github.com/citation-style-language/schema/raw/master/csl-citation.json"} </w:instrText>
      </w:r>
      <w:r>
        <w:fldChar w:fldCharType="separate"/>
      </w:r>
      <w:r w:rsidR="00194796" w:rsidRPr="00194796">
        <w:rPr>
          <w:rFonts w:cs="Times New Roman"/>
          <w:kern w:val="0"/>
          <w:vertAlign w:val="superscript"/>
        </w:rPr>
        <w:t>13</w:t>
      </w:r>
      <w:r>
        <w:fldChar w:fldCharType="end"/>
      </w:r>
      <w:r>
        <w:t>. Syntaxial and euhedral quartz followed by the precipitation of stibnite as void-filling minerals (</w:t>
      </w:r>
      <w:r w:rsidR="0035416E">
        <w:t xml:space="preserve">Supplementary </w:t>
      </w:r>
      <w:r>
        <w:t xml:space="preserve">Fig. </w:t>
      </w:r>
      <w:r w:rsidR="00C52C3C">
        <w:t>6</w:t>
      </w:r>
      <w:r w:rsidR="0035416E">
        <w:t>c</w:t>
      </w:r>
      <w:r>
        <w:t xml:space="preserve">). Such kind of texture and characteristics are typical for shallow sb deposits associated with orogenic and hydrothermal processes exemplified in Armorican Massif, France, and West Turkey </w:t>
      </w:r>
      <w:r w:rsidR="00EB1936">
        <w:fldChar w:fldCharType="begin"/>
      </w:r>
      <w:r w:rsidR="004B59EA">
        <w:instrText xml:space="preserve"> ADDIN ZOTERO_ITEM CSL_CITATION {"citationID":"ai1qvr6579","properties":{"formattedCitation":"\\super 6,14\\nosupersub{}","plainCitation":"6,14","noteIndex":0},"citationItems":[{"id":561,"uris":["http://zotero.org/users/10529844/items/6VHVNKVH"],"itemData":{"id":561,"type":"article-journal","abstract":"Deposits of stibnite and cinnabar show a strong spatial association with metamorphic rocks and occur mainly within orogenic belts. Our study addresses the Emirli stibnite and Hali{dotless}köy cinnabar deposits within the Menderes Massif in western Turkey. Stibnite mineralisation occurs as stratabound lenses in graphite- and mica-schist, and as structurally controlled veins. Both types have a common mineral paragenesis containing pyrite, arsenopyrite, stibnite, gold, base metal sulphides, marcasite, realgar, orpiment and cinnabar. Realgar, orpiment and cinnabar are not present in the stratabound lenses. Quartz is the principle gangue mineral in all the deposits. The initial fluids were dilute, carbonic and rather hot (with Th &gt; 300 °C). Deposition of pyrite and arsenopyrite is probably due to cooling of the fluids and to sulphidation and/or decreasing fO2, caused by interaction with syn-sedimentary sulphides in the country rocks. Arsenopyrite geothermometry indicates an average depositional temperature of 330 °C in the initial quartz vein. Vein formation increased the fluid pressure and caused effervescence, which resulted in a sudden pressure drop from 1.4 kbar during the initial quartz formation to </w:instrText>
      </w:r>
      <w:r w:rsidR="004B59EA">
        <w:rPr>
          <w:rFonts w:ascii="Cambria Math" w:hAnsi="Cambria Math" w:cs="Cambria Math"/>
        </w:rPr>
        <w:instrText>∼</w:instrText>
      </w:r>
      <w:r w:rsidR="004B59EA">
        <w:instrText xml:space="preserve">440 bars, and stibnite precipitated at 232 to 307 °C. Boiling and concomitant sulphur loss during stibnite precipitation may have also initiated gold deposition. Further cooling below 190 °C under a pressure of ≤ 600 bars caused cinnabar deposition, mainly in the Hali{dotless}köy deposit. Salinity of the fluids during stibnite and cinnabar precipitation is 0.8 to 7.1 wt.% NaCl eq. and suggests a meteoric fluid. The structural framework induced by the initiation of extensional tectonics served as conduits for the penetration of surficial fluids to the environs of a possible magmatic heat source evidenced by thermal waters in the region. Stibnite from the stratabound (graphite-schist hosted) lenses and the crosscutting veins in the Emirli deposit have sulphur isotope compositions in a range of - 5.8‰ to - 8.9‰. δ34S values of pyrite from the graphite-schist zones and mica-schists are in the ranges of - 8.9‰ to - 7.7‰ and - 10.2‰ to - 11.7‰, respectively. It is therefore concluded that the sulphur in stibnite originated from sulphide minerals in the country rocks, which in turn may have a source related to bacterial reduction of sulphate within the pre-metamorphic sediments. Cinnabar has heavier δ34S contents (- 6.5‰ to - 6.8‰), suggesting a minor magmatic sulphur contribution towards the final stages of mineralisation. © 2005 Elsevier B.V. All rights reserved.","container-title":"Ore Geology Reviews","DOI":"10.1016/j.oregeorev.2004.12.006","ISSN":"01691368","issue":"1","note":"publisher: Elsevier","page":"19-51","title":"Geology, mineralogy and geochemistry of the gold-bearing stibnite and cinnabar deposits in the Emirli and Hali{dotless}köy areas (Ödemiş, İzmir, West Turkey)","volume":"29","author":[{"family":"Akçay","given":"Miǧraç"},{"family":"Özkan","given":"H. Mustafa"},{"family":"Moon","given":"Charlie J."},{"family":"Spiro","given":"Baruch"}],"issued":{"date-parts":[["2006",7,1]]},"citation-key":"Akcay_etal.2006_GeologyMineralogyGeochemistry"}},{"id":492,"uris":["http://zotero.org/users/10529844/items/S8STXJCG"],"itemData":{"id":492,"type":"article-journal","abstract":"The La Bellière gold district, in the Ligerian domain of the Armorican Massif is the third one of France in term of production. It shows gold-bearing quartz veins neighboring with a complex network of Sb veins, hosted in the Neoproterozoic metasedimentary basement of the Mauges Nappe. New structural data, mineralogical, textural and geochemical assays have been carried out to clarify the gold and Sb veins relationships. Our results favor of two-step hydrothermal event with an early deep-seated gold event followed by a late shallower Sb event. The gold-bearing quartz veins are hosted by N60°E to N90°E sinistral strike-slip faults. These veins exhibit a four-stage paragenesis: 1) early barren quartz filling, 2) arsenopyrite-pyrite with minor scheelite assemblage, 3) gold and base metal sulfides crystallized after a ductile/brittle deformation stage, and 4) pyrite-carbonate coeval with a late brittle stage. These results support a continuous evolution model from a deep emplacement level (12 to 9 km) to a shallow one (7 to &lt;5 km) with a brutal change in the P/T conditions that triggered the deposition of gold (stage 2) controlled by a seismic-valve mechanism. On the contrary, Sb veins correspond to open space vein types, hosted in a N20°W to N20°E conjugated strike-slip fault network arranged in a Riedel shear model, controlled by N130-140°E regional dextral strike-slip shear zone associated to the South Armorican Shear Zone system. A two-stage evolution is recognized, the first one consists of early pyrite-arsenopyrite with microcrystalline quartz, followed by a late stibnite stage formed after geodic quartz deposition. Quartz texture argues for a shallow emplacement (&lt;5 km) of veins controlled by a suction-pump mechanism. Chronologically, the gold vein opening complies with a NE-SW maximum shortening direction different from the late-Variscan stress field responsible for the dextral Armorican shear zone during late Carboniferous, and constrains an indirect dating. Thus, a Visean age is proposed for the formation of gold veins. The overall features of gold deposits are close to those of mesozonal orogenic gold deposits in Europe. Conversely, Sb-bearing veins are generated by a N-S shortening during the late Carboniferous. The Sb event, distinct in time from the earlier gold one, might correspond to a different expression of the so-called “epizonal” type in the orogenic gold model. It is proposed that the Late Carboniferous “Or 300” event is not the unique metallogenic period for gold deposition in the French Variscan domain. Our study highlights the role of the sinistral strike-slip shearing of possible Visean age, in the gold metallogenesis of the Ligerian domain.","container-title":"Ore Geology Reviews","DOI":"10.1016/j.oregeorev.2020.103681","ISSN":"01691368","issue":"April","note":"publisher: Elsevier","page":"103681","title":"The La Bellière gold and antimony district (French Armorican Massif): A two-stage evolution model controlled by Variscan strike-slip tectonic","volume":"125","author":[{"family":"Cheval-Garabédian","given":"Florent"},{"family":"Faure","given":"Michel"},{"family":"Marcoux","given":"Eric"},{"family":"Gouin","given":"Jérome"},{"family":"Picault","given":"Maxime"}],"issued":{"date-parts":[["2020"]]},"citation-key":"Cheval-Garabedian_etal.2020_BelliereGoldAntimony"}}],"schema":"https://github.com/citation-style-language/schema/raw/master/csl-citation.json"} </w:instrText>
      </w:r>
      <w:r w:rsidR="00EB1936">
        <w:fldChar w:fldCharType="separate"/>
      </w:r>
      <w:r w:rsidR="004B59EA" w:rsidRPr="004B59EA">
        <w:rPr>
          <w:rFonts w:cs="Times New Roman"/>
          <w:kern w:val="0"/>
          <w:vertAlign w:val="superscript"/>
        </w:rPr>
        <w:t>6,14</w:t>
      </w:r>
      <w:r w:rsidR="00EB1936">
        <w:fldChar w:fldCharType="end"/>
      </w:r>
      <w:r>
        <w:t xml:space="preserve"> </w:t>
      </w:r>
      <w:r w:rsidR="004B59EA">
        <w:t>where</w:t>
      </w:r>
      <w:r>
        <w:t xml:space="preserve"> in Ichinokawa this processes perhaps coeval with late stage of Sanbagawa exhumation processes </w:t>
      </w:r>
      <w:r>
        <w:fldChar w:fldCharType="begin"/>
      </w:r>
      <w:r w:rsidR="004B59EA">
        <w:instrText xml:space="preserve"> ADDIN ZOTERO_ITEM CSL_CITATION {"citationID":"a27gnn9kf1p","properties":{"formattedCitation":"\\super 15\\nosupersub{}","plainCitation":"15","noteIndex":0},"citationItems":[{"id":2464,"uris":["http://zotero.org/users/10529844/items/72TNLDJ5"],"itemData":{"id":2464,"type":"article-journal","abstract":"The low-grade metamorphosed Jurassic accretionary complex of the Northern Chichibu Belt, Hijikawa area, western Shikoku, is divided into two units, the Hijikawa and Kanogawa units, that are separated by an out-of-sequence thrust (OOST), the Ozu-Kawabegawa Fault. The Kanogawa unit south of the Ozu-Kawabegawa fault consists mainly of sandstone, shale, broken formation of alternating sandstone and shale, greenstone, chert, and pelitic melange, while the Hijikawa unit is characterized by a stack of subunits separated by small-scale thrusts. The subunits are mainly made up of basic, pelitic and psammitic semischists, schistose pelitic melange, and chert. Petrological and mineralogical constraints suggest peak metamorphic conditions of 204–247 °C at 1–3 kbar in the Kanogawa unit, and 228–289 °C at 3–5.6 kbar in the Hijikawa unit. Quartz and quartz-calcite veins are widely developed in the study area, especially in the Hijikawa unit. Regional variations in stable isotopic data show that the δ18Oquartz and δ18Ocalcite values in veins tend to increase towards the Ozu-Kawabegawa Fault. The δ18Owhole rock values are remarkably high in some subunits close to OOSTs within the Hijikawa unit. Oxygen isotopic compositions from vein quartz indicate that a higher δ18O fluid migrated upward from depth along the Ozu-Kawabegawa Fault within the accretionary prism during prehnite-pumpellyite facies metamorphism. The fluid source is inferred to be pelitic rocks at higher temperatures and greater depths within the accretionary prism.","container-title":"Journal of Metamorphic Geology","DOI":"10.1111/j.1525-1314.2007.00701.x","ISSN":"1525-1314","issue":"3","language":"en","note":"_eprint: https://onlinelibrary.wiley.com/doi/pdf/10.1111/j.1525-1314.2007.00701.x","page":"383-400","source":"Wiley Online Library","title":"Isotopic evidence for channeled fluid flow in low-grade metamorphosed Jurassic accretionary complex in the Northern Chichibu belt, western Shikoku, Japan","volume":"25","author":[{"family":"Sakakibara","given":"M."},{"family":"Umeki","given":"M."},{"family":"Cartwright","given":"I."}],"issued":{"date-parts":[["2007"]]},"citation-key":"Sakakibara_etal.2007_IsotopicEvidenceChanneled"}}],"schema":"https://github.com/citation-style-language/schema/raw/master/csl-citation.json"} </w:instrText>
      </w:r>
      <w:r>
        <w:fldChar w:fldCharType="separate"/>
      </w:r>
      <w:r w:rsidR="004B59EA" w:rsidRPr="004B59EA">
        <w:rPr>
          <w:rFonts w:cs="Times New Roman"/>
          <w:kern w:val="0"/>
          <w:vertAlign w:val="superscript"/>
        </w:rPr>
        <w:t>15</w:t>
      </w:r>
      <w:r>
        <w:fldChar w:fldCharType="end"/>
      </w:r>
      <w:r>
        <w:t xml:space="preserve"> or there is a hidden magmatic-hydrothermal system underneath Ichinokawa </w:t>
      </w:r>
      <w:r>
        <w:fldChar w:fldCharType="begin"/>
      </w:r>
      <w:r w:rsidR="00194796">
        <w:instrText xml:space="preserve"> ADDIN ZOTERO_ITEM CSL_CITATION {"citationID":"a1t6c7ejfm8","properties":{"formattedCitation":"\\super 13\\nosupersub{}","plainCitation":"13","noteIndex":0},"citationItems":[{"id":436,"uris":["http://zotero.org/users/10529844/items/GQTNH67Z"],"itemData":{"id":436,"type":"article-journal","abstract":"The Middle Miocene Tobe hornfels in the Sanbagawa metamorphic belt, western Shikoku, southwest Japan, is characterized by an abnormally steep metamorphic gradient compared with other hornfelses associated with intrusive bodies. The basic hornfels, originally Sanbagawa greenschist rocks, is divided into the following three metamorphic zones: plagioclase, hornblende, and orthopyroxene. The plagioclase zone is defined by the appearance of calcic plagioclase, the hornblende zone by the assemblage of hornblende+calcic plagioclase+quartz, and the orthopyroxene zone is characterized by the assemblage of orthopyroxene + clinopyroxene + plagioclase + quartz. Calcic amphibole compositions change from actinolite to hornblende as a result of the continuous reactions during prograde metamorphism. Petrographical and thermometric studies indicate a metamorphic temperature range of 300-475°C for the plagioclase zone, 475-680°C for the hornblende zone, and 680-730°C for the orthopyroxene zone. The temperature gradient based on petrological studies is approximately 5°C/m, which is unusually high. Geological and petrological studies demonstrate that the hornfelses were formed by the focusing of high-temperature fluids through zones of relatively high fracture permeability. The steep thermal gradient in the Tobe hornfels body is consistent with a large fluid flux, greater than 8.3 × 10-7 m3 m-2 S-1 over the relatively short duration of metamorphism, approximately 100 years.","container-title":"Contributions to Mineralogy and Petrology","DOI":"10.1007/s004100050227","ISSN":"00107999","issue":"4","page":"341-358","title":"Middle Miocene thermal metamorphism due to the infiltration of high-temperature fluid in the Sanbagawa metamorphic belt, southwest Japan","volume":"125","author":[{"family":"Sakakibara","given":"Masayuki"},{"family":"Isono","given":"Yoko"}],"issued":{"date-parts":[["1996"]]},"citation-key":"Sakakibara_Isono.1996_MiddleMioceneThermal"}}],"schema":"https://github.com/citation-style-language/schema/raw/master/csl-citation.json"} </w:instrText>
      </w:r>
      <w:r>
        <w:fldChar w:fldCharType="separate"/>
      </w:r>
      <w:r w:rsidR="00194796" w:rsidRPr="00194796">
        <w:rPr>
          <w:rFonts w:cs="Times New Roman"/>
          <w:kern w:val="0"/>
          <w:vertAlign w:val="superscript"/>
        </w:rPr>
        <w:t>13</w:t>
      </w:r>
      <w:r>
        <w:fldChar w:fldCharType="end"/>
      </w:r>
      <w:r>
        <w:t xml:space="preserve">. </w:t>
      </w:r>
    </w:p>
    <w:p w14:paraId="4CD3C5CF" w14:textId="7F180FDD" w:rsidR="00FC4646" w:rsidRDefault="002B3E77" w:rsidP="00585562">
      <w:pPr>
        <w:pStyle w:val="BodyText"/>
        <w:spacing w:line="480" w:lineRule="auto"/>
        <w:jc w:val="both"/>
      </w:pPr>
      <w:r>
        <w:t xml:space="preserve">The stibnite deposition is occurs at low temperature ~80-220°C </w:t>
      </w:r>
      <w:r>
        <w:fldChar w:fldCharType="begin"/>
      </w:r>
      <w:r w:rsidR="004B59EA">
        <w:instrText xml:space="preserve"> ADDIN ZOTERO_ITEM CSL_CITATION {"citationID":"4VqhokGC","properties":{"formattedCitation":"\\super 16,17\\nosupersub{}","plainCitation":"16,17","noteIndex":0},"citationItems":[{"id":576,"uris":["http://zotero.org/users/10529844/items/4HMXDU9Y"],"itemData":{"id":576,"type":"article-journal","abstract":"A microthermometric study using infrared microscopy was performed on fluid inclusions hosted in stibnite crystals of the Brouzils antimony deposit, in order to characterize the fluids responsible for the deposition of the antimony at the end of the Variscan metallogenic sequence. Primary fluid inclusions in stibnite were moderately saline (3.5-4.75 wt % NaCl equiv) with homogenization temperatures varying between 140°and 160°C. Two generations of later fluids are also contained in the stibnite samples. The first generation of secondary fluid inclusions is found exclusively in stibnite and is characterized by low salinities (1.35-2.2 wt % NaCl equiv), homogenization temperatures of approximately 215°C, and the presence of one or more solid mineral phases. The second generation of fluid inclusions is younger and is found in stibnite along secondary planes as well as in quartz gangue; it corresponds to H 2O-CO 2 fluid with homogenization temperatures of about 180°C. This infrared microscopy study thus shows that the quartz and stibnite of the Brouzils veins are not cogenetic and reveals the polyphase character of the vein infill in which three successive episodes of hydrothermal circulation are identified.","container-title":"Econ Geol","DOI":"10.2113/gsecongeo.95.1.221","ISSN":"03610128","issue":"1","note":"publisher: GeoScienceWorld","page":"221-226","title":"Fluid inclusion study of stibnite using infrared microscopy: An example from the Brouzils antimony deposit (Vendee, Armorican massif, France)","volume":"95","author":[{"family":"Bailly","given":"null"},{"family":"Bailly","given":"Laurent"},{"family":"Bouchot","given":"Vincent"},{"family":"Bény","given":"Claire"},{"family":"Milési","given":"Jean Pierre"}],"issued":{"date-parts":[["2000",1,1]]},"citation-key":"Bailly_etal.2000_FluidInclusionStudy"}},{"id":228,"uris":["http://zotero.org/users/10529844/items/YKIMWRU3"],"itemData":{"id":228,"type":"article-journal","abstract":"The Krásná Hora-Milešov and Povy districts (Czech Republic) are the unique examples of Sb-Au subtype orogenic gold deposits in the Bohemian Massif. They are represented by quartz-stibnite veins and massive stibnite lenses grading into low-grade, disseminated ores in altered host rocks. Gold postdates the stibnite and is often replaced by aurostibite. The ore zones are hosted by hydrothermally altered dikes of lamprophyres (Krásná Hora-Milešov) or are associated with local strike-slip faults (Povy). Formation of Sb-Au deposits probably occurred shortly after the main gold-bearing event (348–338 Ma; Au-only deposits) in the central part of the Bohemian Massif. Fluid inclusion analyses suggest that stibnite precipitated at ~250 to ~130 °C and gold at ~200 to ~130 °C from low-salinity aqueous fluids. The main quartz gangue hosting the ore precipitated from the same type of fluid at about 300 °C. Early quartz-arsenopyrite veins are not associated with the Sb-Au deposition and formed from low-salinity, aqueous-carbonic fluid at higher pressure and temperature (~250 MPa, ~400 °C). The estimated oxygen isotope composition of the ore-bearing fluid (4 ± 1‰ SMOW; based on post-ore calcite) suggests its metamorphic or mixed magmatic-metamorphic origin and excludes the involvement of meteoric water. Rapid cooling of warm hydrothermal fluids reacting with “cold” host rock was probably the most important factor in the formation of both stibnite and gold.","container-title":"Mineralium Deposita","DOI":"10.1007/s00126-017-0734-8","ISSN":"00264598","issue":"2","note":"publisher: Springer Verlag","page":"225-244","title":"The Krásná Hora, Milešov, and Povy Sb-Au ore deposits, Bohemian Massif: mineralogy, fluid inclusions, and stable isotope constraints on the deposit formation","volume":"53","author":[{"family":"Němec","given":"Matěj"},{"family":"Zachariáš","given":"Jiří"}],"issued":{"date-parts":[["2018",2,1]]},"citation-key":"Nemec_Zacharias.2018_KrasnaHoraMilesov"}}],"schema":"https://github.com/citation-style-language/schema/raw/master/csl-citation.json"} </w:instrText>
      </w:r>
      <w:r>
        <w:fldChar w:fldCharType="separate"/>
      </w:r>
      <w:r w:rsidR="004B59EA" w:rsidRPr="004B59EA">
        <w:rPr>
          <w:rFonts w:cs="Times New Roman"/>
          <w:kern w:val="0"/>
          <w:vertAlign w:val="superscript"/>
        </w:rPr>
        <w:t>16,17</w:t>
      </w:r>
      <w:r>
        <w:fldChar w:fldCharType="end"/>
      </w:r>
      <w:r>
        <w:t xml:space="preserve">. The temperature derive from arsenopyrite suggest that the stibnite is remain soluble </w:t>
      </w:r>
      <w:r>
        <w:fldChar w:fldCharType="begin"/>
      </w:r>
      <w:r w:rsidR="004B59EA">
        <w:instrText xml:space="preserve"> ADDIN ZOTERO_ITEM CSL_CITATION {"citationID":"5KRdPVUs","properties":{"formattedCitation":"\\super 18\\nosupersub{}","plainCitation":"18","noteIndex":0},"citationItems":[{"id":466,"uris":["http://zotero.org/users/10529844/items/2DUKENNB"],"itemData":{"id":466,"type":"article-journal","abstract":"Solubility of stibnite (Sb2S3) was measured in aqueous hydrogen sulfide solutions as a function of pH and total free sulfur (TFS) concentrations at 25, 90, 200, 275, and 350°C and at saturated vapor pressures. At 25 and 90°C and TFS ≈ 0.01 molal solubility is controlled by the thioantimonite complexes H2Sb2So4, HSb2S-4, Sb2S2-4 (and polymers of the general composition H2-xSb2nSx-3n+1). At higher temperatures the hydroxothioantimonite complex Sb2S2(OH)02 (or polymers of composition Sb2nS3n-1(OH)02) becomes dominant. Polymerization due to condensation reactions yields long chains made up of trigonal-pyramidal SbS3-groups (and SbS2OH-groups). Equilibrium constants were derived for the dimers. The transition from thioantimonites to the hydroxothioantimonite species at approximately 120°C is endothermic and is entirely driven by a gain in entropy. Stibnite solubility calculated for some geothermal fluids indicate that these fluids are undersaturated in Sb if stibnite is the solid equilibrium phase. At high temperatures (&gt;100°C) precipitation of stibnite from ore fluids can occur in response to conductive cooling, while at low temperatures, where thioantimonites dominate, acidification of the fluid (e.g. due to oxidation of H2S) is the more likely mechanism. Precipitation of stibnite from fluids containing hydroxothioantimonite consumes H2S and may thus trigger precipitation of other metals carried as sulfide complexes, e.g. Au(HS)-2. © 1988.","container-title":"Geochimica et Cosmochimica Acta","DOI":"10.1016/0016-7037(88)90164-0","ISSN":"00167037","issue":"12","note":"publisher: Pergamon","page":"3005-3015","title":"Solubility of stibnite in hydrogen sulfide solutions, speciation, and equilibrium constants, from 25 to 350°C","volume":"52","author":[{"family":"Krupp","given":"Ralf E."}],"issued":{"date-parts":[["1988",12,1]]},"citation-key":"Krupp.1988_SolubilityStibniteHydrogen"}}],"schema":"https://github.com/citation-style-language/schema/raw/master/csl-citation.json"} </w:instrText>
      </w:r>
      <w:r>
        <w:fldChar w:fldCharType="separate"/>
      </w:r>
      <w:r w:rsidR="004B59EA" w:rsidRPr="004B59EA">
        <w:rPr>
          <w:rFonts w:cs="Times New Roman"/>
          <w:kern w:val="0"/>
          <w:vertAlign w:val="superscript"/>
        </w:rPr>
        <w:t>18</w:t>
      </w:r>
      <w:r>
        <w:fldChar w:fldCharType="end"/>
      </w:r>
      <w:r>
        <w:t xml:space="preserve"> and the onset of stibnite deposition is coincide with quartz temperature</w:t>
      </w:r>
      <w:r w:rsidR="004F001B">
        <w:t xml:space="preserve"> (Supplementary Fig.</w:t>
      </w:r>
      <w:r w:rsidR="00C52C3C">
        <w:t>5</w:t>
      </w:r>
      <w:r w:rsidR="004F001B">
        <w:t>i)</w:t>
      </w:r>
      <w:r>
        <w:t>. The formation of massive stibnite mineralization requires dramatic changes of fluid condition such as P-T-X-</w:t>
      </w:r>
      <w:r w:rsidRPr="004241FA">
        <w:rPr>
          <w:i/>
          <w:iCs/>
        </w:rPr>
        <w:t>f</w:t>
      </w:r>
      <w:r>
        <w:t xml:space="preserve">-pH </w:t>
      </w:r>
      <w:r>
        <w:fldChar w:fldCharType="begin"/>
      </w:r>
      <w:r w:rsidR="004B59EA">
        <w:instrText xml:space="preserve"> ADDIN ZOTERO_ITEM CSL_CITATION {"citationID":"a20b76fg1gu","properties":{"formattedCitation":"\\super 19\\uc0\\u8211{}21\\nosupersub{}","plainCitation":"19–21","noteIndex":0},"citationItems":[{"id":616,"uris":["http://zotero.org/users/10529844/items/5TFQ2DJP"],"itemData":{"id":616,"type":"article-journal","abstract":"The Gutaishan deposit is a slate-hosted lode Au–Sb deposit in the Xiangzhong Sb–Au metallogenic province, South China. The deposit has a proven reserve of ca. 9-t gold at an average grade of 13-g/t and contains 2500-t Sb. The deposit represents the product of a complex ore-forming process, comprising four different stages, of which the third stage is the main gold–stibnite bearing stage. Scanning electron microscopy, electron probe microanalysis, and laser ablation inductively coupled plasma-mass spectrometry were used to investigate the occurrence of visible gold and the distribution of invisible gold in pyrite and arsenopyrite. Visible gold displays textural complexity with four distinct categories defined and assumed to have formed directly precipitated from ore-forming fluid and remobilized from pyrite and arsenopyrite. Pyrite and arsenopyrite occur as ten and four texturally distinct subtypes; all host invisible gold, which is lattice-bound. Trace element mapping of selected pyrite and arsenopyrite grains reveals a marked compositional zoning with respect to Au and other elements in both minerals. Observed decoupled behavior between Au and As in some grains contradicts the paradigm of coupled Au and As substitution. Evidence suggests that the Gutaishan deposit likely represents an evolving Au–Sb mineralization event recorded by the complex texture and geochemical signatures of visible gold, sulfides, and sulfosalts.","container-title":"Mineralium Deposita","DOI":"10.1007/s00126-018-0826-0","ISSN":"14321866","issue":"4","note":"publisher: Springer","page":"591-610","title":"Textures and trace element signatures of pyrite and arsenopyrite from the gutaishan Au–Sb deposit, south China","volume":"54","author":[{"family":"Li","given":"Wei"},{"family":"Cook","given":"Nigel J."},{"family":"Xie","given":"Gui Qing"},{"family":"Mao","given":"Jing Wen"},{"family":"Ciobanu","given":"Cristiana L."},{"family":"Li","given":"Jian Wei"},{"family":"Zhang","given":"Zhi Yuan"}],"issued":{"date-parts":[["2019",8,7]]},"citation-key":"Li_etal.2019_TexturesTraceElement"}},{"id":1686,"uris":["http://zotero.org/users/10529844/items/QAFTQ6AC"],"itemData":{"id":1686,"type":"article-journal","abstract":"Fluid inclusion microthermometry was conducted on late-stage barren comb quartz and the latest stibnite at the Hishikari deposit to characterize the hydrothermal activity responsible for vein formation. Eight fluid inclusion assemblages (i.e. fluid inclusions trapped at the same time, ‘FIAs’) were studied to determine the formation fluid temperatures and salinities for the comb quartz in the Shosen No. 2 vein, Sanjin ore zone, and the stibnite in the Seisen No. 1–1 vein, Yamada ore zone. The average homogenization temperatures (the formation temperatures) of the seven FIAs from the comb quartz were between 207 and 230°C, while the average homogenization temperature (the formation temperature) of an FIA from the stibnite was 113°C. The measured fluid salinities of the seven FIAs from the comb quartz were low, ranging between 0.0 and 1.1 wt% NaCl equiv., indicating that dilute fluids were responsible for the comb quartz formation. By comparison with previous microthermometric data, the formation temperatures of the studied comb quartz were higher than those of columnar adularia and comb quartz at most other veins (generally around 200°C) but were similar to those of columnar adularia at Keisen veins (230°C) in the same ore zone. The higher formation temperatures both in the Shosen and the Keisen veins in the Sanjin ore zone indicate that the fractures corresponding to the vein system at the Sanjin ore zone were main conduits for hot ascending fluids. The low formation temperature of stibnite in the latest stage (113°C) indicates that stibnite precipitation occurred during a waning stage of hydrothermal activity. Combined with previous thermodynamic data on antimony solubilities, the large discrepancy between the formation temperature of the comb quartz (200–230°C) and that of the stibnite suggests that the stibnite may have precipitated as a result of a drastic cooling of the hydrothermal system.","container-title":"Resource Geology","DOI":"10.1111/rge.12168","ISSN":"1751-3928","issue":"3","language":"en","note":"_eprint: https://onlinelibrary.wiley.com/doi/pdf/10.1111/rge.12168","page":"326-335","source":"Wiley Online Library","title":"Fluid Inclusion Studies of Comb Quartz and Stibnite at the Hishikari Au–Ag Epithermal Deposit, Japan","volume":"68","author":[{"family":"Shimizu","given":"Toru"}],"issued":{"date-parts":[["2018"]]},"citation-key":"Shimizu.2018_FluidInclusionStudies"}},{"id":465,"uris":["http://zotero.org/users/10529844/items/6IYIQG2F"],"itemData":{"id":465,"type":"article-journal","abstract":"Antimony-rich vein mineralisation is widespread in the German part of the Variscan orogenic belt. Mineralogical investigation of a representative suite of these deposits, coupled with fluid inclusion characterisation and microthermometry, permits a reconstruction of their genetic evolution. Two structural settings host antimony mineralisation: the cores or flanks of anticlinal zones and major lithological contrasts. Channelled migration of geothermal fluids through permeable rock sequences and later stagnation of fluids in cap-rock situations inside the anticlinal zones led to mineral deposition. The mineralising event is interpreted as relating to input of deep-sourced fluids during late-orogenic exhumation at the transitional stage between collision tectonics and the late-Variscan extensional regime. Fluid inclusion data, chlorite geothermometry and the presence of meneghinite as a characteristic Pb-Sb-sulfosalt mineral in a number of vein systems allows constraints on model P-T conditions at the onset of mineralisation to be made. These are as high as 390 to 440 °C at 0.6-1.0 kbar for the Saarsegen, Apollo and Schone Freundschaft deposits, with lower temperatures of 320-340 °C being obtained for the Spes deposit. The fluid inclusion data indicate drastic fluid cooling during the mineralising event; minimum temperatures of approximately 150-220 °C are obtained for all deposits at the end of vein quartz formation, which coincided with deposition of stibnite and most of the Pb-Sb sulfosalts. Besides the formation of extensional quartz-stibnite-Pb-sulfosalt veins, the mineralising, low-salinity NaCl-KCl-rich high-temperature tectonic brines have overprinted sulfide assemblages within earlier siderite-(Cu)-Pb-Zn veins. This has led to replacement reaction textures and remobilisation of sulfide components within the vein systems. In contrast with the earlier siderite-(Cu)-Pb-Zn veins, neither the quartz-stibnite-sulfosalt nor the (Cu)-Pb-Sb sulfosalt assemblages were affected by Variscan deformation. Rather, they display characteristic extensional features crosscutting all earlier structures and can thus be assigned to a later phase of mineralisation. Fluid composition characteristics and structural criteria indicate formation in the latest part of the Variscan mineralisation cycle; a post-Variscan genesis being rejected on grounds of conspicuously diverging fluid characteristics. A comparison of antimony deposits in the Rheinisches Schiefergebirge with other late-orogenic deposits elsewhere in the European Variscan belt indicates a significant number of shared features, enabling them to be placed into a common model related to the onset of late-Variscan brittle extensional tectonics.","container-title":"Mineralium Deposita","DOI":"10.1007/s001260050016","ISSN":"00264598","issue":"2-3","page":"206-222","title":"Late-Variscan antimony mineralisation in the Rheinisches Schiefergebirge, NW Germany: Evidence for stibnite precipitation by drastic cooling of high-temperature fluid systems","volume":"35","author":[{"family":"Wagner","given":"T."},{"family":"Cook","given":"N. J."}],"issued":{"date-parts":[["2000"]]},"citation-key":"Wagner_Cook.2000_LateVariscanAntimonyMineralisation"}}],"schema":"https://github.com/citation-style-language/schema/raw/master/csl-citation.json"} </w:instrText>
      </w:r>
      <w:r>
        <w:fldChar w:fldCharType="separate"/>
      </w:r>
      <w:r w:rsidR="004B59EA" w:rsidRPr="004B59EA">
        <w:rPr>
          <w:rFonts w:cs="Times New Roman"/>
          <w:kern w:val="0"/>
          <w:vertAlign w:val="superscript"/>
        </w:rPr>
        <w:t>19–21</w:t>
      </w:r>
      <w:r>
        <w:fldChar w:fldCharType="end"/>
      </w:r>
      <w:r>
        <w:t xml:space="preserve">. The pressure of 0.16–11.47 </w:t>
      </w:r>
      <w:proofErr w:type="spellStart"/>
      <w:r>
        <w:t>Mpa</w:t>
      </w:r>
      <w:proofErr w:type="spellEnd"/>
      <w:r>
        <w:t xml:space="preserve"> estimated from fluid inclusion </w:t>
      </w:r>
      <w:r>
        <w:fldChar w:fldCharType="begin"/>
      </w:r>
      <w:r w:rsidR="004B59EA">
        <w:instrText xml:space="preserve"> ADDIN ZOTERO_ITEM CSL_CITATION {"citationID":"zwPr99CL","properties":{"formattedCitation":"\\super 22\\nosupersub{}","plainCitation":"22","noteIndex":0},"citationItems":[{"id":2409,"uris":["http://zotero.org/users/10529844/items/NHSWXVQ6"],"itemData":{"id":2409,"type":"article-journal","abstract":"The program AqSo_NaCl has been developed to calculate pressure - molar volume - temperature - composition (p-V-T-x) properties, enthalpy, and heat capacity of the binary H2O-NaCl system. The algorithms are designed in BASIC within the Xojo programming environment, and can be operated as stand-alone project with Macintosh-, Windows-, and Unix-based operating systems. A series of ten self-instructive interfaces (modules) are developed to calculate fluid inclusion properties and pore fluid properties. The modules may be used to calculate properties of pure NaCl, the halite-liquidus, the halite-vapourus, dew-point and bubble-point curves (liquid-vapour), critical point, and SLV solid-liquid-vapour curves at temperatures above 0.1 °C (with halite) and below 0.1 °C (with ice or hydrohalite). Isochores of homogeneous fluids and unmixed fluids in a closed system can be calculated and exported to a.txt file. Isochores calculated for fluid inclusions can be corrected according to the volumetric properties of quartz. Microthermometric data, i.e. dissolution temperatures and homogenization temperatures, can be used to calculated bulk fluid properties of fluid inclusions. Alternatively, in the absence of total homogenization temperature the volume fraction of the liquid phase in fluid inclusions can be used to obtain bulk properties.","container-title":"Computers &amp; Geosciences","DOI":"10.1016/j.cageo.2018.03.003","ISSN":"0098-3004","journalAbbreviation":"Computers &amp; Geosciences","page":"122-133","source":"ScienceDirect","title":"AqSo_NaCl: Computer program to calculate p-T-V-x properties in the H2O-NaCl fluid system applied to fluid inclusion research and pore fluid calculation","title-short":"AqSo_NaCl","volume":"115","author":[{"family":"Bakker","given":"Ronald J."}],"issued":{"date-parts":[["2018",6,1]]},"citation-key":"Bakker.2018_AqSo_NaClComputerProgram"}}],"schema":"https://github.com/citation-style-language/schema/raw/master/csl-citation.json"} </w:instrText>
      </w:r>
      <w:r>
        <w:fldChar w:fldCharType="separate"/>
      </w:r>
      <w:r w:rsidR="004B59EA" w:rsidRPr="004B59EA">
        <w:rPr>
          <w:rFonts w:cs="Times New Roman"/>
          <w:kern w:val="0"/>
          <w:vertAlign w:val="superscript"/>
        </w:rPr>
        <w:t>22</w:t>
      </w:r>
      <w:r>
        <w:fldChar w:fldCharType="end"/>
      </w:r>
      <w:r w:rsidR="00391427">
        <w:t xml:space="preserve"> (Supplementary Fig.6h)</w:t>
      </w:r>
      <w:r>
        <w:t xml:space="preserve">. The result is comparable with fluid boiling from several outstanding stibnite deposit like French massif and </w:t>
      </w:r>
      <w:proofErr w:type="spellStart"/>
      <w:r>
        <w:t>Xikuangshan</w:t>
      </w:r>
      <w:proofErr w:type="spellEnd"/>
      <w:r>
        <w:t xml:space="preserve"> </w:t>
      </w:r>
      <w:r>
        <w:fldChar w:fldCharType="begin"/>
      </w:r>
      <w:r w:rsidR="004B59EA">
        <w:instrText xml:space="preserve"> ADDIN ZOTERO_ITEM CSL_CITATION {"citationID":"HvOslX6v","properties":{"formattedCitation":"\\super 7,23\\nosupersub{}","plainCitation":"7,23","noteIndex":0},"citationItems":[{"id":2390,"uris":["http://zotero.org/users/10529844/items/T5BAE9UU"],"itemData":{"id":2390,"type":"article-journal","abstract":"The giant Xikuangshan antimony deposit, located in the Xiangzhong (central Hunan) Basin, South China, is the largest antimony deposit in the world. Stibnite is the predominant ore mineral, and gangue minerals consist of quartz, calcite, fluorite and barite. The ore mineral assemblages include early-stage quartz-stibnite, fluorite-quartz-stibnite and barite-quartz-stibnite, and late-stage calcite-stibnite. In spite of numerous research works on the Xikuangshan deposit during the past several decades, the signatures of the ore-forming fluids and the ore precipitation mechanisms are poorly constrained. In order to characterize the fluids responsible for antimony mineralization and ascertain the genetic processes in the Xikuangshan ore district, conventional and infrared microthermometric measurements have been performed in this study on fluid inclusions hosted in transparent minerals (quartz, fluorite and barite) and opaque stibnite, respectively. Four types of fluid inclusions were identified for the early-stage mineralization based on their phase assemblages, including type I (pure liquid inclusions), type II (two-phase, liquid-rich aqueous inclusions), type III (two-phase, vapor-rich aqueous inclusions) and type IV (pure vapor inclusions). Stibnite only contains type I and type II inclusions, while all types of fluid inclusions are common in the gangue minerals. The homogenization temperatures and salinities of fluid inclusions in stibnite and associated gangue minerals in this ore district display significant differences. Fluid inclusions in stibnite exhibit relatively low homogenization temperatures (112–323 °C) and higher salinities (0.2–15.4 wt% NaCl equiv.) than inclusions in coexisting gangue minerals (119–366 °C, 0.2–4.2 wt% NaCl equiv.), usually about 50 °C less than the “intergrown” gangue minerals. According to the petrography of fluid inclusions and the relationship between their homogenization temperature and salinity, it was concluded that stibnite and gangue minerals in the Xikuangshan ore district are not co-genetic, instead, they were deposited from two distinctly different hydrothermal solutions. Fluid mixing was responsible for stibnite precipitation, but the precipitation of gangue minerals resulted from fluid boiling due to an abrupt drop in pressure. The Xikuangshan deposit is a typical example of mesothermal deposits, rather than an epithermal deposit as previously considered.","container-title":"Ore Geology Reviews","DOI":"10.1016/j.oregeorev.2018.02.005","ISSN":"0169-1368","journalAbbreviation":"Ore Geology Reviews","language":"en","page":"49-64","source":"ScienceDirect","title":"Fluid inclusions and ore precipitation mechanism in the giant Xikuangshan mesothermal antimony deposit, South China: Conventional and infrared microthermometric constraints","title-short":"Fluid inclusions and ore precipitation mechanism in the giant Xikuangshan mesothermal antimony deposit, South China","volume":"95","author":[{"family":"A'xiang","given":"Hu"},{"family":"Jiantang","given":"Peng"}],"issued":{"date-parts":[["2018",4,1]]},"citation-key":"Axiang_Jiantang.2018_FluidInclusionsOre"}},{"id":489,"uris":["http://zotero.org/users/10529844/items/QVAA2MWU"],"itemData":{"id":489,"type":"article-journal","abstract":"Structural, textural, mineralogic, microthermometric, and isotopic data obtained on the Biards Sb-Au district, located in the south Limousin area (Massif Central, France) provide new evidence for the tectonic setting of stibnite and gold deposition during the late orogenic Variscan collapse in western Europe. A variety of geologic and geophysical data define a major, crustal-scale, left-lateral strike-slip shear zone that acted as a trap for Sb-Au mineralization. During these movements, fault-fill veins and then extensional veins of limited extent were created along rheologic heterogeneities that focused brittle deformation. Geometry and orientation of both vein sets indicate two main episodes of emplacement of ore related to a progressive wrench movement in response to an counterclockwise rotation of the regional stress axes. Both veins sets are filled by quartz and sulfides in three stages: an early arsenopyrite-pyrite stage with fine-grained quartz, a sphalerite-Pb, Sb sulfosalt-native gold stage with comb quartz, and a late stibnite-berthierite stage with comb quartz. Combined fluid inclusion and stable isotope studies on quartz, muscovite, and sulfides reveal that the three stages result from the continuous evolution of a deep-seated hydrothermal system in which the latest stages mixed with meteoric water. These data argue for cooling and a pressure drop during ore deposition and indicate a shallow level of emplacement for Sb-Au veins. A comparison of the Biards deposits with other upper Paleozoic gold and antimony deposits in the Massif Central, the western Variscides, and elsewhere in the world illustrates their common association with crustal-scale, strike-slip shear zones. The Upper Carboniferous age (305-300 Ma) of the Sb-Au deposits indicates that they formed during the early stages of the postthickening extension of the Variscan lithosphere. Sb-Au-bearing strike-slip shear zones resulted from the late Variscan crustal collapse guided by the very large scale dextral shearing between central Europe, northern Africa, and the northern Appalachians, and associated with the opening of the paleo-Tethys and the closing of the Theic ocean during the late Paleozoic Gondwana-Laurasia translation.","container-title":"Economic Geology","DOI":"10.2113/gsecongeo.98.7.1427","ISSN":"03610128","issue":"7","page":"1427-1447","title":"The biards Sb-Au-bearing shear zone (Massif Central, France): An indicator of crustal-scale transcurrent tectonic guiding Late Variscan Collapse","volume":"98","author":[{"family":"Bellot","given":"Jean Philippe"},{"family":"Lerouge","given":"Catherine"},{"family":"Bailly","given":"Laurent"},{"family":"Bouchot","given":"Vincent"}],"issued":{"date-parts":[["2003"]]},"citation-key":"Bellot_etal.2003_BiardsSbAubearingShear"}}],"schema":"https://github.com/citation-style-language/schema/raw/master/csl-citation.json"} </w:instrText>
      </w:r>
      <w:r>
        <w:fldChar w:fldCharType="separate"/>
      </w:r>
      <w:r w:rsidR="004B59EA" w:rsidRPr="004B59EA">
        <w:rPr>
          <w:rFonts w:cs="Times New Roman"/>
          <w:kern w:val="0"/>
          <w:vertAlign w:val="superscript"/>
        </w:rPr>
        <w:t>7,23</w:t>
      </w:r>
      <w:r>
        <w:fldChar w:fldCharType="end"/>
      </w:r>
      <w:r>
        <w:t xml:space="preserve">. The pressure fluctuation of ore-forming fluid during stibnite deposition could lead to subsequent fluid cooling by decompression </w:t>
      </w:r>
      <w:r>
        <w:fldChar w:fldCharType="begin"/>
      </w:r>
      <w:r w:rsidR="004B59EA">
        <w:instrText xml:space="preserve"> ADDIN ZOTERO_ITEM CSL_CITATION {"citationID":"m6l2pIeS","properties":{"formattedCitation":"\\super 21,24\\nosupersub{}","plainCitation":"21,24","noteIndex":0},"citationItems":[{"id":465,"uris":["http://zotero.org/users/10529844/items/6IYIQG2F"],"itemData":{"id":465,"type":"article-journal","abstract":"Antimony-rich vein mineralisation is widespread in the German part of the Variscan orogenic belt. Mineralogical investigation of a representative suite of these deposits, coupled with fluid inclusion characterisation and microthermometry, permits a reconstruction of their genetic evolution. Two structural settings host antimony mineralisation: the cores or flanks of anticlinal zones and major lithological contrasts. Channelled migration of geothermal fluids through permeable rock sequences and later stagnation of fluids in cap-rock situations inside the anticlinal zones led to mineral deposition. The mineralising event is interpreted as relating to input of deep-sourced fluids during late-orogenic exhumation at the transitional stage between collision tectonics and the late-Variscan extensional regime. Fluid inclusion data, chlorite geothermometry and the presence of meneghinite as a characteristic Pb-Sb-sulfosalt mineral in a number of vein systems allows constraints on model P-T conditions at the onset of mineralisation to be made. These are as high as 390 to 440 °C at 0.6-1.0 kbar for the Saarsegen, Apollo and Schone Freundschaft deposits, with lower temperatures of 320-340 °C being obtained for the Spes deposit. The fluid inclusion data indicate drastic fluid cooling during the mineralising event; minimum temperatures of approximately 150-220 °C are obtained for all deposits at the end of vein quartz formation, which coincided with deposition of stibnite and most of the Pb-Sb sulfosalts. Besides the formation of extensional quartz-stibnite-Pb-sulfosalt veins, the mineralising, low-salinity NaCl-KCl-rich high-temperature tectonic brines have overprinted sulfide assemblages within earlier siderite-(Cu)-Pb-Zn veins. This has led to replacement reaction textures and remobilisation of sulfide components within the vein systems. In contrast with the earlier siderite-(Cu)-Pb-Zn veins, neither the quartz-stibnite-sulfosalt nor the (Cu)-Pb-Sb sulfosalt assemblages were affected by Variscan deformation. Rather, they display characteristic extensional features crosscutting all earlier structures and can thus be assigned to a later phase of mineralisation. Fluid composition characteristics and structural criteria indicate formation in the latest part of the Variscan mineralisation cycle; a post-Variscan genesis being rejected on grounds of conspicuously diverging fluid characteristics. A comparison of antimony deposits in the Rheinisches Schiefergebirge with other late-orogenic deposits elsewhere in the European Variscan belt indicates a significant number of shared features, enabling them to be placed into a common model related to the onset of late-Variscan brittle extensional tectonics.","container-title":"Mineralium Deposita","DOI":"10.1007/s001260050016","ISSN":"00264598","issue":"2-3","page":"206-222","title":"Late-Variscan antimony mineralisation in the Rheinisches Schiefergebirge, NW Germany: Evidence for stibnite precipitation by drastic cooling of high-temperature fluid systems","volume":"35","author":[{"family":"Wagner","given":"T."},{"family":"Cook","given":"N. J."}],"issued":{"date-parts":[["2000"]]},"citation-key":"Wagner_Cook.2000_LateVariscanAntimonyMineralisation"}},{"id":28,"uris":["http://zotero.org/users/10529844/items/CQ54MDH3"],"itemData":{"id":28,"type":"article-journal","container-title":"Lithos","DOI":"10.1016/S0024-4937(00)00047-5","ISSN":"00244937","issue":"1-4","note":"PMID: 21537914\narXiv: 0911.0038\nISBN: 9780080959757","page":"229-272","title":"Fluid inclusions in hydrothermal ore deposits","volume":"55","author":[{"family":"Wilkinson","given":"J.J"}],"issued":{"date-parts":[["2001"]]},"citation-key":"Wilkinson.2001_FluidInclusionsHydrothermal"}}],"schema":"https://github.com/citation-style-language/schema/raw/master/csl-citation.json"} </w:instrText>
      </w:r>
      <w:r>
        <w:fldChar w:fldCharType="separate"/>
      </w:r>
      <w:r w:rsidR="004B59EA" w:rsidRPr="004B59EA">
        <w:rPr>
          <w:rFonts w:cs="Times New Roman"/>
          <w:kern w:val="0"/>
          <w:vertAlign w:val="superscript"/>
        </w:rPr>
        <w:t>21,24</w:t>
      </w:r>
      <w:r>
        <w:fldChar w:fldCharType="end"/>
      </w:r>
      <w:r>
        <w:t>. Perfect euhedral texture or bi-pyramidal quartz can be an indication of decompression processes by flashing events leading the instantaneous and efficient mineral precipitation (</w:t>
      </w:r>
      <w:r w:rsidR="005A147E">
        <w:t xml:space="preserve">Supplementary Fig. </w:t>
      </w:r>
      <w:r w:rsidR="00C52C3C">
        <w:t>6</w:t>
      </w:r>
      <w:r w:rsidR="00105BBF">
        <w:t>d</w:t>
      </w:r>
      <w:r>
        <w:t xml:space="preserve">) </w:t>
      </w:r>
      <w:r>
        <w:fldChar w:fldCharType="begin"/>
      </w:r>
      <w:r w:rsidR="004B59EA">
        <w:instrText xml:space="preserve"> ADDIN ZOTERO_ITEM CSL_CITATION {"citationID":"6KAAJOtX","properties":{"formattedCitation":"\\super 25,26\\nosupersub{}","plainCitation":"25,26","noteIndex":0},"citationItems":[{"id":654,"uris":["http://zotero.org/users/10529844/items/P9U2X8Q6"],"itemData":{"id":654,"type":"article-journal","container-title":"Scientific Reports","DOI":"10.1038/s41598-019-46320-7","ISSN":"20452322","issue":"1","page":"1-9","title":"Silica nanoparticles produced by explosive flash vaporization during earthquakes","volume":"9","author":[{"family":"Amagai","given":"Takashi"},{"family":"Okamoto","given":"Atsushi"},{"family":"Niibe","given":"Takamasa"},{"family":"Hirano","given":"Nobuo"},{"family":"Motomiya","given":"Kenichi"},{"family":"Tsuchiya","given":"Noriyoshi"}],"issued":{"date-parts":[["2019"]]},"citation-key":"Amagai_etal.2019_SilicaNanoparticlesProduced"}},{"id":18,"uris":["http://zotero.org/users/10529844/items/XNC25BR2"],"itemData":{"id":18,"type":"article-journal","abstract":"Much of the world’s known gold has been derived from arrays of quartz veins. The veins formed during periods of mountain building that occurred as long as 3 billion years ago, and were deposited by very large volumes of water that flowed along deep, seismically active faults. The veins formed under fluctuating pressures during earthquakes, but the magnitude of the pressure fluctuations and their influence on mineral deposition is not known. Here we use a simple thermo-mechanical piston model to calculate the drop in fluid pressure experienced by a fluid-filled fault cavity during an earthquake. The geometry of the model is constrained using measurements of typical fault jogs, such as those preserved in the Revenge gold deposit in Western Australia, and other gold deposits around the world. We find that cavity expansion generates extreme reductions in pressure that cause the fluid that is trapped in the jog to expand to a very low-density vapour. Such flash vaporization of the fluid results in the rapid co-deposition of silica with a range of trace elements to form gold-enriched quartz veins. Flash vaporization continues as more fluid flows towards the newly expanded cavity, until the pressure in the cavity eventually recovers to ambient conditions. Multiple earthquakes progressively build economic-grade gold deposits.","container-title":"Nature Geoscience","DOI":"10.1038/ngeo1759","ISSN":"17520894","issue":"4","note":"publisher: Nature Publishing Group\nISBN: 1752-0894","page":"294-298","title":"Flash vaporization during earthquakes evidenced by gold depositsWeatherley, D. K., &amp; Henley, R. W. (2013). Flash vaporization during earthquakes evidenced by gold deposits. Nature Geoscience, 6(4), 294–298. https://doi.org/10.1038/ngeo1759","volume":"6","author":[{"family":"Weatherley","given":"Dion K."},{"family":"Henley","given":"Richard W."}],"issued":{"date-parts":[["2013"]]},"citation-key":"Weatherley_Henley.2013_FlashVaporizationEarthquakes"}}],"schema":"https://github.com/citation-style-language/schema/raw/master/csl-citation.json"} </w:instrText>
      </w:r>
      <w:r>
        <w:fldChar w:fldCharType="separate"/>
      </w:r>
      <w:r w:rsidR="004B59EA" w:rsidRPr="004B59EA">
        <w:rPr>
          <w:rFonts w:cs="Times New Roman"/>
          <w:kern w:val="0"/>
          <w:vertAlign w:val="superscript"/>
        </w:rPr>
        <w:t>25,26</w:t>
      </w:r>
      <w:r>
        <w:fldChar w:fldCharType="end"/>
      </w:r>
      <w:r>
        <w:t>. Moreover, the</w:t>
      </w:r>
      <w:r w:rsidRPr="00316C26">
        <w:t xml:space="preserve"> decrease in the sulfur fugacity </w:t>
      </w:r>
      <w:r>
        <w:t>(</w:t>
      </w:r>
      <w:r w:rsidRPr="00316C26">
        <w:t>depleted sulfur on the rim of pyrite and arsenopyrite</w:t>
      </w:r>
      <w:r>
        <w:t>)</w:t>
      </w:r>
      <w:r w:rsidRPr="00316C26">
        <w:t xml:space="preserve"> in low Ph condition (vuggy texture) also enhanced the stibnite scavenging from </w:t>
      </w:r>
      <w:r>
        <w:t xml:space="preserve">ore-forming </w:t>
      </w:r>
      <w:r w:rsidRPr="00316C26">
        <w:t>fluid</w:t>
      </w:r>
      <w:r>
        <w:t xml:space="preserve"> (Supplementary Fig. </w:t>
      </w:r>
      <w:r w:rsidR="005A147E">
        <w:t>2</w:t>
      </w:r>
      <w:r>
        <w:t>).</w:t>
      </w:r>
      <w:r w:rsidRPr="00316C26">
        <w:t xml:space="preserve"> </w:t>
      </w:r>
      <w:r>
        <w:t xml:space="preserve">  </w:t>
      </w:r>
    </w:p>
    <w:p w14:paraId="3AD3ED14" w14:textId="6981F01F" w:rsidR="00D17F6A" w:rsidRPr="00202EAF" w:rsidRDefault="00D17F6A" w:rsidP="00BC06CF">
      <w:pPr>
        <w:pStyle w:val="BodyText"/>
        <w:spacing w:line="360" w:lineRule="auto"/>
        <w:jc w:val="both"/>
        <w:rPr>
          <w:rFonts w:cs="Times New Roman"/>
          <w:b/>
          <w:bCs/>
          <w:sz w:val="28"/>
          <w:szCs w:val="28"/>
        </w:rPr>
      </w:pPr>
      <w:r w:rsidRPr="009A3472">
        <w:rPr>
          <w:b/>
          <w:bCs/>
        </w:rPr>
        <w:br w:type="page"/>
      </w:r>
    </w:p>
    <w:p w14:paraId="22CEF58C" w14:textId="6C3EA885" w:rsidR="00F81E30" w:rsidRDefault="00F81E30" w:rsidP="00F81E30">
      <w:pPr>
        <w:pStyle w:val="Heading1"/>
        <w:numPr>
          <w:ilvl w:val="0"/>
          <w:numId w:val="0"/>
        </w:numPr>
      </w:pPr>
      <w:r>
        <w:rPr>
          <w:sz w:val="28"/>
        </w:rPr>
        <w:t>Supplementary</w:t>
      </w:r>
      <w:r>
        <w:rPr>
          <w:spacing w:val="-29"/>
          <w:sz w:val="28"/>
        </w:rPr>
        <w:t xml:space="preserve"> </w:t>
      </w:r>
      <w:r>
        <w:rPr>
          <w:sz w:val="28"/>
        </w:rPr>
        <w:t>Figures</w:t>
      </w:r>
    </w:p>
    <w:p w14:paraId="31BE830C" w14:textId="77777777" w:rsidR="00F81E30" w:rsidRDefault="00F81E30"/>
    <w:p w14:paraId="3778667A" w14:textId="34C11F23" w:rsidR="003631E0" w:rsidRDefault="007F0EF4" w:rsidP="003631E0">
      <w:pPr>
        <w:keepNext/>
        <w:jc w:val="center"/>
      </w:pPr>
      <w:r>
        <w:rPr>
          <w:noProof/>
        </w:rPr>
        <w:drawing>
          <wp:inline distT="0" distB="0" distL="0" distR="0" wp14:anchorId="48742521" wp14:editId="6FD44107">
            <wp:extent cx="5495290" cy="5417185"/>
            <wp:effectExtent l="0" t="0" r="0" b="0"/>
            <wp:docPr id="1730030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5290" cy="5417185"/>
                    </a:xfrm>
                    <a:prstGeom prst="rect">
                      <a:avLst/>
                    </a:prstGeom>
                    <a:noFill/>
                    <a:ln>
                      <a:noFill/>
                    </a:ln>
                  </pic:spPr>
                </pic:pic>
              </a:graphicData>
            </a:graphic>
          </wp:inline>
        </w:drawing>
      </w:r>
    </w:p>
    <w:p w14:paraId="40C8987C" w14:textId="47152438" w:rsidR="003631E0" w:rsidRPr="00A65CFA" w:rsidRDefault="003631E0" w:rsidP="003631E0">
      <w:pPr>
        <w:pStyle w:val="Caption"/>
        <w:rPr>
          <w:rFonts w:ascii="Times New Roman" w:hAnsi="Times New Roman" w:cs="Times New Roman"/>
          <w:color w:val="auto"/>
          <w:sz w:val="20"/>
          <w:szCs w:val="20"/>
        </w:rPr>
      </w:pPr>
      <w:r w:rsidRPr="00A65CFA">
        <w:rPr>
          <w:rFonts w:ascii="Times New Roman" w:hAnsi="Times New Roman" w:cs="Times New Roman"/>
          <w:color w:val="auto"/>
          <w:sz w:val="20"/>
          <w:szCs w:val="20"/>
        </w:rPr>
        <w:t xml:space="preserve">Supplementary Figures </w:t>
      </w:r>
      <w:r w:rsidR="002E4DDE" w:rsidRPr="00A65CFA">
        <w:rPr>
          <w:rFonts w:ascii="Times New Roman" w:hAnsi="Times New Roman" w:cs="Times New Roman"/>
          <w:color w:val="auto"/>
          <w:sz w:val="20"/>
          <w:szCs w:val="20"/>
        </w:rPr>
        <w:fldChar w:fldCharType="begin"/>
      </w:r>
      <w:r w:rsidR="002E4DDE" w:rsidRPr="00A65CFA">
        <w:rPr>
          <w:rFonts w:ascii="Times New Roman" w:hAnsi="Times New Roman" w:cs="Times New Roman"/>
          <w:color w:val="auto"/>
          <w:sz w:val="20"/>
          <w:szCs w:val="20"/>
        </w:rPr>
        <w:instrText xml:space="preserve"> SEQ Supplementary_Figures \* ARABIC </w:instrText>
      </w:r>
      <w:r w:rsidR="002E4DDE" w:rsidRPr="00A65CFA">
        <w:rPr>
          <w:rFonts w:ascii="Times New Roman" w:hAnsi="Times New Roman" w:cs="Times New Roman"/>
          <w:color w:val="auto"/>
          <w:sz w:val="20"/>
          <w:szCs w:val="20"/>
        </w:rPr>
        <w:fldChar w:fldCharType="separate"/>
      </w:r>
      <w:r w:rsidR="00D812D7">
        <w:rPr>
          <w:rFonts w:ascii="Times New Roman" w:hAnsi="Times New Roman" w:cs="Times New Roman"/>
          <w:noProof/>
          <w:color w:val="auto"/>
          <w:sz w:val="20"/>
          <w:szCs w:val="20"/>
        </w:rPr>
        <w:t>1</w:t>
      </w:r>
      <w:r w:rsidR="002E4DDE" w:rsidRPr="00A65CFA">
        <w:rPr>
          <w:rFonts w:ascii="Times New Roman" w:hAnsi="Times New Roman" w:cs="Times New Roman"/>
          <w:noProof/>
          <w:color w:val="auto"/>
          <w:sz w:val="20"/>
          <w:szCs w:val="20"/>
        </w:rPr>
        <w:fldChar w:fldCharType="end"/>
      </w:r>
      <w:r w:rsidRPr="00A65CFA">
        <w:rPr>
          <w:rFonts w:ascii="Times New Roman" w:hAnsi="Times New Roman" w:cs="Times New Roman"/>
          <w:color w:val="auto"/>
          <w:sz w:val="20"/>
          <w:szCs w:val="20"/>
        </w:rPr>
        <w:t xml:space="preserve">. </w:t>
      </w:r>
      <w:r w:rsidRPr="00A65CFA">
        <w:rPr>
          <w:rFonts w:ascii="Times New Roman" w:hAnsi="Times New Roman" w:cs="Times New Roman"/>
          <w:b/>
          <w:bCs/>
          <w:color w:val="auto"/>
          <w:sz w:val="20"/>
          <w:szCs w:val="20"/>
        </w:rPr>
        <w:t xml:space="preserve">Ichinokawa and its </w:t>
      </w:r>
      <w:r w:rsidR="009C58E0" w:rsidRPr="00A65CFA">
        <w:rPr>
          <w:rFonts w:ascii="Times New Roman" w:hAnsi="Times New Roman" w:cs="Times New Roman"/>
          <w:b/>
          <w:bCs/>
          <w:color w:val="auto"/>
          <w:sz w:val="20"/>
          <w:szCs w:val="20"/>
        </w:rPr>
        <w:t>relationship</w:t>
      </w:r>
      <w:r w:rsidRPr="00A65CFA">
        <w:rPr>
          <w:rFonts w:ascii="Times New Roman" w:hAnsi="Times New Roman" w:cs="Times New Roman"/>
          <w:b/>
          <w:bCs/>
          <w:color w:val="auto"/>
          <w:sz w:val="20"/>
          <w:szCs w:val="20"/>
        </w:rPr>
        <w:t xml:space="preserve"> with MTL</w:t>
      </w:r>
      <w:r w:rsidRPr="00A65CFA">
        <w:rPr>
          <w:rFonts w:ascii="Times New Roman" w:hAnsi="Times New Roman" w:cs="Times New Roman"/>
          <w:color w:val="auto"/>
          <w:sz w:val="20"/>
          <w:szCs w:val="20"/>
        </w:rPr>
        <w:t xml:space="preserve"> (a) Ichinokawa is very near to median tecton</w:t>
      </w:r>
      <w:r w:rsidR="009C58E0" w:rsidRPr="00A65CFA">
        <w:rPr>
          <w:rFonts w:ascii="Times New Roman" w:hAnsi="Times New Roman" w:cs="Times New Roman"/>
          <w:color w:val="auto"/>
          <w:sz w:val="20"/>
          <w:szCs w:val="20"/>
        </w:rPr>
        <w:t xml:space="preserve">ic line </w:t>
      </w:r>
      <w:r w:rsidRPr="00A65CFA">
        <w:rPr>
          <w:rFonts w:ascii="Times New Roman" w:hAnsi="Times New Roman" w:cs="Times New Roman"/>
          <w:color w:val="auto"/>
          <w:sz w:val="20"/>
          <w:szCs w:val="20"/>
        </w:rPr>
        <w:t xml:space="preserve">(MTL) and </w:t>
      </w:r>
      <w:r w:rsidR="009C58E0" w:rsidRPr="00A65CFA">
        <w:rPr>
          <w:rFonts w:ascii="Times New Roman" w:hAnsi="Times New Roman" w:cs="Times New Roman"/>
          <w:color w:val="auto"/>
          <w:sz w:val="20"/>
          <w:szCs w:val="20"/>
        </w:rPr>
        <w:t>the breccia is more likely controlled by the movement of MTL</w:t>
      </w:r>
      <w:r w:rsidR="00265CB4">
        <w:rPr>
          <w:rFonts w:ascii="Times New Roman" w:hAnsi="Times New Roman" w:cs="Times New Roman"/>
          <w:color w:val="auto"/>
          <w:sz w:val="20"/>
          <w:szCs w:val="20"/>
        </w:rPr>
        <w:t xml:space="preserve">. </w:t>
      </w:r>
      <w:r w:rsidR="007B2244" w:rsidRPr="00A65CFA">
        <w:rPr>
          <w:rFonts w:ascii="Times New Roman" w:hAnsi="Times New Roman" w:cs="Times New Roman"/>
          <w:color w:val="auto"/>
          <w:sz w:val="20"/>
          <w:szCs w:val="20"/>
        </w:rPr>
        <w:t>(</w:t>
      </w:r>
      <w:r w:rsidR="00265CB4">
        <w:rPr>
          <w:rFonts w:ascii="Times New Roman" w:hAnsi="Times New Roman" w:cs="Times New Roman"/>
          <w:color w:val="auto"/>
          <w:sz w:val="20"/>
          <w:szCs w:val="20"/>
        </w:rPr>
        <w:t>b</w:t>
      </w:r>
      <w:r w:rsidR="007B2244" w:rsidRPr="00A65CFA">
        <w:rPr>
          <w:rFonts w:ascii="Times New Roman" w:hAnsi="Times New Roman" w:cs="Times New Roman"/>
          <w:color w:val="auto"/>
          <w:sz w:val="20"/>
          <w:szCs w:val="20"/>
        </w:rPr>
        <w:t>) Simplified outline of MTL and local fault in Ichinokawa with two observation points. The distance between Ichinokawa and MTL is relatively close with the dynamics-wide of damage zone of observed outcrop ~500m. (</w:t>
      </w:r>
      <w:r w:rsidR="00265CB4">
        <w:rPr>
          <w:rFonts w:ascii="Times New Roman" w:hAnsi="Times New Roman" w:cs="Times New Roman"/>
          <w:color w:val="auto"/>
          <w:sz w:val="20"/>
          <w:szCs w:val="20"/>
        </w:rPr>
        <w:t>c</w:t>
      </w:r>
      <w:r w:rsidR="007B2244" w:rsidRPr="00A65CFA">
        <w:rPr>
          <w:rFonts w:ascii="Times New Roman" w:hAnsi="Times New Roman" w:cs="Times New Roman"/>
          <w:color w:val="auto"/>
          <w:sz w:val="20"/>
          <w:szCs w:val="20"/>
        </w:rPr>
        <w:t>) At location 1 (marked in blue) the orientation of the breccia and fault parallels the MTL. (</w:t>
      </w:r>
      <w:r w:rsidR="00265CB4">
        <w:rPr>
          <w:rFonts w:ascii="Times New Roman" w:hAnsi="Times New Roman" w:cs="Times New Roman"/>
          <w:color w:val="auto"/>
          <w:sz w:val="20"/>
          <w:szCs w:val="20"/>
        </w:rPr>
        <w:t>d</w:t>
      </w:r>
      <w:r w:rsidR="007B2244" w:rsidRPr="00A65CFA">
        <w:rPr>
          <w:rFonts w:ascii="Times New Roman" w:hAnsi="Times New Roman" w:cs="Times New Roman"/>
          <w:color w:val="auto"/>
          <w:sz w:val="20"/>
          <w:szCs w:val="20"/>
        </w:rPr>
        <w:t>) While at location 2 (orange) the orientation of the conjugate faults tends to be perpendicular to the MTL. (</w:t>
      </w:r>
      <w:r w:rsidR="00265CB4">
        <w:rPr>
          <w:rFonts w:ascii="Times New Roman" w:hAnsi="Times New Roman" w:cs="Times New Roman"/>
          <w:color w:val="auto"/>
          <w:sz w:val="20"/>
          <w:szCs w:val="20"/>
        </w:rPr>
        <w:t>e</w:t>
      </w:r>
      <w:r w:rsidR="007B2244" w:rsidRPr="00A65CFA">
        <w:rPr>
          <w:rFonts w:ascii="Times New Roman" w:hAnsi="Times New Roman" w:cs="Times New Roman"/>
          <w:color w:val="auto"/>
          <w:sz w:val="20"/>
          <w:szCs w:val="20"/>
        </w:rPr>
        <w:t>) This implies that dynamics rupture occurs in this area according to kinematics analysis.</w:t>
      </w:r>
    </w:p>
    <w:p w14:paraId="6EEFCF47" w14:textId="6A8EA9E1" w:rsidR="003631E0" w:rsidRDefault="003631E0" w:rsidP="003631E0">
      <w:pPr>
        <w:pStyle w:val="Caption"/>
        <w:jc w:val="center"/>
      </w:pPr>
    </w:p>
    <w:p w14:paraId="6BA7E37C" w14:textId="129A4EF6" w:rsidR="00FB5DD9" w:rsidRDefault="00FB5DD9" w:rsidP="003631E0">
      <w:pPr>
        <w:pStyle w:val="Caption"/>
        <w:jc w:val="center"/>
        <w:rPr>
          <w:noProof/>
        </w:rPr>
      </w:pPr>
    </w:p>
    <w:p w14:paraId="401984B0" w14:textId="6E7EEA17" w:rsidR="003631E0" w:rsidRDefault="00043B25" w:rsidP="003631E0">
      <w:pPr>
        <w:keepNext/>
        <w:jc w:val="center"/>
      </w:pPr>
      <w:r>
        <w:rPr>
          <w:noProof/>
        </w:rPr>
        <w:drawing>
          <wp:inline distT="0" distB="0" distL="0" distR="0" wp14:anchorId="276A8C4B" wp14:editId="7A0F46D5">
            <wp:extent cx="5608955" cy="4544695"/>
            <wp:effectExtent l="0" t="0" r="0" b="8255"/>
            <wp:docPr id="1119874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8955" cy="4544695"/>
                    </a:xfrm>
                    <a:prstGeom prst="rect">
                      <a:avLst/>
                    </a:prstGeom>
                    <a:noFill/>
                    <a:ln>
                      <a:noFill/>
                    </a:ln>
                  </pic:spPr>
                </pic:pic>
              </a:graphicData>
            </a:graphic>
          </wp:inline>
        </w:drawing>
      </w:r>
    </w:p>
    <w:p w14:paraId="747188BA" w14:textId="57056774" w:rsidR="001F3EBB" w:rsidRPr="00A65CFA" w:rsidRDefault="003631E0" w:rsidP="001F3EBB">
      <w:pPr>
        <w:pStyle w:val="Caption"/>
        <w:rPr>
          <w:rFonts w:ascii="Times New Roman" w:hAnsi="Times New Roman" w:cs="Times New Roman"/>
          <w:color w:val="auto"/>
          <w:sz w:val="20"/>
          <w:szCs w:val="20"/>
        </w:rPr>
      </w:pPr>
      <w:r w:rsidRPr="00A65CFA">
        <w:rPr>
          <w:rFonts w:ascii="Times New Roman" w:hAnsi="Times New Roman" w:cs="Times New Roman"/>
          <w:color w:val="auto"/>
          <w:sz w:val="20"/>
          <w:szCs w:val="20"/>
        </w:rPr>
        <w:t xml:space="preserve">Supplementary Figures 1. </w:t>
      </w:r>
      <w:r w:rsidRPr="00A65CFA">
        <w:rPr>
          <w:rFonts w:ascii="Times New Roman" w:hAnsi="Times New Roman" w:cs="Times New Roman"/>
          <w:b/>
          <w:bCs/>
          <w:color w:val="auto"/>
          <w:sz w:val="20"/>
          <w:szCs w:val="20"/>
        </w:rPr>
        <w:t xml:space="preserve">(continue) </w:t>
      </w:r>
      <w:r w:rsidR="001F3EBB" w:rsidRPr="00A65CFA">
        <w:rPr>
          <w:rFonts w:ascii="Times New Roman" w:hAnsi="Times New Roman" w:cs="Times New Roman"/>
          <w:b/>
          <w:bCs/>
          <w:color w:val="auto"/>
          <w:sz w:val="20"/>
          <w:szCs w:val="20"/>
        </w:rPr>
        <w:t>Assemblages breccia and the composition of the matrix component</w:t>
      </w:r>
      <w:r w:rsidR="001F3EBB" w:rsidRPr="00A65CFA">
        <w:rPr>
          <w:rFonts w:ascii="Times New Roman" w:hAnsi="Times New Roman" w:cs="Times New Roman"/>
          <w:color w:val="auto"/>
          <w:sz w:val="20"/>
          <w:szCs w:val="20"/>
        </w:rPr>
        <w:t xml:space="preserve"> (</w:t>
      </w:r>
      <w:r w:rsidR="001F3EBB">
        <w:rPr>
          <w:rFonts w:ascii="Times New Roman" w:hAnsi="Times New Roman" w:cs="Times New Roman"/>
          <w:color w:val="auto"/>
          <w:sz w:val="20"/>
          <w:szCs w:val="20"/>
        </w:rPr>
        <w:t>f</w:t>
      </w:r>
      <w:r w:rsidR="001F3EBB" w:rsidRPr="00A65CFA">
        <w:rPr>
          <w:rFonts w:ascii="Times New Roman" w:hAnsi="Times New Roman" w:cs="Times New Roman"/>
          <w:color w:val="auto"/>
          <w:sz w:val="20"/>
          <w:szCs w:val="20"/>
        </w:rPr>
        <w:t>) Relative abundance of the matrix. (</w:t>
      </w:r>
      <w:r w:rsidR="001F3EBB">
        <w:rPr>
          <w:rFonts w:ascii="Times New Roman" w:hAnsi="Times New Roman" w:cs="Times New Roman"/>
          <w:color w:val="auto"/>
          <w:sz w:val="20"/>
          <w:szCs w:val="20"/>
        </w:rPr>
        <w:t>g-h</w:t>
      </w:r>
      <w:r w:rsidR="001F3EBB" w:rsidRPr="00A65CFA">
        <w:rPr>
          <w:rFonts w:ascii="Times New Roman" w:hAnsi="Times New Roman" w:cs="Times New Roman"/>
          <w:color w:val="auto"/>
          <w:sz w:val="20"/>
          <w:szCs w:val="20"/>
        </w:rPr>
        <w:t xml:space="preserve">) The dolomite profile within the matrix shows the variation of Mg and Fe corresponding to </w:t>
      </w:r>
      <w:r w:rsidR="001D6A53">
        <w:rPr>
          <w:rFonts w:ascii="Times New Roman" w:hAnsi="Times New Roman" w:cs="Times New Roman"/>
          <w:color w:val="auto"/>
          <w:sz w:val="20"/>
          <w:szCs w:val="20"/>
        </w:rPr>
        <w:t>five</w:t>
      </w:r>
      <w:r w:rsidR="00E568B0">
        <w:rPr>
          <w:rFonts w:ascii="Times New Roman" w:hAnsi="Times New Roman" w:cs="Times New Roman"/>
          <w:color w:val="auto"/>
          <w:sz w:val="20"/>
          <w:szCs w:val="20"/>
        </w:rPr>
        <w:t xml:space="preserve"> oscillatory</w:t>
      </w:r>
      <w:r w:rsidR="001F3EBB">
        <w:rPr>
          <w:rFonts w:ascii="Times New Roman" w:hAnsi="Times New Roman" w:cs="Times New Roman"/>
          <w:color w:val="auto"/>
          <w:sz w:val="20"/>
          <w:szCs w:val="20"/>
        </w:rPr>
        <w:t xml:space="preserve"> </w:t>
      </w:r>
      <w:r w:rsidR="001F3EBB" w:rsidRPr="00A65CFA">
        <w:rPr>
          <w:rFonts w:ascii="Times New Roman" w:hAnsi="Times New Roman" w:cs="Times New Roman"/>
          <w:color w:val="auto"/>
          <w:sz w:val="20"/>
          <w:szCs w:val="20"/>
        </w:rPr>
        <w:t xml:space="preserve">zoning </w:t>
      </w:r>
      <w:r w:rsidR="00165F3D">
        <w:rPr>
          <w:rFonts w:ascii="Times New Roman" w:hAnsi="Times New Roman" w:cs="Times New Roman"/>
          <w:color w:val="auto"/>
          <w:sz w:val="20"/>
          <w:szCs w:val="20"/>
        </w:rPr>
        <w:t xml:space="preserve">under </w:t>
      </w:r>
      <w:r w:rsidR="001F3EBB" w:rsidRPr="00A65CFA">
        <w:rPr>
          <w:rFonts w:ascii="Times New Roman" w:hAnsi="Times New Roman" w:cs="Times New Roman"/>
          <w:color w:val="auto"/>
          <w:sz w:val="20"/>
          <w:szCs w:val="20"/>
        </w:rPr>
        <w:t xml:space="preserve">backscattered image (BSE). A thin-section scan with a red-dashed square indicates the areas analyzed for </w:t>
      </w:r>
      <w:r w:rsidR="001F3EBB">
        <w:rPr>
          <w:rFonts w:ascii="Times New Roman" w:hAnsi="Times New Roman" w:cs="Times New Roman"/>
          <w:color w:val="auto"/>
          <w:sz w:val="20"/>
          <w:szCs w:val="20"/>
        </w:rPr>
        <w:t>a couple</w:t>
      </w:r>
      <w:r w:rsidR="001F3EBB" w:rsidRPr="00A65CFA">
        <w:rPr>
          <w:rFonts w:ascii="Times New Roman" w:hAnsi="Times New Roman" w:cs="Times New Roman"/>
          <w:color w:val="auto"/>
          <w:sz w:val="20"/>
          <w:szCs w:val="20"/>
        </w:rPr>
        <w:t xml:space="preserve"> of analyses in this study.</w:t>
      </w:r>
    </w:p>
    <w:p w14:paraId="7D82F377" w14:textId="42972DEC" w:rsidR="00F81E30" w:rsidRDefault="00F81E30" w:rsidP="001F3EBB">
      <w:pPr>
        <w:pStyle w:val="Caption"/>
        <w:rPr>
          <w:noProof/>
        </w:rPr>
      </w:pPr>
    </w:p>
    <w:p w14:paraId="7D63CED3" w14:textId="77777777" w:rsidR="00F81E30" w:rsidRDefault="00F81E30" w:rsidP="00F81E30">
      <w:pPr>
        <w:rPr>
          <w:noProof/>
        </w:rPr>
      </w:pPr>
    </w:p>
    <w:p w14:paraId="6C5E3D58" w14:textId="76644097" w:rsidR="00F81E30" w:rsidRDefault="00F81E30">
      <w:r>
        <w:br w:type="page"/>
      </w:r>
    </w:p>
    <w:p w14:paraId="41E169C0" w14:textId="05C55E67" w:rsidR="009C58E0" w:rsidRDefault="005A4F91" w:rsidP="009C58E0">
      <w:pPr>
        <w:keepNext/>
        <w:jc w:val="center"/>
      </w:pPr>
      <w:r>
        <w:rPr>
          <w:noProof/>
        </w:rPr>
        <w:drawing>
          <wp:inline distT="0" distB="0" distL="0" distR="0" wp14:anchorId="37C6E28F" wp14:editId="6EABC13A">
            <wp:extent cx="4789805" cy="3145790"/>
            <wp:effectExtent l="0" t="0" r="0" b="0"/>
            <wp:docPr id="2017989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9805" cy="3145790"/>
                    </a:xfrm>
                    <a:prstGeom prst="rect">
                      <a:avLst/>
                    </a:prstGeom>
                    <a:noFill/>
                    <a:ln>
                      <a:noFill/>
                    </a:ln>
                  </pic:spPr>
                </pic:pic>
              </a:graphicData>
            </a:graphic>
          </wp:inline>
        </w:drawing>
      </w:r>
    </w:p>
    <w:p w14:paraId="7F0EE926" w14:textId="6102F050" w:rsidR="00F81E30" w:rsidRDefault="009C58E0" w:rsidP="00D7540B">
      <w:pPr>
        <w:pStyle w:val="Caption"/>
        <w:rPr>
          <w:noProof/>
        </w:rPr>
      </w:pPr>
      <w:r w:rsidRPr="00A65CFA">
        <w:rPr>
          <w:rFonts w:ascii="Times New Roman" w:hAnsi="Times New Roman" w:cs="Times New Roman"/>
          <w:color w:val="auto"/>
          <w:sz w:val="20"/>
          <w:szCs w:val="20"/>
        </w:rPr>
        <w:t xml:space="preserve">Supplementary Figures 1. </w:t>
      </w:r>
      <w:r w:rsidRPr="00A65CFA">
        <w:rPr>
          <w:rFonts w:ascii="Times New Roman" w:hAnsi="Times New Roman" w:cs="Times New Roman"/>
          <w:b/>
          <w:bCs/>
          <w:color w:val="auto"/>
          <w:sz w:val="20"/>
          <w:szCs w:val="20"/>
        </w:rPr>
        <w:t>(continue)</w:t>
      </w:r>
      <w:r w:rsidRPr="00A65CFA">
        <w:rPr>
          <w:rFonts w:ascii="Times New Roman" w:hAnsi="Times New Roman" w:cs="Times New Roman"/>
          <w:color w:val="auto"/>
          <w:sz w:val="20"/>
          <w:szCs w:val="20"/>
        </w:rPr>
        <w:t xml:space="preserve"> </w:t>
      </w:r>
      <w:r w:rsidR="00353652">
        <w:rPr>
          <w:rFonts w:ascii="Times New Roman" w:hAnsi="Times New Roman" w:cs="Times New Roman"/>
          <w:color w:val="auto"/>
          <w:sz w:val="20"/>
          <w:szCs w:val="20"/>
        </w:rPr>
        <w:t>(</w:t>
      </w:r>
      <w:proofErr w:type="spellStart"/>
      <w:r w:rsidR="00353652">
        <w:rPr>
          <w:rFonts w:ascii="Times New Roman" w:hAnsi="Times New Roman" w:cs="Times New Roman"/>
          <w:color w:val="auto"/>
          <w:sz w:val="20"/>
          <w:szCs w:val="20"/>
        </w:rPr>
        <w:t>i</w:t>
      </w:r>
      <w:proofErr w:type="spellEnd"/>
      <w:r w:rsidR="00353652">
        <w:rPr>
          <w:rFonts w:ascii="Times New Roman" w:hAnsi="Times New Roman" w:cs="Times New Roman"/>
          <w:color w:val="auto"/>
          <w:sz w:val="20"/>
          <w:szCs w:val="20"/>
        </w:rPr>
        <w:t>)</w:t>
      </w:r>
      <w:r w:rsidR="00D7540B" w:rsidRPr="00D7540B">
        <w:rPr>
          <w:rFonts w:ascii="Times New Roman" w:hAnsi="Times New Roman" w:cs="Times New Roman"/>
          <w:color w:val="auto"/>
          <w:sz w:val="20"/>
          <w:szCs w:val="20"/>
        </w:rPr>
        <w:t xml:space="preserve"> </w:t>
      </w:r>
      <w:r w:rsidR="00D7540B" w:rsidRPr="00A65CFA">
        <w:rPr>
          <w:rFonts w:ascii="Times New Roman" w:hAnsi="Times New Roman" w:cs="Times New Roman"/>
          <w:color w:val="auto"/>
          <w:sz w:val="20"/>
          <w:szCs w:val="20"/>
        </w:rPr>
        <w:t>The distribution of stibnite mineralization and CO</w:t>
      </w:r>
      <w:r w:rsidR="00D7540B" w:rsidRPr="00A65CFA">
        <w:rPr>
          <w:rFonts w:ascii="Times New Roman" w:hAnsi="Times New Roman" w:cs="Times New Roman"/>
          <w:color w:val="auto"/>
          <w:sz w:val="20"/>
          <w:szCs w:val="20"/>
          <w:vertAlign w:val="subscript"/>
        </w:rPr>
        <w:t>2</w:t>
      </w:r>
      <w:r w:rsidR="00D7540B" w:rsidRPr="00A65CFA">
        <w:rPr>
          <w:rFonts w:ascii="Times New Roman" w:hAnsi="Times New Roman" w:cs="Times New Roman"/>
          <w:color w:val="auto"/>
          <w:sz w:val="20"/>
          <w:szCs w:val="20"/>
        </w:rPr>
        <w:t xml:space="preserve"> hot spring show fluid activity is strongly associated with MTL.</w:t>
      </w:r>
    </w:p>
    <w:p w14:paraId="6BE0C745" w14:textId="77777777" w:rsidR="00F81E30" w:rsidRDefault="00F81E30" w:rsidP="00F81E30">
      <w:pPr>
        <w:rPr>
          <w:noProof/>
        </w:rPr>
      </w:pPr>
    </w:p>
    <w:p w14:paraId="04BE529D" w14:textId="14740424" w:rsidR="00F81E30" w:rsidRDefault="00F81E30">
      <w:r>
        <w:br w:type="page"/>
      </w:r>
    </w:p>
    <w:p w14:paraId="687847B6" w14:textId="6A72E98C" w:rsidR="001D5FE4" w:rsidRDefault="00D22C9A" w:rsidP="001D5FE4">
      <w:pPr>
        <w:keepNext/>
        <w:jc w:val="center"/>
      </w:pPr>
      <w:r>
        <w:rPr>
          <w:noProof/>
        </w:rPr>
        <w:drawing>
          <wp:inline distT="0" distB="0" distL="0" distR="0" wp14:anchorId="7DF116E7" wp14:editId="24265C32">
            <wp:extent cx="3343013" cy="6574971"/>
            <wp:effectExtent l="0" t="0" r="0" b="0"/>
            <wp:docPr id="10390536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5983" cy="6580813"/>
                    </a:xfrm>
                    <a:prstGeom prst="rect">
                      <a:avLst/>
                    </a:prstGeom>
                    <a:noFill/>
                    <a:ln>
                      <a:noFill/>
                    </a:ln>
                  </pic:spPr>
                </pic:pic>
              </a:graphicData>
            </a:graphic>
          </wp:inline>
        </w:drawing>
      </w:r>
    </w:p>
    <w:p w14:paraId="55CA0774" w14:textId="708FCDBE" w:rsidR="00F81E30" w:rsidRDefault="001D5FE4" w:rsidP="00A65CFA">
      <w:pPr>
        <w:pStyle w:val="Caption"/>
      </w:pPr>
      <w:r w:rsidRPr="00A65CFA">
        <w:rPr>
          <w:rFonts w:ascii="Times New Roman" w:hAnsi="Times New Roman" w:cs="Times New Roman"/>
          <w:color w:val="auto"/>
          <w:sz w:val="20"/>
          <w:szCs w:val="20"/>
        </w:rPr>
        <w:t xml:space="preserve">Supplementary Figures </w:t>
      </w:r>
      <w:r w:rsidR="002E4DDE" w:rsidRPr="00A65CFA">
        <w:rPr>
          <w:rFonts w:ascii="Times New Roman" w:hAnsi="Times New Roman" w:cs="Times New Roman"/>
          <w:color w:val="auto"/>
          <w:sz w:val="20"/>
          <w:szCs w:val="20"/>
        </w:rPr>
        <w:fldChar w:fldCharType="begin"/>
      </w:r>
      <w:r w:rsidR="002E4DDE" w:rsidRPr="00A65CFA">
        <w:rPr>
          <w:rFonts w:ascii="Times New Roman" w:hAnsi="Times New Roman" w:cs="Times New Roman"/>
          <w:color w:val="auto"/>
          <w:sz w:val="20"/>
          <w:szCs w:val="20"/>
        </w:rPr>
        <w:instrText xml:space="preserve"> SEQ Supplementary_Figures \* ARABIC </w:instrText>
      </w:r>
      <w:r w:rsidR="002E4DDE" w:rsidRPr="00A65CFA">
        <w:rPr>
          <w:rFonts w:ascii="Times New Roman" w:hAnsi="Times New Roman" w:cs="Times New Roman"/>
          <w:color w:val="auto"/>
          <w:sz w:val="20"/>
          <w:szCs w:val="20"/>
        </w:rPr>
        <w:fldChar w:fldCharType="separate"/>
      </w:r>
      <w:r w:rsidR="00D812D7">
        <w:rPr>
          <w:rFonts w:ascii="Times New Roman" w:hAnsi="Times New Roman" w:cs="Times New Roman"/>
          <w:noProof/>
          <w:color w:val="auto"/>
          <w:sz w:val="20"/>
          <w:szCs w:val="20"/>
        </w:rPr>
        <w:t>2</w:t>
      </w:r>
      <w:r w:rsidR="002E4DDE" w:rsidRPr="00A65CFA">
        <w:rPr>
          <w:rFonts w:ascii="Times New Roman" w:hAnsi="Times New Roman" w:cs="Times New Roman"/>
          <w:noProof/>
          <w:color w:val="auto"/>
          <w:sz w:val="20"/>
          <w:szCs w:val="20"/>
        </w:rPr>
        <w:fldChar w:fldCharType="end"/>
      </w:r>
      <w:r w:rsidRPr="00A65CFA">
        <w:rPr>
          <w:rFonts w:ascii="Times New Roman" w:hAnsi="Times New Roman" w:cs="Times New Roman"/>
          <w:color w:val="auto"/>
          <w:sz w:val="20"/>
          <w:szCs w:val="20"/>
        </w:rPr>
        <w:t xml:space="preserve">. </w:t>
      </w:r>
      <w:r w:rsidRPr="00A65CFA">
        <w:rPr>
          <w:rFonts w:ascii="Times New Roman" w:hAnsi="Times New Roman" w:cs="Times New Roman"/>
          <w:b/>
          <w:bCs/>
          <w:color w:val="auto"/>
          <w:sz w:val="20"/>
          <w:szCs w:val="20"/>
        </w:rPr>
        <w:t xml:space="preserve">Texture, composition </w:t>
      </w:r>
      <w:r w:rsidR="006D21C5">
        <w:rPr>
          <w:rFonts w:ascii="Times New Roman" w:hAnsi="Times New Roman" w:cs="Times New Roman"/>
          <w:b/>
          <w:bCs/>
          <w:color w:val="auto"/>
          <w:sz w:val="20"/>
          <w:szCs w:val="20"/>
        </w:rPr>
        <w:t xml:space="preserve">of arsenopyrite </w:t>
      </w:r>
      <w:r w:rsidRPr="00A65CFA">
        <w:rPr>
          <w:rFonts w:ascii="Times New Roman" w:hAnsi="Times New Roman" w:cs="Times New Roman"/>
          <w:color w:val="auto"/>
          <w:sz w:val="20"/>
          <w:szCs w:val="20"/>
        </w:rPr>
        <w:t>(a) Breccia matrix with an abundance of sulfide minerals is commonly pyrite and chalcopyrite. (</w:t>
      </w:r>
      <w:r w:rsidR="00D7540B">
        <w:rPr>
          <w:rFonts w:ascii="Times New Roman" w:hAnsi="Times New Roman" w:cs="Times New Roman"/>
          <w:color w:val="auto"/>
          <w:sz w:val="20"/>
          <w:szCs w:val="20"/>
        </w:rPr>
        <w:t>b</w:t>
      </w:r>
      <w:r w:rsidRPr="00A65CFA">
        <w:rPr>
          <w:rFonts w:ascii="Times New Roman" w:hAnsi="Times New Roman" w:cs="Times New Roman"/>
          <w:color w:val="auto"/>
          <w:sz w:val="20"/>
          <w:szCs w:val="20"/>
        </w:rPr>
        <w:t>) Elemental mapping on each sulfide mineral shows changes in composition mainly arsenic and sulfur accompanied by local dissolution textures.</w:t>
      </w:r>
      <w:r w:rsidR="00F81E30">
        <w:br w:type="page"/>
      </w:r>
    </w:p>
    <w:p w14:paraId="328D22B6" w14:textId="4CE39955" w:rsidR="00566081" w:rsidRDefault="00D22C9A" w:rsidP="00566081">
      <w:pPr>
        <w:keepNext/>
        <w:jc w:val="center"/>
      </w:pPr>
      <w:r>
        <w:rPr>
          <w:noProof/>
        </w:rPr>
        <w:drawing>
          <wp:inline distT="0" distB="0" distL="0" distR="0" wp14:anchorId="4CA5323D" wp14:editId="31B9134E">
            <wp:extent cx="4383134" cy="6574971"/>
            <wp:effectExtent l="0" t="0" r="0" b="0"/>
            <wp:docPr id="736833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1224" cy="6587106"/>
                    </a:xfrm>
                    <a:prstGeom prst="rect">
                      <a:avLst/>
                    </a:prstGeom>
                    <a:noFill/>
                    <a:ln>
                      <a:noFill/>
                    </a:ln>
                  </pic:spPr>
                </pic:pic>
              </a:graphicData>
            </a:graphic>
          </wp:inline>
        </w:drawing>
      </w:r>
    </w:p>
    <w:p w14:paraId="2F698975" w14:textId="33E96EDB" w:rsidR="00F81E30" w:rsidRPr="00A4383A" w:rsidRDefault="00566081" w:rsidP="00566081">
      <w:pPr>
        <w:pStyle w:val="Caption"/>
        <w:rPr>
          <w:rFonts w:ascii="Times New Roman" w:hAnsi="Times New Roman" w:cs="Times New Roman"/>
          <w:noProof/>
          <w:color w:val="auto"/>
          <w:sz w:val="20"/>
          <w:szCs w:val="20"/>
        </w:rPr>
      </w:pPr>
      <w:r w:rsidRPr="00A65CFA">
        <w:rPr>
          <w:rFonts w:ascii="Times New Roman" w:hAnsi="Times New Roman" w:cs="Times New Roman"/>
          <w:color w:val="auto"/>
          <w:sz w:val="20"/>
          <w:szCs w:val="20"/>
        </w:rPr>
        <w:t xml:space="preserve">Supplementary Figures </w:t>
      </w:r>
      <w:r w:rsidR="002E4DDE" w:rsidRPr="00A65CFA">
        <w:rPr>
          <w:rFonts w:ascii="Times New Roman" w:hAnsi="Times New Roman" w:cs="Times New Roman"/>
          <w:color w:val="auto"/>
          <w:sz w:val="20"/>
          <w:szCs w:val="20"/>
        </w:rPr>
        <w:fldChar w:fldCharType="begin"/>
      </w:r>
      <w:r w:rsidR="002E4DDE" w:rsidRPr="00A65CFA">
        <w:rPr>
          <w:rFonts w:ascii="Times New Roman" w:hAnsi="Times New Roman" w:cs="Times New Roman"/>
          <w:color w:val="auto"/>
          <w:sz w:val="20"/>
          <w:szCs w:val="20"/>
        </w:rPr>
        <w:instrText xml:space="preserve"> SEQ Supplementary_Figures \* ARABIC </w:instrText>
      </w:r>
      <w:r w:rsidR="002E4DDE" w:rsidRPr="00A65CFA">
        <w:rPr>
          <w:rFonts w:ascii="Times New Roman" w:hAnsi="Times New Roman" w:cs="Times New Roman"/>
          <w:color w:val="auto"/>
          <w:sz w:val="20"/>
          <w:szCs w:val="20"/>
        </w:rPr>
        <w:fldChar w:fldCharType="separate"/>
      </w:r>
      <w:r w:rsidR="00D812D7">
        <w:rPr>
          <w:rFonts w:ascii="Times New Roman" w:hAnsi="Times New Roman" w:cs="Times New Roman"/>
          <w:noProof/>
          <w:color w:val="auto"/>
          <w:sz w:val="20"/>
          <w:szCs w:val="20"/>
        </w:rPr>
        <w:t>3</w:t>
      </w:r>
      <w:r w:rsidR="002E4DDE" w:rsidRPr="00A65CFA">
        <w:rPr>
          <w:rFonts w:ascii="Times New Roman" w:hAnsi="Times New Roman" w:cs="Times New Roman"/>
          <w:noProof/>
          <w:color w:val="auto"/>
          <w:sz w:val="20"/>
          <w:szCs w:val="20"/>
        </w:rPr>
        <w:fldChar w:fldCharType="end"/>
      </w:r>
      <w:r w:rsidRPr="00A65CFA">
        <w:rPr>
          <w:rFonts w:ascii="Times New Roman" w:hAnsi="Times New Roman" w:cs="Times New Roman"/>
          <w:color w:val="auto"/>
          <w:sz w:val="20"/>
          <w:szCs w:val="20"/>
        </w:rPr>
        <w:t xml:space="preserve">. </w:t>
      </w:r>
      <w:r w:rsidR="00A4383A" w:rsidRPr="00A4383A">
        <w:rPr>
          <w:rFonts w:ascii="Times New Roman" w:hAnsi="Times New Roman" w:cs="Times New Roman"/>
          <w:b/>
          <w:bCs/>
          <w:color w:val="auto"/>
          <w:sz w:val="20"/>
          <w:szCs w:val="20"/>
        </w:rPr>
        <w:t xml:space="preserve">Particle size distribution (PSD) result. </w:t>
      </w:r>
      <w:r w:rsidR="00A4383A" w:rsidRPr="00A4383A">
        <w:rPr>
          <w:rFonts w:ascii="Times New Roman" w:hAnsi="Times New Roman" w:cs="Times New Roman"/>
          <w:color w:val="auto"/>
          <w:sz w:val="20"/>
          <w:szCs w:val="20"/>
        </w:rPr>
        <w:t>(</w:t>
      </w:r>
      <w:r w:rsidR="00A4383A">
        <w:rPr>
          <w:rFonts w:ascii="Times New Roman" w:hAnsi="Times New Roman" w:cs="Times New Roman"/>
          <w:color w:val="auto"/>
          <w:sz w:val="20"/>
          <w:szCs w:val="20"/>
        </w:rPr>
        <w:t>a-b</w:t>
      </w:r>
      <w:r w:rsidR="00A4383A" w:rsidRPr="00A4383A">
        <w:rPr>
          <w:rFonts w:ascii="Times New Roman" w:hAnsi="Times New Roman" w:cs="Times New Roman"/>
          <w:color w:val="auto"/>
          <w:sz w:val="20"/>
          <w:szCs w:val="20"/>
        </w:rPr>
        <w:t>)</w:t>
      </w:r>
      <w:r w:rsidR="00A4383A" w:rsidRPr="00A4383A">
        <w:rPr>
          <w:rFonts w:ascii="Times New Roman" w:hAnsi="Times New Roman" w:cs="Times New Roman"/>
          <w:b/>
          <w:bCs/>
          <w:color w:val="auto"/>
          <w:sz w:val="20"/>
          <w:szCs w:val="20"/>
        </w:rPr>
        <w:t xml:space="preserve"> </w:t>
      </w:r>
      <w:r w:rsidR="00A4383A" w:rsidRPr="00A4383A">
        <w:rPr>
          <w:rFonts w:ascii="Times New Roman" w:hAnsi="Times New Roman" w:cs="Times New Roman"/>
          <w:color w:val="auto"/>
          <w:sz w:val="20"/>
          <w:szCs w:val="20"/>
        </w:rPr>
        <w:t>The result of PSD with fractal dimension (D value) from various breccia types and width on an outcrop and thin section scale.</w:t>
      </w:r>
    </w:p>
    <w:p w14:paraId="06359248" w14:textId="77777777" w:rsidR="00F81E30" w:rsidRPr="00F81E30" w:rsidRDefault="00F81E30" w:rsidP="00F81E30"/>
    <w:p w14:paraId="489F7456" w14:textId="6132E165" w:rsidR="00F81E30" w:rsidRDefault="00F81E30"/>
    <w:p w14:paraId="222A6B0B" w14:textId="3F7DD831" w:rsidR="00566081" w:rsidRDefault="00767E55" w:rsidP="00566081">
      <w:pPr>
        <w:keepNext/>
        <w:jc w:val="center"/>
      </w:pPr>
      <w:r>
        <w:rPr>
          <w:noProof/>
        </w:rPr>
        <w:drawing>
          <wp:inline distT="0" distB="0" distL="0" distR="0" wp14:anchorId="3F2EFF6D" wp14:editId="7A01CA41">
            <wp:extent cx="5606415" cy="4887595"/>
            <wp:effectExtent l="0" t="0" r="0" b="8255"/>
            <wp:docPr id="6117245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6415" cy="4887595"/>
                    </a:xfrm>
                    <a:prstGeom prst="rect">
                      <a:avLst/>
                    </a:prstGeom>
                    <a:noFill/>
                    <a:ln>
                      <a:noFill/>
                    </a:ln>
                  </pic:spPr>
                </pic:pic>
              </a:graphicData>
            </a:graphic>
          </wp:inline>
        </w:drawing>
      </w:r>
    </w:p>
    <w:p w14:paraId="0F08B768" w14:textId="532681D6" w:rsidR="00F81E30" w:rsidRPr="00363B5E" w:rsidRDefault="00566081" w:rsidP="00566081">
      <w:pPr>
        <w:pStyle w:val="Caption"/>
        <w:rPr>
          <w:rFonts w:ascii="Times New Roman" w:hAnsi="Times New Roman" w:cs="Times New Roman"/>
          <w:noProof/>
          <w:color w:val="auto"/>
          <w:sz w:val="20"/>
          <w:szCs w:val="20"/>
        </w:rPr>
      </w:pPr>
      <w:r w:rsidRPr="00363B5E">
        <w:rPr>
          <w:rFonts w:ascii="Times New Roman" w:hAnsi="Times New Roman" w:cs="Times New Roman"/>
          <w:color w:val="auto"/>
          <w:sz w:val="20"/>
          <w:szCs w:val="20"/>
        </w:rPr>
        <w:t xml:space="preserve">Supplementary Figures 3. </w:t>
      </w:r>
      <w:r w:rsidRPr="00363B5E">
        <w:rPr>
          <w:rFonts w:ascii="Times New Roman" w:hAnsi="Times New Roman" w:cs="Times New Roman"/>
          <w:b/>
          <w:bCs/>
          <w:color w:val="auto"/>
          <w:sz w:val="20"/>
          <w:szCs w:val="20"/>
        </w:rPr>
        <w:t>(continue)</w:t>
      </w:r>
      <w:r w:rsidRPr="00363B5E">
        <w:rPr>
          <w:rFonts w:ascii="Times New Roman" w:hAnsi="Times New Roman" w:cs="Times New Roman"/>
          <w:color w:val="auto"/>
          <w:sz w:val="20"/>
          <w:szCs w:val="20"/>
        </w:rPr>
        <w:t xml:space="preserve"> </w:t>
      </w:r>
      <w:r w:rsidR="005825D1" w:rsidRPr="00C93710">
        <w:rPr>
          <w:rFonts w:ascii="Times New Roman" w:hAnsi="Times New Roman" w:cs="Times New Roman"/>
          <w:b/>
          <w:bCs/>
          <w:color w:val="auto"/>
          <w:sz w:val="20"/>
          <w:szCs w:val="20"/>
        </w:rPr>
        <w:t>Method to obtain Particle size distribution (PSD) of breccia</w:t>
      </w:r>
      <w:r w:rsidR="005825D1">
        <w:rPr>
          <w:rFonts w:ascii="Times New Roman" w:hAnsi="Times New Roman" w:cs="Times New Roman"/>
          <w:b/>
          <w:bCs/>
          <w:color w:val="auto"/>
          <w:sz w:val="20"/>
          <w:szCs w:val="20"/>
        </w:rPr>
        <w:t>.</w:t>
      </w:r>
      <w:r w:rsidR="005825D1" w:rsidRPr="00781C74">
        <w:rPr>
          <w:rFonts w:ascii="Times New Roman" w:hAnsi="Times New Roman" w:cs="Times New Roman"/>
          <w:b/>
          <w:bCs/>
          <w:color w:val="auto"/>
          <w:sz w:val="20"/>
          <w:szCs w:val="20"/>
        </w:rPr>
        <w:t xml:space="preserve"> </w:t>
      </w:r>
      <w:r w:rsidR="005825D1" w:rsidRPr="00781C74">
        <w:rPr>
          <w:rFonts w:ascii="Times New Roman" w:hAnsi="Times New Roman" w:cs="Times New Roman"/>
          <w:color w:val="auto"/>
          <w:sz w:val="20"/>
          <w:szCs w:val="20"/>
        </w:rPr>
        <w:t>(</w:t>
      </w:r>
      <w:r w:rsidR="005825D1">
        <w:rPr>
          <w:rFonts w:ascii="Times New Roman" w:hAnsi="Times New Roman" w:cs="Times New Roman"/>
          <w:color w:val="auto"/>
          <w:sz w:val="20"/>
          <w:szCs w:val="20"/>
        </w:rPr>
        <w:t>c</w:t>
      </w:r>
      <w:r w:rsidR="005825D1" w:rsidRPr="00781C74">
        <w:rPr>
          <w:rFonts w:ascii="Times New Roman" w:hAnsi="Times New Roman" w:cs="Times New Roman"/>
          <w:color w:val="auto"/>
          <w:sz w:val="20"/>
          <w:szCs w:val="20"/>
        </w:rPr>
        <w:t>) Scanline method was deployed to obtain breccia clast parameter like long and short axis on (</w:t>
      </w:r>
      <w:r w:rsidR="005825D1">
        <w:rPr>
          <w:rFonts w:ascii="Times New Roman" w:hAnsi="Times New Roman" w:cs="Times New Roman"/>
          <w:color w:val="auto"/>
          <w:sz w:val="20"/>
          <w:szCs w:val="20"/>
        </w:rPr>
        <w:t>d</w:t>
      </w:r>
      <w:r w:rsidR="005825D1" w:rsidRPr="00781C74">
        <w:rPr>
          <w:rFonts w:ascii="Times New Roman" w:hAnsi="Times New Roman" w:cs="Times New Roman"/>
          <w:color w:val="auto"/>
          <w:sz w:val="20"/>
          <w:szCs w:val="20"/>
        </w:rPr>
        <w:t xml:space="preserve">) an outstanding breccia exposure in Ichinokawa. </w:t>
      </w:r>
      <w:r w:rsidR="005825D1" w:rsidRPr="00781C74">
        <w:rPr>
          <w:rFonts w:ascii="Times New Roman" w:eastAsia="CMR12" w:hAnsi="Times New Roman" w:cs="Times New Roman"/>
          <w:color w:val="auto"/>
          <w:kern w:val="0"/>
          <w:sz w:val="20"/>
          <w:szCs w:val="20"/>
        </w:rPr>
        <w:t>(</w:t>
      </w:r>
      <w:r w:rsidR="005825D1">
        <w:rPr>
          <w:rFonts w:ascii="Times New Roman" w:eastAsia="CMR12" w:hAnsi="Times New Roman" w:cs="Times New Roman"/>
          <w:color w:val="auto"/>
          <w:kern w:val="0"/>
          <w:sz w:val="20"/>
          <w:szCs w:val="20"/>
        </w:rPr>
        <w:t>e</w:t>
      </w:r>
      <w:r w:rsidR="005825D1" w:rsidRPr="00781C74">
        <w:rPr>
          <w:rFonts w:ascii="Times New Roman" w:eastAsia="CMR12" w:hAnsi="Times New Roman" w:cs="Times New Roman"/>
          <w:color w:val="auto"/>
          <w:kern w:val="0"/>
          <w:sz w:val="20"/>
          <w:szCs w:val="20"/>
        </w:rPr>
        <w:t>) Scan of whole thin section and (</w:t>
      </w:r>
      <w:r w:rsidR="005825D1">
        <w:rPr>
          <w:rFonts w:ascii="Times New Roman" w:eastAsia="CMR12" w:hAnsi="Times New Roman" w:cs="Times New Roman"/>
          <w:color w:val="auto"/>
          <w:kern w:val="0"/>
          <w:sz w:val="20"/>
          <w:szCs w:val="20"/>
        </w:rPr>
        <w:t>f</w:t>
      </w:r>
      <w:r w:rsidR="005825D1" w:rsidRPr="00781C74">
        <w:rPr>
          <w:rFonts w:ascii="Times New Roman" w:eastAsia="CMR12" w:hAnsi="Times New Roman" w:cs="Times New Roman"/>
          <w:color w:val="auto"/>
          <w:kern w:val="0"/>
          <w:sz w:val="20"/>
          <w:szCs w:val="20"/>
        </w:rPr>
        <w:t>) manual sketch of breccia clasts used for obtaining the particle distribution of the clasts.</w:t>
      </w:r>
    </w:p>
    <w:p w14:paraId="6553E7DD" w14:textId="5EF2FE52" w:rsidR="00F81E30" w:rsidRDefault="00F81E30">
      <w:r>
        <w:br w:type="page"/>
      </w:r>
    </w:p>
    <w:p w14:paraId="2C4F6D92" w14:textId="11527EB1" w:rsidR="00886A00" w:rsidRDefault="00767E55" w:rsidP="00886A00">
      <w:pPr>
        <w:keepNext/>
        <w:jc w:val="center"/>
      </w:pPr>
      <w:r>
        <w:rPr>
          <w:noProof/>
        </w:rPr>
        <w:drawing>
          <wp:inline distT="0" distB="0" distL="0" distR="0" wp14:anchorId="3C198226" wp14:editId="5B80DF42">
            <wp:extent cx="5606415" cy="4419600"/>
            <wp:effectExtent l="0" t="0" r="0" b="0"/>
            <wp:docPr id="15995519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6415" cy="4419600"/>
                    </a:xfrm>
                    <a:prstGeom prst="rect">
                      <a:avLst/>
                    </a:prstGeom>
                    <a:noFill/>
                    <a:ln>
                      <a:noFill/>
                    </a:ln>
                  </pic:spPr>
                </pic:pic>
              </a:graphicData>
            </a:graphic>
          </wp:inline>
        </w:drawing>
      </w:r>
    </w:p>
    <w:p w14:paraId="07450DDE" w14:textId="203E1B6C" w:rsidR="00ED407A" w:rsidRPr="00363B5E" w:rsidRDefault="00886A00" w:rsidP="00ED407A">
      <w:pPr>
        <w:pStyle w:val="Caption"/>
        <w:rPr>
          <w:rFonts w:ascii="Times New Roman" w:hAnsi="Times New Roman" w:cs="Times New Roman"/>
          <w:noProof/>
          <w:color w:val="auto"/>
          <w:sz w:val="20"/>
          <w:szCs w:val="20"/>
        </w:rPr>
      </w:pPr>
      <w:r w:rsidRPr="00781C74">
        <w:rPr>
          <w:rFonts w:ascii="Times New Roman" w:hAnsi="Times New Roman" w:cs="Times New Roman"/>
          <w:color w:val="auto"/>
          <w:sz w:val="20"/>
          <w:szCs w:val="20"/>
        </w:rPr>
        <w:t xml:space="preserve">Supplementary Figures </w:t>
      </w:r>
      <w:r w:rsidR="002E4DDE" w:rsidRPr="00781C74">
        <w:rPr>
          <w:rFonts w:ascii="Times New Roman" w:hAnsi="Times New Roman" w:cs="Times New Roman"/>
          <w:color w:val="auto"/>
          <w:sz w:val="20"/>
          <w:szCs w:val="20"/>
        </w:rPr>
        <w:fldChar w:fldCharType="begin"/>
      </w:r>
      <w:r w:rsidR="002E4DDE" w:rsidRPr="00781C74">
        <w:rPr>
          <w:rFonts w:ascii="Times New Roman" w:hAnsi="Times New Roman" w:cs="Times New Roman"/>
          <w:color w:val="auto"/>
          <w:sz w:val="20"/>
          <w:szCs w:val="20"/>
        </w:rPr>
        <w:instrText xml:space="preserve"> SEQ Supplementary_Figures \* ARABIC </w:instrText>
      </w:r>
      <w:r w:rsidR="002E4DDE" w:rsidRPr="00781C74">
        <w:rPr>
          <w:rFonts w:ascii="Times New Roman" w:hAnsi="Times New Roman" w:cs="Times New Roman"/>
          <w:color w:val="auto"/>
          <w:sz w:val="20"/>
          <w:szCs w:val="20"/>
        </w:rPr>
        <w:fldChar w:fldCharType="separate"/>
      </w:r>
      <w:r w:rsidR="00D812D7">
        <w:rPr>
          <w:rFonts w:ascii="Times New Roman" w:hAnsi="Times New Roman" w:cs="Times New Roman"/>
          <w:noProof/>
          <w:color w:val="auto"/>
          <w:sz w:val="20"/>
          <w:szCs w:val="20"/>
        </w:rPr>
        <w:t>4</w:t>
      </w:r>
      <w:r w:rsidR="002E4DDE" w:rsidRPr="00781C74">
        <w:rPr>
          <w:rFonts w:ascii="Times New Roman" w:hAnsi="Times New Roman" w:cs="Times New Roman"/>
          <w:noProof/>
          <w:color w:val="auto"/>
          <w:sz w:val="20"/>
          <w:szCs w:val="20"/>
        </w:rPr>
        <w:fldChar w:fldCharType="end"/>
      </w:r>
      <w:r w:rsidRPr="00781C74">
        <w:rPr>
          <w:rFonts w:ascii="Times New Roman" w:hAnsi="Times New Roman" w:cs="Times New Roman"/>
          <w:color w:val="auto"/>
          <w:sz w:val="20"/>
          <w:szCs w:val="20"/>
        </w:rPr>
        <w:t>.</w:t>
      </w:r>
      <w:r w:rsidR="009210CF" w:rsidRPr="00781C74">
        <w:rPr>
          <w:rFonts w:ascii="Times New Roman" w:hAnsi="Times New Roman" w:cs="Times New Roman"/>
          <w:color w:val="auto"/>
          <w:sz w:val="20"/>
          <w:szCs w:val="20"/>
        </w:rPr>
        <w:t xml:space="preserve"> </w:t>
      </w:r>
      <w:r w:rsidR="00ED407A" w:rsidRPr="00363B5E">
        <w:rPr>
          <w:rFonts w:ascii="Times New Roman" w:hAnsi="Times New Roman" w:cs="Times New Roman"/>
          <w:color w:val="auto"/>
          <w:sz w:val="20"/>
          <w:szCs w:val="20"/>
        </w:rPr>
        <w:t xml:space="preserve"> </w:t>
      </w:r>
      <w:r w:rsidR="00ED407A" w:rsidRPr="00363B5E">
        <w:rPr>
          <w:rFonts w:ascii="Times New Roman" w:hAnsi="Times New Roman" w:cs="Times New Roman"/>
          <w:b/>
          <w:bCs/>
          <w:color w:val="auto"/>
          <w:sz w:val="20"/>
          <w:szCs w:val="20"/>
        </w:rPr>
        <w:t>Plot of total surface energy density (U</w:t>
      </w:r>
      <w:r w:rsidR="00ED407A" w:rsidRPr="00363B5E">
        <w:rPr>
          <w:rFonts w:ascii="Times New Roman" w:hAnsi="Times New Roman" w:cs="Times New Roman"/>
          <w:b/>
          <w:bCs/>
          <w:color w:val="auto"/>
          <w:sz w:val="20"/>
          <w:szCs w:val="20"/>
          <w:vertAlign w:val="subscript"/>
        </w:rPr>
        <w:t>s</w:t>
      </w:r>
      <w:r w:rsidR="00ED407A" w:rsidRPr="00363B5E">
        <w:rPr>
          <w:rFonts w:ascii="Times New Roman" w:hAnsi="Times New Roman" w:cs="Times New Roman"/>
          <w:b/>
          <w:bCs/>
          <w:color w:val="auto"/>
          <w:sz w:val="20"/>
          <w:szCs w:val="20"/>
        </w:rPr>
        <w:t>)</w:t>
      </w:r>
      <w:r w:rsidR="00ED407A" w:rsidRPr="00363B5E">
        <w:rPr>
          <w:rFonts w:ascii="Times New Roman" w:hAnsi="Times New Roman" w:cs="Times New Roman"/>
          <w:color w:val="auto"/>
          <w:sz w:val="20"/>
          <w:szCs w:val="20"/>
        </w:rPr>
        <w:t xml:space="preserve"> (</w:t>
      </w:r>
      <w:r w:rsidR="00ED407A">
        <w:rPr>
          <w:rFonts w:ascii="Times New Roman" w:hAnsi="Times New Roman" w:cs="Times New Roman"/>
          <w:color w:val="auto"/>
          <w:sz w:val="20"/>
          <w:szCs w:val="20"/>
        </w:rPr>
        <w:t>a</w:t>
      </w:r>
      <w:r w:rsidR="00ED407A" w:rsidRPr="00363B5E">
        <w:rPr>
          <w:rFonts w:ascii="Times New Roman" w:hAnsi="Times New Roman" w:cs="Times New Roman"/>
          <w:color w:val="auto"/>
          <w:sz w:val="20"/>
          <w:szCs w:val="20"/>
        </w:rPr>
        <w:t>) Comparison of calculated U</w:t>
      </w:r>
      <w:r w:rsidR="00ED407A" w:rsidRPr="00363B5E">
        <w:rPr>
          <w:rFonts w:ascii="Times New Roman" w:hAnsi="Times New Roman" w:cs="Times New Roman"/>
          <w:color w:val="auto"/>
          <w:sz w:val="20"/>
          <w:szCs w:val="20"/>
          <w:vertAlign w:val="subscript"/>
        </w:rPr>
        <w:t>s</w:t>
      </w:r>
      <w:r w:rsidR="00ED407A" w:rsidRPr="00363B5E">
        <w:rPr>
          <w:rFonts w:ascii="Times New Roman" w:hAnsi="Times New Roman" w:cs="Times New Roman"/>
          <w:color w:val="auto"/>
          <w:sz w:val="20"/>
          <w:szCs w:val="20"/>
        </w:rPr>
        <w:t xml:space="preserve"> in Ichinokawa with dissipated energy from several experiments and natural observations of fragmented rocks/minerals.</w:t>
      </w:r>
    </w:p>
    <w:p w14:paraId="29C41A59" w14:textId="7F31A056" w:rsidR="00F81E30" w:rsidRPr="00781C74" w:rsidRDefault="00F81E30" w:rsidP="0043012C">
      <w:pPr>
        <w:pStyle w:val="Caption"/>
        <w:rPr>
          <w:rFonts w:ascii="Times New Roman" w:hAnsi="Times New Roman" w:cs="Times New Roman"/>
          <w:color w:val="auto"/>
          <w:sz w:val="20"/>
          <w:szCs w:val="20"/>
        </w:rPr>
      </w:pPr>
      <w:r w:rsidRPr="00781C74">
        <w:rPr>
          <w:rFonts w:ascii="Times New Roman" w:hAnsi="Times New Roman" w:cs="Times New Roman"/>
          <w:color w:val="auto"/>
          <w:sz w:val="20"/>
          <w:szCs w:val="20"/>
        </w:rPr>
        <w:tab/>
      </w:r>
    </w:p>
    <w:p w14:paraId="5FCCF8B3" w14:textId="4B0C0E98" w:rsidR="00D84095" w:rsidRDefault="00883243" w:rsidP="00D84095">
      <w:pPr>
        <w:keepNext/>
        <w:tabs>
          <w:tab w:val="left" w:pos="1019"/>
        </w:tabs>
        <w:jc w:val="center"/>
      </w:pPr>
      <w:r>
        <w:rPr>
          <w:noProof/>
        </w:rPr>
        <w:drawing>
          <wp:inline distT="0" distB="0" distL="0" distR="0" wp14:anchorId="04F48563" wp14:editId="2898B99B">
            <wp:extent cx="5605780" cy="5669280"/>
            <wp:effectExtent l="0" t="0" r="0" b="7620"/>
            <wp:docPr id="79654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5780" cy="5669280"/>
                    </a:xfrm>
                    <a:prstGeom prst="rect">
                      <a:avLst/>
                    </a:prstGeom>
                    <a:noFill/>
                    <a:ln>
                      <a:noFill/>
                    </a:ln>
                  </pic:spPr>
                </pic:pic>
              </a:graphicData>
            </a:graphic>
          </wp:inline>
        </w:drawing>
      </w:r>
    </w:p>
    <w:p w14:paraId="1A930488" w14:textId="696BEE09" w:rsidR="00944044" w:rsidRDefault="00D84095" w:rsidP="002D3213">
      <w:pPr>
        <w:autoSpaceDE w:val="0"/>
        <w:autoSpaceDN w:val="0"/>
        <w:adjustRightInd w:val="0"/>
        <w:spacing w:after="0" w:line="240" w:lineRule="auto"/>
        <w:rPr>
          <w:rFonts w:ascii="Times New Roman" w:hAnsi="Times New Roman" w:cs="Times New Roman"/>
          <w:b/>
          <w:bCs/>
          <w:i/>
          <w:iCs/>
          <w:sz w:val="20"/>
          <w:szCs w:val="20"/>
        </w:rPr>
      </w:pPr>
      <w:r w:rsidRPr="00363B5E">
        <w:rPr>
          <w:rFonts w:ascii="Times New Roman" w:hAnsi="Times New Roman" w:cs="Times New Roman"/>
          <w:i/>
          <w:iCs/>
          <w:sz w:val="20"/>
          <w:szCs w:val="20"/>
        </w:rPr>
        <w:t xml:space="preserve">Supplementary Figures 4. </w:t>
      </w:r>
      <w:r w:rsidRPr="00363B5E">
        <w:rPr>
          <w:rFonts w:ascii="Times New Roman" w:hAnsi="Times New Roman" w:cs="Times New Roman"/>
          <w:b/>
          <w:bCs/>
          <w:i/>
          <w:iCs/>
          <w:sz w:val="20"/>
          <w:szCs w:val="20"/>
        </w:rPr>
        <w:t>(continue)</w:t>
      </w:r>
      <w:r w:rsidRPr="00363B5E">
        <w:rPr>
          <w:rFonts w:ascii="Times New Roman" w:hAnsi="Times New Roman" w:cs="Times New Roman"/>
          <w:i/>
          <w:iCs/>
          <w:sz w:val="20"/>
          <w:szCs w:val="20"/>
        </w:rPr>
        <w:t xml:space="preserve"> </w:t>
      </w:r>
      <w:r w:rsidR="002901C4" w:rsidRPr="00363B5E">
        <w:rPr>
          <w:rFonts w:ascii="Times New Roman" w:hAnsi="Times New Roman" w:cs="Times New Roman"/>
          <w:b/>
          <w:bCs/>
          <w:sz w:val="20"/>
          <w:szCs w:val="20"/>
        </w:rPr>
        <w:t xml:space="preserve">Comparison of energy estimates for a single earthquake from several sources compiled by </w:t>
      </w:r>
      <w:r w:rsidR="002901C4" w:rsidRPr="00363B5E">
        <w:rPr>
          <w:rFonts w:ascii="Times New Roman" w:hAnsi="Times New Roman" w:cs="Times New Roman"/>
          <w:b/>
          <w:bCs/>
          <w:sz w:val="20"/>
          <w:szCs w:val="20"/>
        </w:rPr>
        <w:fldChar w:fldCharType="begin"/>
      </w:r>
      <w:r w:rsidR="004B59EA">
        <w:rPr>
          <w:rFonts w:ascii="Times New Roman" w:hAnsi="Times New Roman" w:cs="Times New Roman"/>
          <w:b/>
          <w:bCs/>
          <w:sz w:val="20"/>
          <w:szCs w:val="20"/>
        </w:rPr>
        <w:instrText xml:space="preserve"> ADDIN ZOTERO_ITEM CSL_CITATION {"citationID":"a1np4l0r3pu","properties":{"formattedCitation":"\\super 27\\nosupersub{}","plainCitation":"27","noteIndex":0},"citationItems":[{"id":296,"uris":["http://zotero.org/users/10529844/items/QTSWPS2M"],"itemData":{"id":296,"type":"article-journal","abstract":"Seismological fracture or breakdown energy represents energy expended in a volume surrounding the advancing rupture front and the slipping fault surface. Estimates are commonly obtained by inverting ground motions and using the results to model slip on the fault surface. However, this practice cannot identify contributions from different energy-consumption processes, so our understanding of the importance of these processes comes largely from field- and laboratory-based studies. Here, we use garnet fragment size data to estimate surface-area energy density with distance from the fault core in the damage zone of a deeply exhumed strike-slip fault/shear zone. Estimated energy densities per fragmentation event range from 2.87 × 103 to 2.72 × 105 J/m3 in the outer and inner portions of the dynamic damage zone, respectively, with the dynamic zone being inferred from the fractal dimensions of fragment size distributions and other indicators. Integrating over the </w:instrText>
      </w:r>
      <w:r w:rsidR="004B59EA">
        <w:rPr>
          <w:rFonts w:ascii="Cambria Math" w:hAnsi="Cambria Math" w:cs="Cambria Math"/>
          <w:b/>
          <w:bCs/>
          <w:sz w:val="20"/>
          <w:szCs w:val="20"/>
        </w:rPr>
        <w:instrText>∼</w:instrText>
      </w:r>
      <w:r w:rsidR="004B59EA">
        <w:rPr>
          <w:rFonts w:ascii="Times New Roman" w:hAnsi="Times New Roman" w:cs="Times New Roman"/>
          <w:b/>
          <w:bCs/>
          <w:sz w:val="20"/>
          <w:szCs w:val="20"/>
        </w:rPr>
        <w:instrText xml:space="preserve">105 m width of the dynamic damage zone gives fracture surface-area energy per unit fault area ranging from a lower bound of 6.63 × 105 J/m2 to an upper bound of 1.63 × 107 J/m2 per event. This range overlaps with most geological, theoretical, and kinematic slip-model estimates of energy expenditure in the source volume for earthquakes characterized by seismic moments &gt;1017 N·m. We employ physics-based fragmentation models to estimate equivalent tensile strain rates associated with garnet fragmentation, which range from 5.42 × 102 to 1.04 × 104 s−1 per earthquake in the outer and inner portions of the dynamic damage zone, respectively. Our results suggest that surface-energy generation is a nonnegligible component of the earthquake energy budget.","container-title":"Journal of Geophysical Research: Solid Earth","DOI":"10.1029/2021JB022616","ISSN":"21699356","issue":"11","note":"publisher: John Wiley &amp; Sons, Ltd\nISBN: 10.1029/2021","page":"e2021JB022616","title":"Energy Partitioning, Dynamic Fragmentation, and Off-Fault Damage in the Earthquake Source Volume","volume":"126","author":[{"family":"Johnson","given":"Scott E."},{"family":"Song","given":"Won Joon"},{"family":"Vel","given":"Senthil S."},{"family":"Song","given":"Bo Ra"},{"family":"Gerbi","given":"Christopher C."}],"issued":{"date-parts":[["2021",11,1]]},"citation-key":"Johnson_etal.2021_EnergyPartitioningDynamic"}}],"schema":"https://github.com/citation-style-language/schema/raw/master/csl-citation.json"} </w:instrText>
      </w:r>
      <w:r w:rsidR="002901C4" w:rsidRPr="00363B5E">
        <w:rPr>
          <w:rFonts w:ascii="Times New Roman" w:hAnsi="Times New Roman" w:cs="Times New Roman"/>
          <w:b/>
          <w:bCs/>
          <w:sz w:val="20"/>
          <w:szCs w:val="20"/>
        </w:rPr>
        <w:fldChar w:fldCharType="separate"/>
      </w:r>
      <w:r w:rsidR="004B59EA" w:rsidRPr="004B59EA">
        <w:rPr>
          <w:rFonts w:ascii="Times New Roman" w:hAnsi="Times New Roman" w:cs="Times New Roman"/>
          <w:kern w:val="0"/>
          <w:sz w:val="20"/>
          <w:szCs w:val="24"/>
          <w:vertAlign w:val="superscript"/>
        </w:rPr>
        <w:t>27</w:t>
      </w:r>
      <w:r w:rsidR="002901C4" w:rsidRPr="00363B5E">
        <w:rPr>
          <w:rFonts w:ascii="Times New Roman" w:hAnsi="Times New Roman" w:cs="Times New Roman"/>
          <w:b/>
          <w:bCs/>
          <w:sz w:val="20"/>
          <w:szCs w:val="20"/>
        </w:rPr>
        <w:fldChar w:fldCharType="end"/>
      </w:r>
      <w:r w:rsidR="002901C4" w:rsidRPr="00363B5E">
        <w:rPr>
          <w:rFonts w:ascii="Times New Roman" w:hAnsi="Times New Roman" w:cs="Times New Roman"/>
          <w:sz w:val="20"/>
          <w:szCs w:val="20"/>
        </w:rPr>
        <w:t>. We show the surface energy in Ichinokawa is comparable with other earthquake source volume particularly on outcrop scale. The blue line indicates the average energy for 100EQ scenarios and the red-dashed line for 10EQ scenarios.</w:t>
      </w:r>
    </w:p>
    <w:p w14:paraId="61A2A9B2" w14:textId="2E48DA28" w:rsidR="006A7DE8" w:rsidRDefault="00E57ACE" w:rsidP="002D3213">
      <w:pPr>
        <w:autoSpaceDE w:val="0"/>
        <w:autoSpaceDN w:val="0"/>
        <w:adjustRightInd w:val="0"/>
        <w:spacing w:after="0" w:line="240" w:lineRule="auto"/>
        <w:rPr>
          <w:rFonts w:ascii="Times New Roman" w:hAnsi="Times New Roman" w:cs="Times New Roman"/>
          <w:i/>
          <w:iCs/>
          <w:sz w:val="20"/>
          <w:szCs w:val="20"/>
        </w:rPr>
      </w:pPr>
      <w:r w:rsidRPr="00363B5E">
        <w:rPr>
          <w:rFonts w:ascii="Times New Roman" w:hAnsi="Times New Roman" w:cs="Times New Roman"/>
          <w:i/>
          <w:iCs/>
          <w:sz w:val="20"/>
          <w:szCs w:val="20"/>
        </w:rPr>
        <w:t xml:space="preserve"> </w:t>
      </w:r>
    </w:p>
    <w:p w14:paraId="653854CA" w14:textId="691EE488" w:rsidR="00205B81" w:rsidRDefault="006A7DE8" w:rsidP="0061582C">
      <w:pPr>
        <w:keepNext/>
        <w:jc w:val="center"/>
      </w:pPr>
      <w:r>
        <w:rPr>
          <w:rFonts w:ascii="Times New Roman" w:hAnsi="Times New Roman" w:cs="Times New Roman"/>
          <w:i/>
          <w:iCs/>
          <w:sz w:val="20"/>
          <w:szCs w:val="20"/>
        </w:rPr>
        <w:br w:type="page"/>
      </w:r>
      <w:r w:rsidR="0061582C">
        <w:rPr>
          <w:rFonts w:ascii="Times New Roman" w:hAnsi="Times New Roman" w:cs="Times New Roman"/>
          <w:i/>
          <w:iCs/>
          <w:noProof/>
          <w:sz w:val="20"/>
          <w:szCs w:val="20"/>
        </w:rPr>
        <w:drawing>
          <wp:inline distT="0" distB="0" distL="0" distR="0" wp14:anchorId="67EE7DAD" wp14:editId="4C7A97A8">
            <wp:extent cx="3493839" cy="6121400"/>
            <wp:effectExtent l="0" t="0" r="0" b="0"/>
            <wp:docPr id="11630783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0236" cy="6132608"/>
                    </a:xfrm>
                    <a:prstGeom prst="rect">
                      <a:avLst/>
                    </a:prstGeom>
                    <a:noFill/>
                    <a:ln>
                      <a:noFill/>
                    </a:ln>
                  </pic:spPr>
                </pic:pic>
              </a:graphicData>
            </a:graphic>
          </wp:inline>
        </w:drawing>
      </w:r>
    </w:p>
    <w:p w14:paraId="55C91892" w14:textId="4B51B43C" w:rsidR="008A28FE" w:rsidRDefault="00205B81" w:rsidP="00B92B4D">
      <w:pPr>
        <w:pStyle w:val="Caption"/>
        <w:rPr>
          <w:rFonts w:ascii="Times New Roman" w:hAnsi="Times New Roman" w:cs="Times New Roman"/>
          <w:color w:val="auto"/>
          <w:sz w:val="20"/>
          <w:szCs w:val="20"/>
        </w:rPr>
      </w:pPr>
      <w:r w:rsidRPr="006A5F71">
        <w:rPr>
          <w:rFonts w:ascii="Times New Roman" w:hAnsi="Times New Roman" w:cs="Times New Roman"/>
          <w:color w:val="auto"/>
        </w:rPr>
        <w:t>Supplementary Figures 4.</w:t>
      </w:r>
      <w:r w:rsidR="000229E8">
        <w:rPr>
          <w:rFonts w:ascii="Times New Roman" w:hAnsi="Times New Roman" w:cs="Times New Roman"/>
          <w:color w:val="auto"/>
        </w:rPr>
        <w:t xml:space="preserve"> </w:t>
      </w:r>
      <w:r w:rsidR="000229E8" w:rsidRPr="000229E8">
        <w:rPr>
          <w:rFonts w:ascii="Times New Roman" w:hAnsi="Times New Roman" w:cs="Times New Roman"/>
          <w:b/>
          <w:bCs/>
          <w:color w:val="auto"/>
          <w:sz w:val="20"/>
          <w:szCs w:val="20"/>
        </w:rPr>
        <w:t>(continue)</w:t>
      </w:r>
      <w:r w:rsidR="00B92B4D" w:rsidRPr="00E240BA">
        <w:rPr>
          <w:rFonts w:ascii="Times New Roman" w:hAnsi="Times New Roman" w:cs="Times New Roman"/>
          <w:b/>
          <w:bCs/>
          <w:color w:val="auto"/>
          <w:sz w:val="20"/>
          <w:szCs w:val="20"/>
        </w:rPr>
        <w:t xml:space="preserve"> Surface area energy per unit fault (</w:t>
      </w:r>
      <w:proofErr w:type="spellStart"/>
      <w:r w:rsidR="00B92B4D" w:rsidRPr="00E240BA">
        <w:rPr>
          <w:rFonts w:ascii="Times New Roman" w:hAnsi="Times New Roman" w:cs="Times New Roman"/>
          <w:b/>
          <w:bCs/>
          <w:color w:val="auto"/>
          <w:sz w:val="20"/>
          <w:szCs w:val="20"/>
        </w:rPr>
        <w:t>U</w:t>
      </w:r>
      <w:r w:rsidR="00B92B4D" w:rsidRPr="00E240BA">
        <w:rPr>
          <w:rFonts w:ascii="Times New Roman" w:hAnsi="Times New Roman" w:cs="Times New Roman"/>
          <w:b/>
          <w:bCs/>
          <w:color w:val="auto"/>
          <w:sz w:val="20"/>
          <w:szCs w:val="20"/>
          <w:vertAlign w:val="subscript"/>
        </w:rPr>
        <w:t>sa</w:t>
      </w:r>
      <w:proofErr w:type="spellEnd"/>
      <w:r w:rsidR="00B92B4D" w:rsidRPr="00E240BA">
        <w:rPr>
          <w:rFonts w:ascii="Times New Roman" w:hAnsi="Times New Roman" w:cs="Times New Roman"/>
          <w:b/>
          <w:bCs/>
          <w:color w:val="auto"/>
          <w:sz w:val="20"/>
          <w:szCs w:val="20"/>
        </w:rPr>
        <w:t>) against Seismic Moment</w:t>
      </w:r>
      <w:r w:rsidR="00B92B4D" w:rsidRPr="00E240BA">
        <w:rPr>
          <w:rFonts w:ascii="Times New Roman" w:hAnsi="Times New Roman" w:cs="Times New Roman"/>
          <w:color w:val="auto"/>
          <w:sz w:val="20"/>
          <w:szCs w:val="20"/>
        </w:rPr>
        <w:t>. From the compiled data, especially the numerical and kinematic model, an attempt to estimate the seismic moment based on its linear relation with surface energy (</w:t>
      </w:r>
      <w:proofErr w:type="spellStart"/>
      <w:r w:rsidR="00B92B4D" w:rsidRPr="00E240BA">
        <w:rPr>
          <w:rFonts w:ascii="Times New Roman" w:hAnsi="Times New Roman" w:cs="Times New Roman"/>
          <w:color w:val="auto"/>
          <w:sz w:val="20"/>
          <w:szCs w:val="20"/>
        </w:rPr>
        <w:t>U</w:t>
      </w:r>
      <w:r w:rsidR="00B92B4D" w:rsidRPr="00E240BA">
        <w:rPr>
          <w:rFonts w:ascii="Times New Roman" w:hAnsi="Times New Roman" w:cs="Times New Roman"/>
          <w:color w:val="auto"/>
          <w:sz w:val="20"/>
          <w:szCs w:val="20"/>
          <w:vertAlign w:val="subscript"/>
        </w:rPr>
        <w:t>sa</w:t>
      </w:r>
      <w:proofErr w:type="spellEnd"/>
      <w:r w:rsidR="00B92B4D" w:rsidRPr="00E240BA">
        <w:rPr>
          <w:rFonts w:ascii="Times New Roman" w:hAnsi="Times New Roman" w:cs="Times New Roman"/>
          <w:color w:val="auto"/>
          <w:sz w:val="20"/>
          <w:szCs w:val="20"/>
        </w:rPr>
        <w:t>) for (</w:t>
      </w:r>
      <w:r w:rsidR="00B92B4D">
        <w:rPr>
          <w:rFonts w:ascii="Times New Roman" w:hAnsi="Times New Roman" w:cs="Times New Roman"/>
          <w:color w:val="auto"/>
          <w:sz w:val="20"/>
          <w:szCs w:val="20"/>
        </w:rPr>
        <w:t>c</w:t>
      </w:r>
      <w:r w:rsidR="00B92B4D" w:rsidRPr="00E240BA">
        <w:rPr>
          <w:rFonts w:ascii="Times New Roman" w:hAnsi="Times New Roman" w:cs="Times New Roman"/>
          <w:color w:val="auto"/>
          <w:sz w:val="20"/>
          <w:szCs w:val="20"/>
        </w:rPr>
        <w:t>) low energy and (</w:t>
      </w:r>
      <w:r w:rsidR="00B92B4D">
        <w:rPr>
          <w:rFonts w:ascii="Times New Roman" w:hAnsi="Times New Roman" w:cs="Times New Roman"/>
          <w:color w:val="auto"/>
          <w:sz w:val="20"/>
          <w:szCs w:val="20"/>
        </w:rPr>
        <w:t>d</w:t>
      </w:r>
      <w:r w:rsidR="00B92B4D" w:rsidRPr="00E240BA">
        <w:rPr>
          <w:rFonts w:ascii="Times New Roman" w:hAnsi="Times New Roman" w:cs="Times New Roman"/>
          <w:color w:val="auto"/>
          <w:sz w:val="20"/>
          <w:szCs w:val="20"/>
        </w:rPr>
        <w:t xml:space="preserve">) high energy. Estimated seismic moment then translates into moment magnitude using the equation provided by </w:t>
      </w:r>
      <w:r w:rsidR="00B92B4D" w:rsidRPr="00E240BA">
        <w:rPr>
          <w:rFonts w:ascii="Times New Roman" w:hAnsi="Times New Roman" w:cs="Times New Roman"/>
          <w:color w:val="auto"/>
          <w:sz w:val="20"/>
          <w:szCs w:val="20"/>
        </w:rPr>
        <w:fldChar w:fldCharType="begin"/>
      </w:r>
      <w:r w:rsidR="004B59EA">
        <w:rPr>
          <w:rFonts w:ascii="Times New Roman" w:hAnsi="Times New Roman" w:cs="Times New Roman"/>
          <w:color w:val="auto"/>
          <w:sz w:val="20"/>
          <w:szCs w:val="20"/>
        </w:rPr>
        <w:instrText xml:space="preserve"> ADDIN ZOTERO_ITEM CSL_CITATION {"citationID":"a2hsp3t85ji","properties":{"formattedCitation":"\\super 28\\nosupersub{}","plainCitation":"28","noteIndex":0},"citationItems":[{"id":149,"uris":["http://zotero.org/users/10529844/items/QJQJ4QCB"],"itemData":{"id":149,"type":"article-journal","abstract":"Earthquakes occur as a result of global plate motion. However, this simple picture is far from complete. Some plate boundaries glide past each other smoothly, while others are punctuated by catastrophic failures. Some earthquakes stop after only a few hundred metres while others continue rupturing for a thousand kilometres. Earthquakes are sometimes triggered by other large earthquakes thousands of kilometres away. We address these questions by dissecting the observable phenomena and separating out the quantifiable features for comparison across events. We begin with a discussion of stress in the crust followed by an overview of earthquake phenomenology, focusing on the parameters that are readily measured by current seismic techniques. We briefly discuss how these parameters are related to the amplitude and frequencies of the elastic waves measured by seismometers as well as direct geodetic measurements of the Earth's deformation. We then review the major processes thought to be active during the rupture and discuss their relation to the observable parameters. We then take a longer range view by discussing how earthquakes interact as a complex system. Finally, we combine subjects to approach the key issue of earthquake initiation. This concluding discussion will require using the processes introduced in the study of rupture as well as some novel mechanisms. As our observational database improves, our computational ability accelerates and our laboratories become more refined, the next few decades promise to bring more insights on earthquakes and perhaps some answers.","container-title":"Reports on Progress in Physics","DOI":"10.1088/0034-4885/67/8/R03","ISSN":"0034-4885","issue":"8","journalAbbreviation":"Rep. Prog. Phys.","language":"en","page":"1429","source":"Institute of Physics","title":"The physics of earthquakes","volume":"67","author":[{"family":"Kanamori","given":"Hiroo"},{"family":"Brodsky","given":"Emily E."}],"issued":{"date-parts":[["2004",7]]},"citation-key":"Kanamori_Brodsky.2004_PhysicsEarthquakes"}}],"schema":"https://github.com/citation-style-language/schema/raw/master/csl-citation.json"} </w:instrText>
      </w:r>
      <w:r w:rsidR="00B92B4D" w:rsidRPr="00E240BA">
        <w:rPr>
          <w:rFonts w:ascii="Times New Roman" w:hAnsi="Times New Roman" w:cs="Times New Roman"/>
          <w:color w:val="auto"/>
          <w:sz w:val="20"/>
          <w:szCs w:val="20"/>
        </w:rPr>
        <w:fldChar w:fldCharType="separate"/>
      </w:r>
      <w:r w:rsidR="004B59EA" w:rsidRPr="004B59EA">
        <w:rPr>
          <w:rFonts w:ascii="Times New Roman" w:hAnsi="Times New Roman" w:cs="Times New Roman"/>
          <w:kern w:val="0"/>
          <w:sz w:val="20"/>
          <w:szCs w:val="24"/>
          <w:vertAlign w:val="superscript"/>
        </w:rPr>
        <w:t>28</w:t>
      </w:r>
      <w:r w:rsidR="00B92B4D" w:rsidRPr="00E240BA">
        <w:rPr>
          <w:rFonts w:ascii="Times New Roman" w:hAnsi="Times New Roman" w:cs="Times New Roman"/>
          <w:color w:val="auto"/>
          <w:sz w:val="20"/>
          <w:szCs w:val="20"/>
        </w:rPr>
        <w:fldChar w:fldCharType="end"/>
      </w:r>
      <w:r w:rsidR="00B92B4D" w:rsidRPr="00E240BA">
        <w:rPr>
          <w:rFonts w:ascii="Times New Roman" w:hAnsi="Times New Roman" w:cs="Times New Roman"/>
          <w:color w:val="auto"/>
          <w:sz w:val="20"/>
          <w:szCs w:val="20"/>
        </w:rPr>
        <w:t>.</w:t>
      </w:r>
      <w:r w:rsidR="008A28FE">
        <w:rPr>
          <w:rFonts w:ascii="Times New Roman" w:hAnsi="Times New Roman" w:cs="Times New Roman"/>
          <w:color w:val="auto"/>
          <w:sz w:val="20"/>
          <w:szCs w:val="20"/>
        </w:rPr>
        <w:br/>
      </w:r>
    </w:p>
    <w:p w14:paraId="2072966F" w14:textId="77777777" w:rsidR="008A28FE" w:rsidRDefault="008A28FE">
      <w:pPr>
        <w:rPr>
          <w:rFonts w:ascii="Times New Roman" w:hAnsi="Times New Roman" w:cs="Times New Roman"/>
          <w:i/>
          <w:iCs/>
          <w:sz w:val="20"/>
          <w:szCs w:val="20"/>
        </w:rPr>
      </w:pPr>
      <w:r>
        <w:rPr>
          <w:rFonts w:ascii="Times New Roman" w:hAnsi="Times New Roman" w:cs="Times New Roman"/>
          <w:sz w:val="20"/>
          <w:szCs w:val="20"/>
        </w:rPr>
        <w:br w:type="page"/>
      </w:r>
    </w:p>
    <w:p w14:paraId="4B6E1DFB" w14:textId="77777777" w:rsidR="0020084D" w:rsidRDefault="0020084D" w:rsidP="0020084D">
      <w:pPr>
        <w:pStyle w:val="Caption"/>
        <w:keepNext/>
      </w:pPr>
      <w:r>
        <w:rPr>
          <w:rFonts w:ascii="Times New Roman" w:hAnsi="Times New Roman" w:cs="Times New Roman"/>
          <w:noProof/>
          <w:color w:val="auto"/>
          <w:sz w:val="20"/>
          <w:szCs w:val="20"/>
        </w:rPr>
        <w:drawing>
          <wp:inline distT="0" distB="0" distL="0" distR="0" wp14:anchorId="1781AF4E" wp14:editId="765377B2">
            <wp:extent cx="5613400" cy="4504055"/>
            <wp:effectExtent l="0" t="0" r="6350" b="0"/>
            <wp:docPr id="1754276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3400" cy="4504055"/>
                    </a:xfrm>
                    <a:prstGeom prst="rect">
                      <a:avLst/>
                    </a:prstGeom>
                    <a:noFill/>
                    <a:ln>
                      <a:noFill/>
                    </a:ln>
                  </pic:spPr>
                </pic:pic>
              </a:graphicData>
            </a:graphic>
          </wp:inline>
        </w:drawing>
      </w:r>
    </w:p>
    <w:p w14:paraId="39891F0B" w14:textId="028B2F47" w:rsidR="008A28FE" w:rsidRPr="0020084D" w:rsidRDefault="0020084D" w:rsidP="00416E92">
      <w:pPr>
        <w:pStyle w:val="Caption"/>
        <w:jc w:val="both"/>
        <w:rPr>
          <w:rFonts w:ascii="Times New Roman" w:hAnsi="Times New Roman" w:cs="Times New Roman"/>
          <w:color w:val="auto"/>
          <w:sz w:val="20"/>
          <w:szCs w:val="20"/>
        </w:rPr>
      </w:pPr>
      <w:r w:rsidRPr="0020084D">
        <w:rPr>
          <w:rFonts w:ascii="Times New Roman" w:hAnsi="Times New Roman" w:cs="Times New Roman"/>
          <w:color w:val="auto"/>
          <w:sz w:val="20"/>
          <w:szCs w:val="20"/>
        </w:rPr>
        <w:t xml:space="preserve">Supplementary Figures 4. </w:t>
      </w:r>
      <w:r w:rsidRPr="00416E92">
        <w:rPr>
          <w:rFonts w:ascii="Times New Roman" w:hAnsi="Times New Roman" w:cs="Times New Roman"/>
          <w:b/>
          <w:bCs/>
          <w:color w:val="auto"/>
          <w:sz w:val="20"/>
          <w:szCs w:val="20"/>
        </w:rPr>
        <w:t xml:space="preserve">(continue) Surface area energy </w:t>
      </w:r>
      <w:r w:rsidR="00244DD0" w:rsidRPr="00416E92">
        <w:rPr>
          <w:rFonts w:ascii="Times New Roman" w:hAnsi="Times New Roman" w:cs="Times New Roman"/>
          <w:b/>
          <w:bCs/>
          <w:color w:val="auto"/>
          <w:sz w:val="20"/>
          <w:szCs w:val="20"/>
        </w:rPr>
        <w:t>calculations for</w:t>
      </w:r>
      <w:r w:rsidR="00FB784E" w:rsidRPr="00416E92">
        <w:rPr>
          <w:rFonts w:ascii="Times New Roman" w:hAnsi="Times New Roman" w:cs="Times New Roman"/>
          <w:b/>
          <w:bCs/>
          <w:color w:val="auto"/>
          <w:sz w:val="20"/>
          <w:szCs w:val="20"/>
        </w:rPr>
        <w:t xml:space="preserve"> scale-integrated PSD data. </w:t>
      </w:r>
      <w:r w:rsidR="002862CC" w:rsidRPr="00416E92">
        <w:rPr>
          <w:rFonts w:ascii="Times New Roman" w:hAnsi="Times New Roman" w:cs="Times New Roman"/>
          <w:b/>
          <w:bCs/>
          <w:color w:val="auto"/>
          <w:sz w:val="20"/>
          <w:szCs w:val="20"/>
        </w:rPr>
        <w:t xml:space="preserve">(e-f) </w:t>
      </w:r>
      <w:r w:rsidR="00ED2250" w:rsidRPr="00416E92">
        <w:rPr>
          <w:rFonts w:ascii="Times New Roman" w:hAnsi="Times New Roman" w:cs="Times New Roman"/>
          <w:color w:val="auto"/>
          <w:sz w:val="20"/>
          <w:szCs w:val="20"/>
        </w:rPr>
        <w:t>Estimation of Surface energy per unit fault/damage zone for single earthquake (</w:t>
      </w:r>
      <w:proofErr w:type="spellStart"/>
      <w:r w:rsidR="00ED2250" w:rsidRPr="00416E92">
        <w:rPr>
          <w:rFonts w:ascii="Times New Roman" w:hAnsi="Times New Roman" w:cs="Times New Roman"/>
          <w:color w:val="auto"/>
          <w:sz w:val="20"/>
          <w:szCs w:val="20"/>
        </w:rPr>
        <w:t>U</w:t>
      </w:r>
      <w:r w:rsidR="00ED2250" w:rsidRPr="00416E92">
        <w:rPr>
          <w:rFonts w:ascii="Times New Roman" w:hAnsi="Times New Roman" w:cs="Times New Roman"/>
          <w:color w:val="auto"/>
          <w:sz w:val="20"/>
          <w:szCs w:val="20"/>
          <w:vertAlign w:val="subscript"/>
        </w:rPr>
        <w:t>sa</w:t>
      </w:r>
      <w:proofErr w:type="spellEnd"/>
      <w:r w:rsidR="00ED2250" w:rsidRPr="00416E92">
        <w:rPr>
          <w:rFonts w:ascii="Times New Roman" w:hAnsi="Times New Roman" w:cs="Times New Roman"/>
          <w:color w:val="auto"/>
          <w:sz w:val="20"/>
          <w:szCs w:val="20"/>
        </w:rPr>
        <w:t xml:space="preserve">) assuming the total earthquake recurrences of 10 and 100. (g) </w:t>
      </w:r>
      <w:r w:rsidR="00416E92" w:rsidRPr="00416E92">
        <w:rPr>
          <w:rFonts w:ascii="Times New Roman" w:hAnsi="Times New Roman" w:cs="Times New Roman"/>
          <w:color w:val="auto"/>
          <w:sz w:val="20"/>
          <w:szCs w:val="20"/>
        </w:rPr>
        <w:t>Calculated earthquake magnitude according to average surface energy.</w:t>
      </w:r>
    </w:p>
    <w:p w14:paraId="5183BB81" w14:textId="77777777" w:rsidR="008A28FE" w:rsidRDefault="008A28FE">
      <w:pPr>
        <w:rPr>
          <w:rFonts w:ascii="Times New Roman" w:hAnsi="Times New Roman" w:cs="Times New Roman"/>
          <w:i/>
          <w:iCs/>
          <w:sz w:val="20"/>
          <w:szCs w:val="20"/>
        </w:rPr>
      </w:pPr>
      <w:r>
        <w:rPr>
          <w:rFonts w:ascii="Times New Roman" w:hAnsi="Times New Roman" w:cs="Times New Roman"/>
          <w:sz w:val="20"/>
          <w:szCs w:val="20"/>
        </w:rPr>
        <w:br w:type="page"/>
      </w:r>
    </w:p>
    <w:p w14:paraId="647C1BBB" w14:textId="30561EF3" w:rsidR="00576784" w:rsidRDefault="002877E5" w:rsidP="00576784">
      <w:pPr>
        <w:keepNext/>
      </w:pPr>
      <w:r>
        <w:rPr>
          <w:noProof/>
        </w:rPr>
        <w:drawing>
          <wp:inline distT="0" distB="0" distL="0" distR="0" wp14:anchorId="3DB988FD" wp14:editId="34F53C88">
            <wp:extent cx="5610225" cy="6162675"/>
            <wp:effectExtent l="0" t="0" r="9525" b="9525"/>
            <wp:docPr id="1295564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0225" cy="6162675"/>
                    </a:xfrm>
                    <a:prstGeom prst="rect">
                      <a:avLst/>
                    </a:prstGeom>
                    <a:noFill/>
                    <a:ln>
                      <a:noFill/>
                    </a:ln>
                  </pic:spPr>
                </pic:pic>
              </a:graphicData>
            </a:graphic>
          </wp:inline>
        </w:drawing>
      </w:r>
    </w:p>
    <w:p w14:paraId="6D5A64CB" w14:textId="078D09A9" w:rsidR="0061582C" w:rsidRPr="00576784" w:rsidRDefault="00576784" w:rsidP="00576784">
      <w:pPr>
        <w:pStyle w:val="Caption"/>
        <w:rPr>
          <w:rFonts w:ascii="Times New Roman" w:hAnsi="Times New Roman" w:cs="Times New Roman"/>
          <w:color w:val="auto"/>
          <w:sz w:val="20"/>
          <w:szCs w:val="20"/>
        </w:rPr>
      </w:pPr>
      <w:r w:rsidRPr="00576784">
        <w:rPr>
          <w:rFonts w:ascii="Times New Roman" w:hAnsi="Times New Roman" w:cs="Times New Roman"/>
          <w:color w:val="auto"/>
          <w:sz w:val="20"/>
          <w:szCs w:val="20"/>
        </w:rPr>
        <w:t xml:space="preserve">Supplementary Figure </w:t>
      </w:r>
      <w:r w:rsidR="00C673F8">
        <w:rPr>
          <w:rFonts w:ascii="Times New Roman" w:hAnsi="Times New Roman" w:cs="Times New Roman"/>
          <w:color w:val="auto"/>
          <w:sz w:val="20"/>
          <w:szCs w:val="20"/>
        </w:rPr>
        <w:t>5</w:t>
      </w:r>
      <w:r w:rsidRPr="00576784">
        <w:rPr>
          <w:rFonts w:ascii="Times New Roman" w:hAnsi="Times New Roman" w:cs="Times New Roman"/>
          <w:color w:val="auto"/>
          <w:sz w:val="20"/>
          <w:szCs w:val="20"/>
        </w:rPr>
        <w:t xml:space="preserve">. </w:t>
      </w:r>
      <w:r w:rsidR="006D21C5">
        <w:rPr>
          <w:rFonts w:ascii="Times New Roman" w:hAnsi="Times New Roman" w:cs="Times New Roman"/>
          <w:b/>
          <w:bCs/>
          <w:color w:val="auto"/>
          <w:sz w:val="20"/>
          <w:szCs w:val="20"/>
        </w:rPr>
        <w:t xml:space="preserve">Ore </w:t>
      </w:r>
      <w:r w:rsidR="006D21C5" w:rsidRPr="00A65CFA">
        <w:rPr>
          <w:rFonts w:ascii="Times New Roman" w:hAnsi="Times New Roman" w:cs="Times New Roman"/>
          <w:b/>
          <w:bCs/>
          <w:color w:val="auto"/>
          <w:sz w:val="20"/>
          <w:szCs w:val="20"/>
        </w:rPr>
        <w:t>forming</w:t>
      </w:r>
      <w:r w:rsidR="00B954F8">
        <w:rPr>
          <w:rFonts w:ascii="Times New Roman" w:hAnsi="Times New Roman" w:cs="Times New Roman"/>
          <w:b/>
          <w:bCs/>
          <w:color w:val="auto"/>
          <w:sz w:val="20"/>
          <w:szCs w:val="20"/>
        </w:rPr>
        <w:t xml:space="preserve"> fluid</w:t>
      </w:r>
      <w:r w:rsidR="006D21C5" w:rsidRPr="00A65CFA">
        <w:rPr>
          <w:rFonts w:ascii="Times New Roman" w:hAnsi="Times New Roman" w:cs="Times New Roman"/>
          <w:b/>
          <w:bCs/>
          <w:color w:val="auto"/>
          <w:sz w:val="20"/>
          <w:szCs w:val="20"/>
        </w:rPr>
        <w:t xml:space="preserve"> temperature </w:t>
      </w:r>
      <w:r w:rsidR="00B954F8">
        <w:rPr>
          <w:rFonts w:ascii="Times New Roman" w:hAnsi="Times New Roman" w:cs="Times New Roman"/>
          <w:b/>
          <w:bCs/>
          <w:color w:val="auto"/>
          <w:sz w:val="20"/>
          <w:szCs w:val="20"/>
        </w:rPr>
        <w:t>from</w:t>
      </w:r>
      <w:r w:rsidR="006D21C5" w:rsidRPr="00A65CFA">
        <w:rPr>
          <w:rFonts w:ascii="Times New Roman" w:hAnsi="Times New Roman" w:cs="Times New Roman"/>
          <w:b/>
          <w:bCs/>
          <w:color w:val="auto"/>
          <w:sz w:val="20"/>
          <w:szCs w:val="20"/>
        </w:rPr>
        <w:t xml:space="preserve"> arsenopyrite</w:t>
      </w:r>
      <w:r w:rsidR="00FA10BA" w:rsidRPr="00FA10BA">
        <w:rPr>
          <w:rFonts w:ascii="Times New Roman" w:hAnsi="Times New Roman" w:cs="Times New Roman"/>
          <w:color w:val="auto"/>
          <w:sz w:val="20"/>
          <w:szCs w:val="20"/>
        </w:rPr>
        <w:t>. (a) Arsenopyrite texture</w:t>
      </w:r>
      <w:r w:rsidR="00FA10BA">
        <w:rPr>
          <w:rFonts w:ascii="Times New Roman" w:hAnsi="Times New Roman" w:cs="Times New Roman"/>
          <w:b/>
          <w:bCs/>
          <w:color w:val="auto"/>
          <w:sz w:val="20"/>
          <w:szCs w:val="20"/>
        </w:rPr>
        <w:t xml:space="preserve"> </w:t>
      </w:r>
      <w:r w:rsidR="00FA10BA" w:rsidRPr="00A65CFA">
        <w:rPr>
          <w:rFonts w:ascii="Times New Roman" w:hAnsi="Times New Roman" w:cs="Times New Roman"/>
          <w:color w:val="auto"/>
          <w:sz w:val="20"/>
          <w:szCs w:val="20"/>
        </w:rPr>
        <w:t>(b</w:t>
      </w:r>
      <w:r w:rsidR="00FA10BA">
        <w:rPr>
          <w:rFonts w:ascii="Times New Roman" w:hAnsi="Times New Roman" w:cs="Times New Roman"/>
          <w:color w:val="auto"/>
          <w:sz w:val="20"/>
          <w:szCs w:val="20"/>
        </w:rPr>
        <w:t>-c</w:t>
      </w:r>
      <w:r w:rsidR="00FA10BA" w:rsidRPr="00A65CFA">
        <w:rPr>
          <w:rFonts w:ascii="Times New Roman" w:hAnsi="Times New Roman" w:cs="Times New Roman"/>
          <w:color w:val="auto"/>
          <w:sz w:val="20"/>
          <w:szCs w:val="20"/>
        </w:rPr>
        <w:t xml:space="preserve">) The temperature of formation based on arsenopyrite </w:t>
      </w:r>
      <w:proofErr w:type="spellStart"/>
      <w:r w:rsidR="00FA10BA" w:rsidRPr="00A65CFA">
        <w:rPr>
          <w:rFonts w:ascii="Times New Roman" w:hAnsi="Times New Roman" w:cs="Times New Roman"/>
          <w:color w:val="auto"/>
          <w:sz w:val="20"/>
          <w:szCs w:val="20"/>
        </w:rPr>
        <w:t>geothermometry</w:t>
      </w:r>
      <w:proofErr w:type="spellEnd"/>
      <w:r w:rsidR="00FA10BA" w:rsidRPr="00A65CFA">
        <w:rPr>
          <w:rFonts w:ascii="Times New Roman" w:hAnsi="Times New Roman" w:cs="Times New Roman"/>
          <w:color w:val="auto"/>
          <w:sz w:val="20"/>
          <w:szCs w:val="20"/>
        </w:rPr>
        <w:t xml:space="preserve"> by looking at arsenic concentration and mineral assemblages </w:t>
      </w:r>
      <w:r w:rsidR="00FA10BA" w:rsidRPr="00A65CFA">
        <w:rPr>
          <w:rFonts w:ascii="Times New Roman" w:hAnsi="Times New Roman" w:cs="Times New Roman"/>
          <w:color w:val="auto"/>
          <w:sz w:val="20"/>
          <w:szCs w:val="20"/>
        </w:rPr>
        <w:fldChar w:fldCharType="begin"/>
      </w:r>
      <w:r w:rsidR="00194796">
        <w:rPr>
          <w:rFonts w:ascii="Times New Roman" w:hAnsi="Times New Roman" w:cs="Times New Roman"/>
          <w:color w:val="auto"/>
          <w:sz w:val="20"/>
          <w:szCs w:val="20"/>
        </w:rPr>
        <w:instrText xml:space="preserve"> ADDIN ZOTERO_ITEM CSL_CITATION {"citationID":"aphjsrqfg1","properties":{"formattedCitation":"\\super 8,9\\nosupersub{}","plainCitation":"8,9","noteIndex":0},"citationItems":[{"id":642,"uris":["http://zotero.org/users/10529844/items/SCCDFAXR"],"itemData":{"id":642,"type":"article-journal","abstract":"Subsolidus recrystallization experiments in the system Fe-As-S have been carried out using dry, eutectic, halide fluxes to speed reaction mtes. At 300'C the composition range of arsenopyrite extends from less than 3O at % As in equilibrium with pyrite and arsenic to approximately 33.5 at.% As in equilibrium with pyrrhotite and loellingite. At 700\"C arsenopyrite contains approximately 38.5 at. % As irrespective of the assemblage in which it is synthesized. The As-content of arsenopyrite may be obtained from its d131 and the equation: At. % arsenic = 866.67 d131-1381.12 Microprobe analysesshow that natural arsenopyrite crystals coexistingwith pyrrhotite, pyrite or pyritefpyrrhotite are commonly zoned with a Sirich center and an As-rich rim. The zoning in arsenopyrite from As-rich environments is in the opposite sense. At preseDt, the most reasonable explanation is that the zoning reflects local disequilibrium during growth. However, the overall compositional limits of natural arsenopyrites are dependent on the coexisting Fe-As-S minerals and these limits correspond very well with compositional limits determined experimentally. Because of its refractory nature, arsenopyrite does not readily re&lt;quilibrate on cooling and its composition rcflects formation temperature provided an estimate of the sulfur activity prevailing at deposition can be made from the coexisting minerals. The results of high-pressure experiments were not conclusive, but taken in conjunction with calculations and the composition of arsenopyrite from metamorphosed ore deposits, they suggest that tlte effect of confining pressure is much smaller than ind:icated by Clark (1960c) and that arsenopyrite is unlikely to be a useful geobarometer.","container-title":"Iraduit par le journal","note":"ISBN: 0008-4476, 0008-4476","page":"364-386","title":"Phase relations involving arsenopyrite in the system Fe-As-S and their application","volume":"14","author":[{"family":"Kretschmar","given":"Ulrich"},{"family":"Scott","given":"S D"}],"issued":{"date-parts":[["1976"]]},"citation-key":"Kretschmar_Scott.1976_PhaseRelationsInvolving"}},{"id":645,"uris":["http://zotero.org/users/10529844/items/HTLVEF9V"],"itemData":{"id":645,"type":"article-journal","container-title":"AGU 1984 spring meeting.","note":"issue: 65; 16","page":"290","title":"A reexamination of the arsenopyrite geothermometer/ geobarometer; pressure considerations and corrections","volume":"23","author":[{"family":"Sharp","given":"Zachary D"},{"family":"Essene","given":"Eric J"},{"family":"Kelly","given":"William C"}],"issued":{"date-parts":[["1984"]]},"citation-key":"Sharp_etal.1984_ReexaminationArsenopyriteGeothermometer"}}],"schema":"https://github.com/citation-style-language/schema/raw/master/csl-citation.json"} </w:instrText>
      </w:r>
      <w:r w:rsidR="00FA10BA" w:rsidRPr="00A65CFA">
        <w:rPr>
          <w:rFonts w:ascii="Times New Roman" w:hAnsi="Times New Roman" w:cs="Times New Roman"/>
          <w:color w:val="auto"/>
          <w:sz w:val="20"/>
          <w:szCs w:val="20"/>
        </w:rPr>
        <w:fldChar w:fldCharType="separate"/>
      </w:r>
      <w:r w:rsidR="00194796" w:rsidRPr="00194796">
        <w:rPr>
          <w:rFonts w:ascii="Times New Roman" w:hAnsi="Times New Roman" w:cs="Times New Roman"/>
          <w:kern w:val="0"/>
          <w:sz w:val="20"/>
          <w:szCs w:val="24"/>
          <w:vertAlign w:val="superscript"/>
        </w:rPr>
        <w:t>8,9</w:t>
      </w:r>
      <w:r w:rsidR="00FA10BA" w:rsidRPr="00A65CFA">
        <w:rPr>
          <w:rFonts w:ascii="Times New Roman" w:hAnsi="Times New Roman" w:cs="Times New Roman"/>
          <w:color w:val="auto"/>
          <w:sz w:val="20"/>
          <w:szCs w:val="20"/>
        </w:rPr>
        <w:fldChar w:fldCharType="end"/>
      </w:r>
      <w:r w:rsidR="00FA10BA" w:rsidRPr="00A65CFA">
        <w:rPr>
          <w:rFonts w:ascii="Times New Roman" w:hAnsi="Times New Roman" w:cs="Times New Roman"/>
          <w:color w:val="auto"/>
          <w:sz w:val="20"/>
          <w:szCs w:val="20"/>
        </w:rPr>
        <w:t>.</w:t>
      </w:r>
    </w:p>
    <w:p w14:paraId="69E062F4" w14:textId="77777777" w:rsidR="00576784" w:rsidRDefault="00576784">
      <w:r>
        <w:br w:type="page"/>
      </w:r>
    </w:p>
    <w:p w14:paraId="5ED026D0" w14:textId="77777777" w:rsidR="008E0B11" w:rsidRDefault="008E0B11" w:rsidP="008E0B11">
      <w:pPr>
        <w:keepNext/>
      </w:pPr>
      <w:r>
        <w:rPr>
          <w:noProof/>
        </w:rPr>
        <w:drawing>
          <wp:inline distT="0" distB="0" distL="0" distR="0" wp14:anchorId="5CBDCE0C" wp14:editId="433C01A4">
            <wp:extent cx="5605145" cy="5367655"/>
            <wp:effectExtent l="0" t="0" r="0" b="0"/>
            <wp:docPr id="8906428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5145" cy="5367655"/>
                    </a:xfrm>
                    <a:prstGeom prst="rect">
                      <a:avLst/>
                    </a:prstGeom>
                    <a:noFill/>
                    <a:ln>
                      <a:noFill/>
                    </a:ln>
                  </pic:spPr>
                </pic:pic>
              </a:graphicData>
            </a:graphic>
          </wp:inline>
        </w:drawing>
      </w:r>
    </w:p>
    <w:p w14:paraId="695DB3A4" w14:textId="6120FD3C" w:rsidR="008E0B11" w:rsidRPr="00576784" w:rsidRDefault="008E0B11" w:rsidP="008E0B11">
      <w:pPr>
        <w:pStyle w:val="Caption"/>
        <w:rPr>
          <w:rFonts w:ascii="Times New Roman" w:hAnsi="Times New Roman" w:cs="Times New Roman"/>
          <w:color w:val="auto"/>
          <w:sz w:val="20"/>
          <w:szCs w:val="20"/>
        </w:rPr>
      </w:pPr>
      <w:r w:rsidRPr="00576784">
        <w:rPr>
          <w:rFonts w:ascii="Times New Roman" w:hAnsi="Times New Roman" w:cs="Times New Roman"/>
          <w:color w:val="auto"/>
          <w:sz w:val="20"/>
          <w:szCs w:val="20"/>
        </w:rPr>
        <w:t xml:space="preserve">Supplementary Figure </w:t>
      </w:r>
      <w:r w:rsidR="00C673F8">
        <w:rPr>
          <w:rFonts w:ascii="Times New Roman" w:hAnsi="Times New Roman" w:cs="Times New Roman"/>
          <w:color w:val="auto"/>
          <w:sz w:val="20"/>
          <w:szCs w:val="20"/>
        </w:rPr>
        <w:t>5</w:t>
      </w:r>
      <w:r w:rsidRPr="00576784">
        <w:rPr>
          <w:rFonts w:ascii="Times New Roman" w:hAnsi="Times New Roman" w:cs="Times New Roman"/>
          <w:color w:val="auto"/>
          <w:sz w:val="20"/>
          <w:szCs w:val="20"/>
        </w:rPr>
        <w:t>.</w:t>
      </w:r>
      <w:r w:rsidR="009100F0">
        <w:rPr>
          <w:rFonts w:ascii="Times New Roman" w:hAnsi="Times New Roman" w:cs="Times New Roman"/>
          <w:color w:val="auto"/>
          <w:sz w:val="20"/>
          <w:szCs w:val="20"/>
        </w:rPr>
        <w:t xml:space="preserve"> </w:t>
      </w:r>
      <w:r w:rsidR="009100F0" w:rsidRPr="009100F0">
        <w:rPr>
          <w:rFonts w:ascii="Times New Roman" w:hAnsi="Times New Roman" w:cs="Times New Roman"/>
          <w:b/>
          <w:bCs/>
          <w:color w:val="auto"/>
          <w:sz w:val="20"/>
          <w:szCs w:val="20"/>
        </w:rPr>
        <w:t>(</w:t>
      </w:r>
      <w:r w:rsidR="009100F0">
        <w:rPr>
          <w:rFonts w:ascii="Times New Roman" w:hAnsi="Times New Roman" w:cs="Times New Roman"/>
          <w:b/>
          <w:bCs/>
          <w:color w:val="auto"/>
          <w:sz w:val="20"/>
          <w:szCs w:val="20"/>
        </w:rPr>
        <w:t>c</w:t>
      </w:r>
      <w:r w:rsidR="009100F0" w:rsidRPr="009100F0">
        <w:rPr>
          <w:rFonts w:ascii="Times New Roman" w:hAnsi="Times New Roman" w:cs="Times New Roman"/>
          <w:b/>
          <w:bCs/>
          <w:color w:val="auto"/>
          <w:sz w:val="20"/>
          <w:szCs w:val="20"/>
        </w:rPr>
        <w:t>ontinue)</w:t>
      </w:r>
      <w:r w:rsidRPr="00576784">
        <w:rPr>
          <w:rFonts w:ascii="Times New Roman" w:hAnsi="Times New Roman" w:cs="Times New Roman"/>
          <w:color w:val="auto"/>
          <w:sz w:val="20"/>
          <w:szCs w:val="20"/>
        </w:rPr>
        <w:t xml:space="preserve"> </w:t>
      </w:r>
      <w:r w:rsidR="00095EB7" w:rsidRPr="00A65CFA">
        <w:rPr>
          <w:rFonts w:ascii="Times New Roman" w:hAnsi="Times New Roman" w:cs="Times New Roman"/>
          <w:b/>
          <w:bCs/>
          <w:color w:val="auto"/>
          <w:sz w:val="20"/>
          <w:szCs w:val="20"/>
        </w:rPr>
        <w:t>Texture and composition of fluid inclusion</w:t>
      </w:r>
      <w:r w:rsidR="009100F0">
        <w:rPr>
          <w:rFonts w:ascii="Times New Roman" w:hAnsi="Times New Roman" w:cs="Times New Roman"/>
          <w:b/>
          <w:bCs/>
          <w:color w:val="auto"/>
          <w:sz w:val="20"/>
          <w:szCs w:val="20"/>
        </w:rPr>
        <w:t>.</w:t>
      </w:r>
      <w:r w:rsidR="00095EB7" w:rsidRPr="00A65CFA">
        <w:rPr>
          <w:rFonts w:ascii="Times New Roman" w:hAnsi="Times New Roman" w:cs="Times New Roman"/>
          <w:color w:val="auto"/>
          <w:sz w:val="20"/>
          <w:szCs w:val="20"/>
        </w:rPr>
        <w:t xml:space="preserve"> (</w:t>
      </w:r>
      <w:r w:rsidR="00095EB7">
        <w:rPr>
          <w:rFonts w:ascii="Times New Roman" w:hAnsi="Times New Roman" w:cs="Times New Roman"/>
          <w:color w:val="auto"/>
          <w:sz w:val="20"/>
          <w:szCs w:val="20"/>
        </w:rPr>
        <w:t>d</w:t>
      </w:r>
      <w:r w:rsidR="00095EB7" w:rsidRPr="00A65CFA">
        <w:rPr>
          <w:rFonts w:ascii="Times New Roman" w:hAnsi="Times New Roman" w:cs="Times New Roman"/>
          <w:color w:val="auto"/>
          <w:sz w:val="20"/>
          <w:szCs w:val="20"/>
        </w:rPr>
        <w:t>) Red-dashed circle indicates area of interest for fluid inclusion analysis in stibnite vein and characteristic of fluid inclusion in quartz. (</w:t>
      </w:r>
      <w:r w:rsidR="00095EB7">
        <w:rPr>
          <w:rFonts w:ascii="Times New Roman" w:hAnsi="Times New Roman" w:cs="Times New Roman"/>
          <w:color w:val="auto"/>
          <w:sz w:val="20"/>
          <w:szCs w:val="20"/>
        </w:rPr>
        <w:t>e</w:t>
      </w:r>
      <w:r w:rsidR="00095EB7" w:rsidRPr="00A65CFA">
        <w:rPr>
          <w:rFonts w:ascii="Times New Roman" w:hAnsi="Times New Roman" w:cs="Times New Roman"/>
          <w:color w:val="auto"/>
          <w:sz w:val="20"/>
          <w:szCs w:val="20"/>
        </w:rPr>
        <w:t>)</w:t>
      </w:r>
      <w:r w:rsidR="00095EB7">
        <w:rPr>
          <w:rFonts w:ascii="Times New Roman" w:hAnsi="Times New Roman" w:cs="Times New Roman"/>
          <w:color w:val="auto"/>
          <w:sz w:val="20"/>
          <w:szCs w:val="20"/>
        </w:rPr>
        <w:t xml:space="preserve"> </w:t>
      </w:r>
      <w:proofErr w:type="spellStart"/>
      <w:r w:rsidR="00095EB7">
        <w:rPr>
          <w:rFonts w:ascii="Times New Roman" w:hAnsi="Times New Roman" w:cs="Times New Roman"/>
          <w:color w:val="auto"/>
          <w:sz w:val="20"/>
          <w:szCs w:val="20"/>
        </w:rPr>
        <w:t>Petrographics</w:t>
      </w:r>
      <w:proofErr w:type="spellEnd"/>
      <w:r w:rsidR="00095EB7">
        <w:rPr>
          <w:rFonts w:ascii="Times New Roman" w:hAnsi="Times New Roman" w:cs="Times New Roman"/>
          <w:color w:val="auto"/>
          <w:sz w:val="20"/>
          <w:szCs w:val="20"/>
        </w:rPr>
        <w:t xml:space="preserve"> observation of fluid </w:t>
      </w:r>
      <w:proofErr w:type="spellStart"/>
      <w:r w:rsidR="00095EB7">
        <w:rPr>
          <w:rFonts w:ascii="Times New Roman" w:hAnsi="Times New Roman" w:cs="Times New Roman"/>
          <w:color w:val="auto"/>
          <w:sz w:val="20"/>
          <w:szCs w:val="20"/>
        </w:rPr>
        <w:t>inlclusion</w:t>
      </w:r>
      <w:proofErr w:type="spellEnd"/>
      <w:r w:rsidR="00095EB7">
        <w:rPr>
          <w:rFonts w:ascii="Times New Roman" w:hAnsi="Times New Roman" w:cs="Times New Roman"/>
          <w:color w:val="auto"/>
          <w:sz w:val="20"/>
          <w:szCs w:val="20"/>
        </w:rPr>
        <w:t xml:space="preserve"> show</w:t>
      </w:r>
      <w:r w:rsidR="00095EB7" w:rsidRPr="00A65CFA">
        <w:rPr>
          <w:rFonts w:ascii="Times New Roman" w:hAnsi="Times New Roman" w:cs="Times New Roman"/>
          <w:color w:val="auto"/>
          <w:sz w:val="20"/>
          <w:szCs w:val="20"/>
        </w:rPr>
        <w:t xml:space="preserve"> </w:t>
      </w:r>
      <w:r w:rsidR="00095EB7">
        <w:rPr>
          <w:rFonts w:ascii="Times New Roman" w:hAnsi="Times New Roman" w:cs="Times New Roman"/>
          <w:color w:val="auto"/>
          <w:sz w:val="20"/>
          <w:szCs w:val="20"/>
        </w:rPr>
        <w:t>f</w:t>
      </w:r>
      <w:r w:rsidR="00095EB7" w:rsidRPr="00A65CFA">
        <w:rPr>
          <w:rFonts w:ascii="Times New Roman" w:hAnsi="Times New Roman" w:cs="Times New Roman"/>
          <w:color w:val="auto"/>
          <w:sz w:val="20"/>
          <w:szCs w:val="20"/>
        </w:rPr>
        <w:t>luid-dominated phases</w:t>
      </w:r>
      <w:r w:rsidR="00095EB7">
        <w:rPr>
          <w:rFonts w:ascii="Times New Roman" w:hAnsi="Times New Roman" w:cs="Times New Roman"/>
          <w:color w:val="auto"/>
          <w:sz w:val="20"/>
          <w:szCs w:val="20"/>
        </w:rPr>
        <w:t xml:space="preserve">. </w:t>
      </w:r>
      <w:r w:rsidR="00095EB7" w:rsidRPr="009C3A5A">
        <w:rPr>
          <w:rFonts w:ascii="Times New Roman" w:hAnsi="Times New Roman" w:cs="Times New Roman"/>
          <w:color w:val="auto"/>
          <w:sz w:val="20"/>
          <w:szCs w:val="20"/>
        </w:rPr>
        <w:t>(</w:t>
      </w:r>
      <w:r w:rsidR="00095EB7">
        <w:rPr>
          <w:rFonts w:ascii="Times New Roman" w:hAnsi="Times New Roman" w:cs="Times New Roman"/>
          <w:color w:val="auto"/>
          <w:sz w:val="20"/>
          <w:szCs w:val="20"/>
        </w:rPr>
        <w:t>f</w:t>
      </w:r>
      <w:r w:rsidR="00095EB7" w:rsidRPr="009C3A5A">
        <w:rPr>
          <w:rFonts w:ascii="Times New Roman" w:hAnsi="Times New Roman" w:cs="Times New Roman"/>
          <w:color w:val="auto"/>
          <w:sz w:val="20"/>
          <w:szCs w:val="20"/>
        </w:rPr>
        <w:t>)</w:t>
      </w:r>
      <w:r w:rsidR="00095EB7">
        <w:rPr>
          <w:rFonts w:ascii="Times New Roman" w:hAnsi="Times New Roman" w:cs="Times New Roman"/>
          <w:color w:val="auto"/>
          <w:sz w:val="20"/>
          <w:szCs w:val="20"/>
        </w:rPr>
        <w:t xml:space="preserve"> The </w:t>
      </w:r>
      <w:proofErr w:type="spellStart"/>
      <w:r w:rsidR="00095EB7">
        <w:rPr>
          <w:rFonts w:ascii="Times New Roman" w:hAnsi="Times New Roman" w:cs="Times New Roman"/>
          <w:color w:val="auto"/>
          <w:sz w:val="20"/>
          <w:szCs w:val="20"/>
        </w:rPr>
        <w:t>raman</w:t>
      </w:r>
      <w:proofErr w:type="spellEnd"/>
      <w:r w:rsidR="00095EB7">
        <w:rPr>
          <w:rFonts w:ascii="Times New Roman" w:hAnsi="Times New Roman" w:cs="Times New Roman"/>
          <w:color w:val="auto"/>
          <w:sz w:val="20"/>
          <w:szCs w:val="20"/>
        </w:rPr>
        <w:t xml:space="preserve"> signal of fluid inclusion shows H</w:t>
      </w:r>
      <w:r w:rsidR="00095EB7" w:rsidRPr="009C3A5A">
        <w:rPr>
          <w:rFonts w:ascii="Times New Roman" w:hAnsi="Times New Roman" w:cs="Times New Roman"/>
          <w:color w:val="auto"/>
          <w:sz w:val="20"/>
          <w:szCs w:val="20"/>
          <w:vertAlign w:val="subscript"/>
        </w:rPr>
        <w:t>2</w:t>
      </w:r>
      <w:r w:rsidR="00095EB7">
        <w:rPr>
          <w:rFonts w:ascii="Times New Roman" w:hAnsi="Times New Roman" w:cs="Times New Roman"/>
          <w:color w:val="auto"/>
          <w:sz w:val="20"/>
          <w:szCs w:val="20"/>
        </w:rPr>
        <w:t>O-dominated phases with low concentration of CO</w:t>
      </w:r>
      <w:r w:rsidR="00095EB7" w:rsidRPr="009C3A5A">
        <w:rPr>
          <w:rFonts w:ascii="Times New Roman" w:hAnsi="Times New Roman" w:cs="Times New Roman"/>
          <w:color w:val="auto"/>
          <w:sz w:val="20"/>
          <w:szCs w:val="20"/>
          <w:vertAlign w:val="subscript"/>
        </w:rPr>
        <w:t>2</w:t>
      </w:r>
      <w:r w:rsidR="00095EB7" w:rsidRPr="00A65CFA">
        <w:rPr>
          <w:rFonts w:ascii="Times New Roman" w:hAnsi="Times New Roman" w:cs="Times New Roman"/>
          <w:color w:val="auto"/>
          <w:sz w:val="20"/>
          <w:szCs w:val="20"/>
        </w:rPr>
        <w:t>.</w:t>
      </w:r>
    </w:p>
    <w:p w14:paraId="01536A2D" w14:textId="77777777" w:rsidR="008E0B11" w:rsidRDefault="008E0B11">
      <w:r>
        <w:br w:type="page"/>
      </w:r>
    </w:p>
    <w:p w14:paraId="08600AFC" w14:textId="33865784" w:rsidR="008E0B11" w:rsidRDefault="002877E5" w:rsidP="008E0B11">
      <w:pPr>
        <w:keepNext/>
      </w:pPr>
      <w:r>
        <w:rPr>
          <w:noProof/>
        </w:rPr>
        <w:drawing>
          <wp:inline distT="0" distB="0" distL="0" distR="0" wp14:anchorId="25CFA853" wp14:editId="72EE2458">
            <wp:extent cx="5610225" cy="5353050"/>
            <wp:effectExtent l="0" t="0" r="9525" b="0"/>
            <wp:docPr id="176581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0225" cy="5353050"/>
                    </a:xfrm>
                    <a:prstGeom prst="rect">
                      <a:avLst/>
                    </a:prstGeom>
                    <a:noFill/>
                    <a:ln>
                      <a:noFill/>
                    </a:ln>
                  </pic:spPr>
                </pic:pic>
              </a:graphicData>
            </a:graphic>
          </wp:inline>
        </w:drawing>
      </w:r>
    </w:p>
    <w:p w14:paraId="216E00E2" w14:textId="12462C87" w:rsidR="00675082" w:rsidRPr="00363B5E" w:rsidRDefault="008E0B11" w:rsidP="00675082">
      <w:pPr>
        <w:pStyle w:val="Caption"/>
        <w:rPr>
          <w:rFonts w:ascii="Times New Roman" w:hAnsi="Times New Roman" w:cs="Times New Roman"/>
          <w:noProof/>
          <w:color w:val="auto"/>
          <w:sz w:val="20"/>
          <w:szCs w:val="20"/>
        </w:rPr>
      </w:pPr>
      <w:r w:rsidRPr="00576784">
        <w:rPr>
          <w:rFonts w:ascii="Times New Roman" w:hAnsi="Times New Roman" w:cs="Times New Roman"/>
          <w:color w:val="auto"/>
          <w:sz w:val="20"/>
          <w:szCs w:val="20"/>
        </w:rPr>
        <w:t xml:space="preserve">Supplementary Figure </w:t>
      </w:r>
      <w:r w:rsidR="00C673F8">
        <w:rPr>
          <w:rFonts w:ascii="Times New Roman" w:hAnsi="Times New Roman" w:cs="Times New Roman"/>
          <w:color w:val="auto"/>
          <w:sz w:val="20"/>
          <w:szCs w:val="20"/>
        </w:rPr>
        <w:t>5</w:t>
      </w:r>
      <w:r w:rsidRPr="00576784">
        <w:rPr>
          <w:rFonts w:ascii="Times New Roman" w:hAnsi="Times New Roman" w:cs="Times New Roman"/>
          <w:color w:val="auto"/>
          <w:sz w:val="20"/>
          <w:szCs w:val="20"/>
        </w:rPr>
        <w:t>.</w:t>
      </w:r>
      <w:r w:rsidR="00675082">
        <w:rPr>
          <w:rFonts w:ascii="Times New Roman" w:hAnsi="Times New Roman" w:cs="Times New Roman"/>
          <w:color w:val="auto"/>
          <w:sz w:val="20"/>
          <w:szCs w:val="20"/>
        </w:rPr>
        <w:t xml:space="preserve"> </w:t>
      </w:r>
      <w:r w:rsidR="00675082" w:rsidRPr="00363B5E">
        <w:rPr>
          <w:rFonts w:ascii="Times New Roman" w:hAnsi="Times New Roman" w:cs="Times New Roman"/>
          <w:b/>
          <w:bCs/>
          <w:color w:val="auto"/>
          <w:sz w:val="20"/>
          <w:szCs w:val="20"/>
        </w:rPr>
        <w:t>(continue)</w:t>
      </w:r>
      <w:r w:rsidR="00675082" w:rsidRPr="00363B5E">
        <w:rPr>
          <w:rFonts w:ascii="Times New Roman" w:hAnsi="Times New Roman" w:cs="Times New Roman"/>
          <w:color w:val="auto"/>
          <w:sz w:val="20"/>
          <w:szCs w:val="20"/>
        </w:rPr>
        <w:t xml:space="preserve"> </w:t>
      </w:r>
      <w:proofErr w:type="spellStart"/>
      <w:r w:rsidR="00675082" w:rsidRPr="00363B5E">
        <w:rPr>
          <w:rFonts w:ascii="Times New Roman" w:hAnsi="Times New Roman" w:cs="Times New Roman"/>
          <w:b/>
          <w:bCs/>
          <w:color w:val="auto"/>
          <w:sz w:val="20"/>
          <w:szCs w:val="20"/>
        </w:rPr>
        <w:t>Microthermometry</w:t>
      </w:r>
      <w:proofErr w:type="spellEnd"/>
      <w:r w:rsidR="00675082" w:rsidRPr="00363B5E">
        <w:rPr>
          <w:rFonts w:ascii="Times New Roman" w:hAnsi="Times New Roman" w:cs="Times New Roman"/>
          <w:b/>
          <w:bCs/>
          <w:color w:val="auto"/>
          <w:sz w:val="20"/>
          <w:szCs w:val="20"/>
        </w:rPr>
        <w:t xml:space="preserve"> and Isochore modeling of fluid inclusion</w:t>
      </w:r>
      <w:r w:rsidR="00675082" w:rsidRPr="00363B5E">
        <w:rPr>
          <w:rFonts w:ascii="Times New Roman" w:hAnsi="Times New Roman" w:cs="Times New Roman"/>
          <w:color w:val="auto"/>
          <w:sz w:val="20"/>
          <w:szCs w:val="20"/>
        </w:rPr>
        <w:t xml:space="preserve"> (</w:t>
      </w:r>
      <w:r w:rsidR="00675082">
        <w:rPr>
          <w:rFonts w:ascii="Times New Roman" w:hAnsi="Times New Roman" w:cs="Times New Roman"/>
          <w:color w:val="auto"/>
          <w:sz w:val="20"/>
          <w:szCs w:val="20"/>
        </w:rPr>
        <w:t>g</w:t>
      </w:r>
      <w:r w:rsidR="00675082" w:rsidRPr="00363B5E">
        <w:rPr>
          <w:rFonts w:ascii="Times New Roman" w:hAnsi="Times New Roman" w:cs="Times New Roman"/>
          <w:color w:val="auto"/>
          <w:sz w:val="20"/>
          <w:szCs w:val="20"/>
        </w:rPr>
        <w:t>) Ice melting temperature and homogenization temperature of observed fluid inclusion. (</w:t>
      </w:r>
      <w:r w:rsidR="00675082">
        <w:rPr>
          <w:rFonts w:ascii="Times New Roman" w:hAnsi="Times New Roman" w:cs="Times New Roman"/>
          <w:color w:val="auto"/>
          <w:sz w:val="20"/>
          <w:szCs w:val="20"/>
        </w:rPr>
        <w:t>h</w:t>
      </w:r>
      <w:r w:rsidR="00675082" w:rsidRPr="00363B5E">
        <w:rPr>
          <w:rFonts w:ascii="Times New Roman" w:hAnsi="Times New Roman" w:cs="Times New Roman"/>
          <w:color w:val="auto"/>
          <w:sz w:val="20"/>
          <w:szCs w:val="20"/>
        </w:rPr>
        <w:t>) Isochore modeling to estimate the pressure of quartz.</w:t>
      </w:r>
    </w:p>
    <w:p w14:paraId="71DF052B" w14:textId="14249FF7" w:rsidR="008E0B11" w:rsidRPr="00576784" w:rsidRDefault="008E0B11" w:rsidP="008E0B11">
      <w:pPr>
        <w:pStyle w:val="Caption"/>
        <w:rPr>
          <w:rFonts w:ascii="Times New Roman" w:hAnsi="Times New Roman" w:cs="Times New Roman"/>
          <w:color w:val="auto"/>
          <w:sz w:val="20"/>
          <w:szCs w:val="20"/>
        </w:rPr>
      </w:pPr>
      <w:r w:rsidRPr="00576784">
        <w:rPr>
          <w:rFonts w:ascii="Times New Roman" w:hAnsi="Times New Roman" w:cs="Times New Roman"/>
          <w:color w:val="auto"/>
          <w:sz w:val="20"/>
          <w:szCs w:val="20"/>
        </w:rPr>
        <w:t xml:space="preserve"> </w:t>
      </w:r>
    </w:p>
    <w:p w14:paraId="052CA049" w14:textId="77777777" w:rsidR="008E0B11" w:rsidRDefault="008E0B11">
      <w:r>
        <w:br w:type="page"/>
      </w:r>
    </w:p>
    <w:p w14:paraId="17F06397" w14:textId="77777777" w:rsidR="008E0B11" w:rsidRDefault="008E0B11" w:rsidP="008E0B11">
      <w:pPr>
        <w:keepNext/>
      </w:pPr>
      <w:r>
        <w:rPr>
          <w:noProof/>
        </w:rPr>
        <w:drawing>
          <wp:inline distT="0" distB="0" distL="0" distR="0" wp14:anchorId="4E135976" wp14:editId="6E64FB98">
            <wp:extent cx="5605145" cy="3107055"/>
            <wp:effectExtent l="0" t="0" r="0" b="0"/>
            <wp:docPr id="6869876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5145" cy="3107055"/>
                    </a:xfrm>
                    <a:prstGeom prst="rect">
                      <a:avLst/>
                    </a:prstGeom>
                    <a:noFill/>
                    <a:ln>
                      <a:noFill/>
                    </a:ln>
                  </pic:spPr>
                </pic:pic>
              </a:graphicData>
            </a:graphic>
          </wp:inline>
        </w:drawing>
      </w:r>
    </w:p>
    <w:p w14:paraId="424FD550" w14:textId="5378D393" w:rsidR="00614893" w:rsidRDefault="008E0B11" w:rsidP="008E0B11">
      <w:pPr>
        <w:pStyle w:val="Caption"/>
        <w:rPr>
          <w:rFonts w:ascii="Times New Roman" w:hAnsi="Times New Roman" w:cs="Times New Roman"/>
          <w:color w:val="000000" w:themeColor="text1"/>
          <w:sz w:val="20"/>
          <w:szCs w:val="20"/>
        </w:rPr>
      </w:pPr>
      <w:r w:rsidRPr="001C4003">
        <w:rPr>
          <w:rFonts w:ascii="Times New Roman" w:hAnsi="Times New Roman" w:cs="Times New Roman"/>
          <w:color w:val="auto"/>
          <w:sz w:val="20"/>
          <w:szCs w:val="20"/>
        </w:rPr>
        <w:t xml:space="preserve">Supplementary Figure </w:t>
      </w:r>
      <w:r w:rsidR="00C673F8">
        <w:rPr>
          <w:rFonts w:ascii="Times New Roman" w:hAnsi="Times New Roman" w:cs="Times New Roman"/>
          <w:color w:val="auto"/>
          <w:sz w:val="20"/>
          <w:szCs w:val="20"/>
        </w:rPr>
        <w:t>5</w:t>
      </w:r>
      <w:r w:rsidRPr="001C4003">
        <w:rPr>
          <w:rFonts w:ascii="Times New Roman" w:hAnsi="Times New Roman" w:cs="Times New Roman"/>
          <w:color w:val="auto"/>
          <w:sz w:val="20"/>
          <w:szCs w:val="20"/>
        </w:rPr>
        <w:t>.</w:t>
      </w:r>
      <w:r w:rsidR="001C4003" w:rsidRPr="001C4003">
        <w:rPr>
          <w:rFonts w:ascii="Times New Roman" w:hAnsi="Times New Roman" w:cs="Times New Roman"/>
          <w:b/>
          <w:bCs/>
          <w:color w:val="auto"/>
          <w:sz w:val="20"/>
          <w:szCs w:val="20"/>
        </w:rPr>
        <w:t xml:space="preserve"> </w:t>
      </w:r>
      <w:r w:rsidR="001C4003" w:rsidRPr="00363B5E">
        <w:rPr>
          <w:rFonts w:ascii="Times New Roman" w:hAnsi="Times New Roman" w:cs="Times New Roman"/>
          <w:b/>
          <w:bCs/>
          <w:color w:val="auto"/>
          <w:sz w:val="20"/>
          <w:szCs w:val="20"/>
        </w:rPr>
        <w:t>(continue)</w:t>
      </w:r>
      <w:r w:rsidRPr="001C4003">
        <w:rPr>
          <w:rFonts w:ascii="Times New Roman" w:hAnsi="Times New Roman" w:cs="Times New Roman"/>
          <w:color w:val="auto"/>
          <w:sz w:val="20"/>
          <w:szCs w:val="20"/>
        </w:rPr>
        <w:t xml:space="preserve"> </w:t>
      </w:r>
      <w:r w:rsidR="00765C36" w:rsidRPr="009100F0">
        <w:rPr>
          <w:rFonts w:ascii="Times New Roman" w:hAnsi="Times New Roman" w:cs="Times New Roman"/>
          <w:b/>
          <w:bCs/>
          <w:color w:val="auto"/>
          <w:sz w:val="20"/>
          <w:szCs w:val="20"/>
        </w:rPr>
        <w:t>Temperature estimation of ore-forming fluid in Ichinokawa</w:t>
      </w:r>
      <w:r w:rsidR="009100F0">
        <w:rPr>
          <w:rFonts w:ascii="Times New Roman" w:hAnsi="Times New Roman" w:cs="Times New Roman"/>
          <w:b/>
          <w:bCs/>
          <w:color w:val="auto"/>
          <w:sz w:val="20"/>
          <w:szCs w:val="20"/>
        </w:rPr>
        <w:t xml:space="preserve">. </w:t>
      </w:r>
      <w:r w:rsidR="001C4003" w:rsidRPr="001C4003">
        <w:rPr>
          <w:rFonts w:ascii="Times New Roman" w:hAnsi="Times New Roman" w:cs="Times New Roman"/>
          <w:color w:val="000000" w:themeColor="text1"/>
          <w:sz w:val="20"/>
          <w:szCs w:val="20"/>
        </w:rPr>
        <w:t>(a) Brecciation and mineralization temperature calculated from arsenopyrite and fluid inclusion respectively. The stibnite-forming temperature is derived from several sources. The onset of second brecciation is denoted by the green dashed line.</w:t>
      </w:r>
    </w:p>
    <w:p w14:paraId="4381657A" w14:textId="77777777" w:rsidR="00614893" w:rsidRDefault="00614893">
      <w:pPr>
        <w:rPr>
          <w:rFonts w:ascii="Times New Roman" w:hAnsi="Times New Roman" w:cs="Times New Roman"/>
          <w:i/>
          <w:iCs/>
          <w:color w:val="000000" w:themeColor="text1"/>
          <w:sz w:val="20"/>
          <w:szCs w:val="20"/>
        </w:rPr>
      </w:pPr>
      <w:r>
        <w:rPr>
          <w:rFonts w:ascii="Times New Roman" w:hAnsi="Times New Roman" w:cs="Times New Roman"/>
          <w:color w:val="000000" w:themeColor="text1"/>
          <w:sz w:val="20"/>
          <w:szCs w:val="20"/>
        </w:rPr>
        <w:br w:type="page"/>
      </w:r>
    </w:p>
    <w:p w14:paraId="5FA02716" w14:textId="561ED7A7" w:rsidR="008E0B11" w:rsidRPr="001C4003" w:rsidRDefault="00614893" w:rsidP="008E0B11">
      <w:pPr>
        <w:pStyle w:val="Caption"/>
        <w:rPr>
          <w:rFonts w:ascii="Times New Roman" w:hAnsi="Times New Roman" w:cs="Times New Roman"/>
          <w:color w:val="auto"/>
          <w:sz w:val="20"/>
          <w:szCs w:val="20"/>
        </w:rPr>
      </w:pPr>
      <w:r>
        <w:rPr>
          <w:noProof/>
        </w:rPr>
        <w:drawing>
          <wp:inline distT="0" distB="0" distL="0" distR="0" wp14:anchorId="784415CE" wp14:editId="67056E81">
            <wp:extent cx="5613400" cy="3446145"/>
            <wp:effectExtent l="0" t="0" r="6350" b="1905"/>
            <wp:docPr id="1290865935" name="Picture 129086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3400" cy="3446145"/>
                    </a:xfrm>
                    <a:prstGeom prst="rect">
                      <a:avLst/>
                    </a:prstGeom>
                    <a:noFill/>
                    <a:ln>
                      <a:noFill/>
                    </a:ln>
                  </pic:spPr>
                </pic:pic>
              </a:graphicData>
            </a:graphic>
          </wp:inline>
        </w:drawing>
      </w:r>
    </w:p>
    <w:p w14:paraId="08EC6436" w14:textId="523C1C9F" w:rsidR="00614893" w:rsidRPr="006D1DD2" w:rsidRDefault="00614893" w:rsidP="00614893">
      <w:pPr>
        <w:rPr>
          <w:rFonts w:ascii="Times New Roman" w:hAnsi="Times New Roman" w:cs="Times New Roman"/>
          <w:noProof/>
          <w:sz w:val="20"/>
          <w:szCs w:val="20"/>
        </w:rPr>
      </w:pPr>
      <w:r w:rsidRPr="00363B5E">
        <w:rPr>
          <w:rFonts w:ascii="Times New Roman" w:hAnsi="Times New Roman" w:cs="Times New Roman"/>
          <w:sz w:val="20"/>
          <w:szCs w:val="20"/>
        </w:rPr>
        <w:t xml:space="preserve">Supplementary Figures </w:t>
      </w:r>
      <w:r w:rsidR="00C673F8">
        <w:rPr>
          <w:rFonts w:ascii="Times New Roman" w:hAnsi="Times New Roman" w:cs="Times New Roman"/>
          <w:sz w:val="20"/>
          <w:szCs w:val="20"/>
        </w:rPr>
        <w:t>6</w:t>
      </w:r>
      <w:r w:rsidRPr="00363B5E">
        <w:rPr>
          <w:rFonts w:ascii="Times New Roman" w:hAnsi="Times New Roman" w:cs="Times New Roman"/>
          <w:sz w:val="20"/>
          <w:szCs w:val="20"/>
        </w:rPr>
        <w:t xml:space="preserve">. </w:t>
      </w:r>
      <w:r w:rsidRPr="006D1DD2">
        <w:rPr>
          <w:rFonts w:ascii="Times New Roman" w:hAnsi="Times New Roman" w:cs="Times New Roman"/>
          <w:b/>
          <w:bCs/>
          <w:color w:val="000000" w:themeColor="text1"/>
          <w:sz w:val="20"/>
          <w:szCs w:val="20"/>
        </w:rPr>
        <w:t>Mineralization style of Stibnite in Ichinokawa.</w:t>
      </w:r>
      <w:r w:rsidRPr="006D1DD2">
        <w:rPr>
          <w:rFonts w:ascii="Times New Roman" w:hAnsi="Times New Roman" w:cs="Times New Roman"/>
          <w:color w:val="000000" w:themeColor="text1"/>
          <w:sz w:val="20"/>
          <w:szCs w:val="20"/>
        </w:rPr>
        <w:t xml:space="preserve"> (a) Stibnite disseminated within the pelitic schist and as a vein. (b) Stibnite occurs as a veinlet and truncates both breccia and pelitic schist. (c</w:t>
      </w:r>
      <w:r>
        <w:rPr>
          <w:rFonts w:ascii="Times New Roman" w:hAnsi="Times New Roman" w:cs="Times New Roman"/>
          <w:color w:val="000000" w:themeColor="text1"/>
          <w:sz w:val="20"/>
          <w:szCs w:val="20"/>
        </w:rPr>
        <w:t>-d</w:t>
      </w:r>
      <w:r w:rsidRPr="006D1DD2">
        <w:rPr>
          <w:rFonts w:ascii="Times New Roman" w:hAnsi="Times New Roman" w:cs="Times New Roman"/>
          <w:color w:val="000000" w:themeColor="text1"/>
          <w:sz w:val="20"/>
          <w:szCs w:val="20"/>
        </w:rPr>
        <w:t>) SEM-CL of stibnite vein shows the perfect euhedral quartz with successive zoning and denotes the evolution of the fluid throughout the vein generation.</w:t>
      </w:r>
    </w:p>
    <w:p w14:paraId="5BDC9929" w14:textId="77777777" w:rsidR="00F81E30" w:rsidRDefault="00F81E30">
      <w:pPr>
        <w:sectPr w:rsidR="00F81E30" w:rsidSect="00354D69">
          <w:pgSz w:w="12240" w:h="15840"/>
          <w:pgMar w:top="1440" w:right="1440" w:bottom="1440" w:left="1440" w:header="720" w:footer="720" w:gutter="0"/>
          <w:cols w:space="720"/>
          <w:docGrid w:linePitch="360"/>
        </w:sectPr>
      </w:pPr>
    </w:p>
    <w:p w14:paraId="77007318" w14:textId="77777777" w:rsidR="00F81E30" w:rsidRDefault="00F81E30" w:rsidP="00F81E30">
      <w:pPr>
        <w:pStyle w:val="Heading1"/>
        <w:rPr>
          <w:sz w:val="28"/>
          <w:szCs w:val="28"/>
        </w:rPr>
      </w:pPr>
      <w:r w:rsidRPr="00F81E30">
        <w:rPr>
          <w:sz w:val="28"/>
          <w:szCs w:val="28"/>
        </w:rPr>
        <w:t>Supplementary Tables</w:t>
      </w:r>
      <w:r>
        <w:rPr>
          <w:sz w:val="28"/>
          <w:szCs w:val="28"/>
        </w:rPr>
        <w:br/>
      </w:r>
    </w:p>
    <w:p w14:paraId="173F0382" w14:textId="513436C1" w:rsidR="00C92215" w:rsidRPr="00E240BA" w:rsidRDefault="00C92215" w:rsidP="00C92215">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Pr>
          <w:rFonts w:ascii="Times New Roman" w:hAnsi="Times New Roman" w:cs="Times New Roman"/>
          <w:color w:val="auto"/>
          <w:sz w:val="20"/>
          <w:szCs w:val="20"/>
        </w:rPr>
        <w:t>1</w:t>
      </w:r>
      <w:r w:rsidRPr="00E240BA">
        <w:rPr>
          <w:rFonts w:ascii="Times New Roman" w:hAnsi="Times New Roman" w:cs="Times New Roman"/>
          <w:color w:val="auto"/>
          <w:sz w:val="20"/>
          <w:szCs w:val="20"/>
        </w:rPr>
        <w:t>. Summary of fractal dimension (D) within the range of maximum (S</w:t>
      </w:r>
      <w:r w:rsidRPr="00E240BA">
        <w:rPr>
          <w:rFonts w:ascii="Times New Roman" w:hAnsi="Times New Roman" w:cs="Times New Roman"/>
          <w:color w:val="auto"/>
          <w:sz w:val="20"/>
          <w:szCs w:val="20"/>
          <w:vertAlign w:val="subscript"/>
        </w:rPr>
        <w:t>max</w:t>
      </w:r>
      <w:r w:rsidRPr="00E240BA">
        <w:rPr>
          <w:rFonts w:ascii="Times New Roman" w:hAnsi="Times New Roman" w:cs="Times New Roman"/>
          <w:color w:val="auto"/>
          <w:sz w:val="20"/>
          <w:szCs w:val="20"/>
        </w:rPr>
        <w:t>) and minimum (</w:t>
      </w:r>
      <w:proofErr w:type="spellStart"/>
      <w:r w:rsidRPr="00E240BA">
        <w:rPr>
          <w:rFonts w:ascii="Times New Roman" w:hAnsi="Times New Roman" w:cs="Times New Roman"/>
          <w:color w:val="auto"/>
          <w:sz w:val="20"/>
          <w:szCs w:val="20"/>
        </w:rPr>
        <w:t>S</w:t>
      </w:r>
      <w:r w:rsidRPr="00E240BA">
        <w:rPr>
          <w:rFonts w:ascii="Times New Roman" w:hAnsi="Times New Roman" w:cs="Times New Roman"/>
          <w:color w:val="auto"/>
          <w:sz w:val="20"/>
          <w:szCs w:val="20"/>
          <w:vertAlign w:val="subscript"/>
        </w:rPr>
        <w:t>min</w:t>
      </w:r>
      <w:proofErr w:type="spellEnd"/>
      <w:r w:rsidRPr="00E240BA">
        <w:rPr>
          <w:rFonts w:ascii="Times New Roman" w:hAnsi="Times New Roman" w:cs="Times New Roman"/>
          <w:color w:val="auto"/>
          <w:sz w:val="20"/>
          <w:szCs w:val="20"/>
        </w:rPr>
        <w:t>) fragment size. Surface area (L) with calculated Surface area energy density (U</w:t>
      </w:r>
      <w:r w:rsidRPr="00E240BA">
        <w:rPr>
          <w:rFonts w:ascii="Times New Roman" w:hAnsi="Times New Roman" w:cs="Times New Roman"/>
          <w:color w:val="auto"/>
          <w:sz w:val="20"/>
          <w:szCs w:val="20"/>
          <w:vertAlign w:val="subscript"/>
        </w:rPr>
        <w:t>s</w:t>
      </w:r>
      <w:r w:rsidRPr="00E240BA">
        <w:rPr>
          <w:rFonts w:ascii="Times New Roman" w:hAnsi="Times New Roman" w:cs="Times New Roman"/>
          <w:color w:val="auto"/>
          <w:sz w:val="20"/>
          <w:szCs w:val="20"/>
        </w:rPr>
        <w:t>) and Surface area energy per fault damage (</w:t>
      </w:r>
      <w:proofErr w:type="spellStart"/>
      <w:r w:rsidRPr="00E240BA">
        <w:rPr>
          <w:rFonts w:ascii="Times New Roman" w:hAnsi="Times New Roman" w:cs="Times New Roman"/>
          <w:color w:val="auto"/>
          <w:sz w:val="20"/>
          <w:szCs w:val="20"/>
        </w:rPr>
        <w:t>U</w:t>
      </w:r>
      <w:r w:rsidRPr="00E240BA">
        <w:rPr>
          <w:rFonts w:ascii="Times New Roman" w:hAnsi="Times New Roman" w:cs="Times New Roman"/>
          <w:color w:val="auto"/>
          <w:sz w:val="20"/>
          <w:szCs w:val="20"/>
          <w:vertAlign w:val="subscript"/>
        </w:rPr>
        <w:t>sa</w:t>
      </w:r>
      <w:proofErr w:type="spellEnd"/>
      <w:r w:rsidRPr="00E240BA">
        <w:rPr>
          <w:rFonts w:ascii="Times New Roman" w:hAnsi="Times New Roman" w:cs="Times New Roman"/>
          <w:color w:val="auto"/>
          <w:sz w:val="20"/>
          <w:szCs w:val="20"/>
        </w:rPr>
        <w:t>). Including the surface energy for a single earthquake.</w:t>
      </w:r>
    </w:p>
    <w:tbl>
      <w:tblPr>
        <w:tblW w:w="13320" w:type="dxa"/>
        <w:tblLook w:val="04A0" w:firstRow="1" w:lastRow="0" w:firstColumn="1" w:lastColumn="0" w:noHBand="0" w:noVBand="1"/>
      </w:tblPr>
      <w:tblGrid>
        <w:gridCol w:w="1300"/>
        <w:gridCol w:w="1840"/>
        <w:gridCol w:w="960"/>
        <w:gridCol w:w="1220"/>
        <w:gridCol w:w="1280"/>
        <w:gridCol w:w="960"/>
        <w:gridCol w:w="1680"/>
        <w:gridCol w:w="1740"/>
        <w:gridCol w:w="1106"/>
        <w:gridCol w:w="1234"/>
      </w:tblGrid>
      <w:tr w:rsidR="00C92215" w:rsidRPr="007C3CE8" w14:paraId="3869EB35" w14:textId="77777777" w:rsidTr="00137516">
        <w:trPr>
          <w:trHeight w:val="300"/>
        </w:trPr>
        <w:tc>
          <w:tcPr>
            <w:tcW w:w="1300" w:type="dxa"/>
            <w:vMerge w:val="restart"/>
            <w:tcBorders>
              <w:top w:val="single" w:sz="4" w:space="0" w:color="auto"/>
              <w:left w:val="nil"/>
              <w:bottom w:val="single" w:sz="4" w:space="0" w:color="000000"/>
              <w:right w:val="nil"/>
            </w:tcBorders>
            <w:shd w:val="clear" w:color="auto" w:fill="auto"/>
            <w:noWrap/>
            <w:vAlign w:val="center"/>
            <w:hideMark/>
          </w:tcPr>
          <w:p w14:paraId="67764CE5"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Sample</w:t>
            </w:r>
          </w:p>
        </w:tc>
        <w:tc>
          <w:tcPr>
            <w:tcW w:w="1840" w:type="dxa"/>
            <w:vMerge w:val="restart"/>
            <w:tcBorders>
              <w:top w:val="single" w:sz="4" w:space="0" w:color="auto"/>
              <w:left w:val="nil"/>
              <w:bottom w:val="single" w:sz="4" w:space="0" w:color="000000"/>
              <w:right w:val="nil"/>
            </w:tcBorders>
            <w:shd w:val="clear" w:color="auto" w:fill="auto"/>
            <w:noWrap/>
            <w:vAlign w:val="center"/>
            <w:hideMark/>
          </w:tcPr>
          <w:p w14:paraId="4070CFA6"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 width (cm)</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42DAE0B5"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D</w:t>
            </w:r>
          </w:p>
        </w:tc>
        <w:tc>
          <w:tcPr>
            <w:tcW w:w="1220" w:type="dxa"/>
            <w:vMerge w:val="restart"/>
            <w:tcBorders>
              <w:top w:val="single" w:sz="4" w:space="0" w:color="auto"/>
              <w:left w:val="nil"/>
              <w:bottom w:val="single" w:sz="4" w:space="0" w:color="000000"/>
              <w:right w:val="nil"/>
            </w:tcBorders>
            <w:shd w:val="clear" w:color="auto" w:fill="auto"/>
            <w:noWrap/>
            <w:vAlign w:val="center"/>
            <w:hideMark/>
          </w:tcPr>
          <w:p w14:paraId="61EB4B94"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7C3CE8">
              <w:rPr>
                <w:rFonts w:ascii="Times New Roman" w:eastAsia="Times New Roman" w:hAnsi="Times New Roman" w:cs="Times New Roman"/>
                <w:color w:val="000000"/>
                <w:kern w:val="0"/>
                <w:sz w:val="20"/>
                <w:szCs w:val="20"/>
                <w14:ligatures w14:val="none"/>
              </w:rPr>
              <w:t>Smin</w:t>
            </w:r>
            <w:proofErr w:type="spellEnd"/>
            <w:r w:rsidRPr="007C3CE8">
              <w:rPr>
                <w:rFonts w:ascii="Times New Roman" w:eastAsia="Times New Roman" w:hAnsi="Times New Roman" w:cs="Times New Roman"/>
                <w:color w:val="000000"/>
                <w:kern w:val="0"/>
                <w:sz w:val="20"/>
                <w:szCs w:val="20"/>
                <w14:ligatures w14:val="none"/>
              </w:rPr>
              <w:t xml:space="preserve"> (mm)</w:t>
            </w:r>
          </w:p>
        </w:tc>
        <w:tc>
          <w:tcPr>
            <w:tcW w:w="1280" w:type="dxa"/>
            <w:vMerge w:val="restart"/>
            <w:tcBorders>
              <w:top w:val="single" w:sz="4" w:space="0" w:color="auto"/>
              <w:left w:val="nil"/>
              <w:bottom w:val="single" w:sz="4" w:space="0" w:color="000000"/>
              <w:right w:val="nil"/>
            </w:tcBorders>
            <w:shd w:val="clear" w:color="auto" w:fill="auto"/>
            <w:noWrap/>
            <w:vAlign w:val="center"/>
            <w:hideMark/>
          </w:tcPr>
          <w:p w14:paraId="1ABF6614"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Smax (mm)</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3BBBC3AA"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L (mm)</w:t>
            </w:r>
          </w:p>
        </w:tc>
        <w:tc>
          <w:tcPr>
            <w:tcW w:w="1680" w:type="dxa"/>
            <w:vMerge w:val="restart"/>
            <w:tcBorders>
              <w:top w:val="single" w:sz="4" w:space="0" w:color="auto"/>
              <w:left w:val="nil"/>
              <w:bottom w:val="single" w:sz="4" w:space="0" w:color="000000"/>
              <w:right w:val="nil"/>
            </w:tcBorders>
            <w:shd w:val="clear" w:color="auto" w:fill="auto"/>
            <w:noWrap/>
            <w:vAlign w:val="center"/>
            <w:hideMark/>
          </w:tcPr>
          <w:p w14:paraId="2D4E25A7"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 xml:space="preserve"> Total Us (J/m3)</w:t>
            </w:r>
          </w:p>
        </w:tc>
        <w:tc>
          <w:tcPr>
            <w:tcW w:w="1740" w:type="dxa"/>
            <w:vMerge w:val="restart"/>
            <w:tcBorders>
              <w:top w:val="single" w:sz="4" w:space="0" w:color="auto"/>
              <w:left w:val="nil"/>
              <w:bottom w:val="single" w:sz="4" w:space="0" w:color="000000"/>
              <w:right w:val="nil"/>
            </w:tcBorders>
            <w:shd w:val="clear" w:color="auto" w:fill="auto"/>
            <w:noWrap/>
            <w:vAlign w:val="center"/>
            <w:hideMark/>
          </w:tcPr>
          <w:p w14:paraId="2A0749CB"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 xml:space="preserve">Total </w:t>
            </w:r>
            <w:proofErr w:type="spellStart"/>
            <w:r w:rsidRPr="007C3CE8">
              <w:rPr>
                <w:rFonts w:ascii="Times New Roman" w:eastAsia="Times New Roman" w:hAnsi="Times New Roman" w:cs="Times New Roman"/>
                <w:color w:val="000000"/>
                <w:kern w:val="0"/>
                <w:sz w:val="20"/>
                <w:szCs w:val="20"/>
                <w14:ligatures w14:val="none"/>
              </w:rPr>
              <w:t>Usa</w:t>
            </w:r>
            <w:proofErr w:type="spellEnd"/>
            <w:r w:rsidRPr="007C3CE8">
              <w:rPr>
                <w:rFonts w:ascii="Times New Roman" w:eastAsia="Times New Roman" w:hAnsi="Times New Roman" w:cs="Times New Roman"/>
                <w:color w:val="000000"/>
                <w:kern w:val="0"/>
                <w:sz w:val="20"/>
                <w:szCs w:val="20"/>
                <w14:ligatures w14:val="none"/>
              </w:rPr>
              <w:t xml:space="preserve"> (J/m2)</w:t>
            </w:r>
          </w:p>
        </w:tc>
        <w:tc>
          <w:tcPr>
            <w:tcW w:w="2340" w:type="dxa"/>
            <w:gridSpan w:val="2"/>
            <w:tcBorders>
              <w:top w:val="single" w:sz="4" w:space="0" w:color="auto"/>
              <w:left w:val="nil"/>
              <w:bottom w:val="single" w:sz="4" w:space="0" w:color="auto"/>
              <w:right w:val="nil"/>
            </w:tcBorders>
            <w:shd w:val="clear" w:color="auto" w:fill="auto"/>
            <w:noWrap/>
            <w:vAlign w:val="center"/>
            <w:hideMark/>
          </w:tcPr>
          <w:p w14:paraId="74A6A737"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7C3CE8">
              <w:rPr>
                <w:rFonts w:ascii="Times New Roman" w:eastAsia="Times New Roman" w:hAnsi="Times New Roman" w:cs="Times New Roman"/>
                <w:color w:val="000000"/>
                <w:kern w:val="0"/>
                <w:sz w:val="20"/>
                <w:szCs w:val="20"/>
                <w14:ligatures w14:val="none"/>
              </w:rPr>
              <w:t>Usa</w:t>
            </w:r>
            <w:proofErr w:type="spellEnd"/>
            <w:r w:rsidRPr="007C3CE8">
              <w:rPr>
                <w:rFonts w:ascii="Times New Roman" w:eastAsia="Times New Roman" w:hAnsi="Times New Roman" w:cs="Times New Roman"/>
                <w:color w:val="000000"/>
                <w:kern w:val="0"/>
                <w:sz w:val="20"/>
                <w:szCs w:val="20"/>
                <w14:ligatures w14:val="none"/>
              </w:rPr>
              <w:t xml:space="preserve"> per EQ (MJ/m2)</w:t>
            </w:r>
          </w:p>
        </w:tc>
      </w:tr>
      <w:tr w:rsidR="00C92215" w:rsidRPr="007C3CE8" w14:paraId="6839C875" w14:textId="77777777" w:rsidTr="00137516">
        <w:trPr>
          <w:trHeight w:val="300"/>
        </w:trPr>
        <w:tc>
          <w:tcPr>
            <w:tcW w:w="1300" w:type="dxa"/>
            <w:vMerge/>
            <w:tcBorders>
              <w:top w:val="single" w:sz="4" w:space="0" w:color="auto"/>
              <w:left w:val="nil"/>
              <w:bottom w:val="single" w:sz="4" w:space="0" w:color="000000"/>
              <w:right w:val="nil"/>
            </w:tcBorders>
            <w:vAlign w:val="center"/>
            <w:hideMark/>
          </w:tcPr>
          <w:p w14:paraId="52711E67"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840" w:type="dxa"/>
            <w:vMerge/>
            <w:tcBorders>
              <w:top w:val="single" w:sz="4" w:space="0" w:color="auto"/>
              <w:left w:val="nil"/>
              <w:bottom w:val="single" w:sz="4" w:space="0" w:color="000000"/>
              <w:right w:val="nil"/>
            </w:tcBorders>
            <w:vAlign w:val="center"/>
            <w:hideMark/>
          </w:tcPr>
          <w:p w14:paraId="58A84090"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960" w:type="dxa"/>
            <w:vMerge/>
            <w:tcBorders>
              <w:top w:val="single" w:sz="4" w:space="0" w:color="auto"/>
              <w:left w:val="nil"/>
              <w:bottom w:val="single" w:sz="4" w:space="0" w:color="000000"/>
              <w:right w:val="nil"/>
            </w:tcBorders>
            <w:vAlign w:val="center"/>
            <w:hideMark/>
          </w:tcPr>
          <w:p w14:paraId="49C1CAC6"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220" w:type="dxa"/>
            <w:vMerge/>
            <w:tcBorders>
              <w:top w:val="single" w:sz="4" w:space="0" w:color="auto"/>
              <w:left w:val="nil"/>
              <w:bottom w:val="single" w:sz="4" w:space="0" w:color="000000"/>
              <w:right w:val="nil"/>
            </w:tcBorders>
            <w:vAlign w:val="center"/>
            <w:hideMark/>
          </w:tcPr>
          <w:p w14:paraId="2A8CEE70"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280" w:type="dxa"/>
            <w:vMerge/>
            <w:tcBorders>
              <w:top w:val="single" w:sz="4" w:space="0" w:color="auto"/>
              <w:left w:val="nil"/>
              <w:bottom w:val="single" w:sz="4" w:space="0" w:color="000000"/>
              <w:right w:val="nil"/>
            </w:tcBorders>
            <w:vAlign w:val="center"/>
            <w:hideMark/>
          </w:tcPr>
          <w:p w14:paraId="7BA416BA"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960" w:type="dxa"/>
            <w:vMerge/>
            <w:tcBorders>
              <w:top w:val="single" w:sz="4" w:space="0" w:color="auto"/>
              <w:left w:val="nil"/>
              <w:bottom w:val="single" w:sz="4" w:space="0" w:color="000000"/>
              <w:right w:val="nil"/>
            </w:tcBorders>
            <w:vAlign w:val="center"/>
            <w:hideMark/>
          </w:tcPr>
          <w:p w14:paraId="6108C7D1"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680" w:type="dxa"/>
            <w:vMerge/>
            <w:tcBorders>
              <w:top w:val="single" w:sz="4" w:space="0" w:color="auto"/>
              <w:left w:val="nil"/>
              <w:bottom w:val="single" w:sz="4" w:space="0" w:color="000000"/>
              <w:right w:val="nil"/>
            </w:tcBorders>
            <w:vAlign w:val="center"/>
            <w:hideMark/>
          </w:tcPr>
          <w:p w14:paraId="28E68CA5"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740" w:type="dxa"/>
            <w:vMerge/>
            <w:tcBorders>
              <w:top w:val="single" w:sz="4" w:space="0" w:color="auto"/>
              <w:left w:val="nil"/>
              <w:bottom w:val="single" w:sz="4" w:space="0" w:color="000000"/>
              <w:right w:val="nil"/>
            </w:tcBorders>
            <w:vAlign w:val="center"/>
            <w:hideMark/>
          </w:tcPr>
          <w:p w14:paraId="2FAE691D"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p>
        </w:tc>
        <w:tc>
          <w:tcPr>
            <w:tcW w:w="1106" w:type="dxa"/>
            <w:tcBorders>
              <w:top w:val="nil"/>
              <w:left w:val="nil"/>
              <w:bottom w:val="single" w:sz="4" w:space="0" w:color="auto"/>
              <w:right w:val="nil"/>
            </w:tcBorders>
            <w:shd w:val="clear" w:color="auto" w:fill="auto"/>
            <w:noWrap/>
            <w:vAlign w:val="center"/>
            <w:hideMark/>
          </w:tcPr>
          <w:p w14:paraId="510348D6"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10 EQ</w:t>
            </w:r>
          </w:p>
        </w:tc>
        <w:tc>
          <w:tcPr>
            <w:tcW w:w="1234" w:type="dxa"/>
            <w:tcBorders>
              <w:top w:val="nil"/>
              <w:left w:val="nil"/>
              <w:bottom w:val="single" w:sz="4" w:space="0" w:color="auto"/>
              <w:right w:val="nil"/>
            </w:tcBorders>
            <w:shd w:val="clear" w:color="auto" w:fill="auto"/>
            <w:noWrap/>
            <w:vAlign w:val="center"/>
            <w:hideMark/>
          </w:tcPr>
          <w:p w14:paraId="060E28A4"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100 EQ</w:t>
            </w:r>
          </w:p>
        </w:tc>
      </w:tr>
      <w:tr w:rsidR="00C92215" w:rsidRPr="007C3CE8" w14:paraId="32530E7D" w14:textId="77777777" w:rsidTr="00137516">
        <w:trPr>
          <w:trHeight w:val="300"/>
        </w:trPr>
        <w:tc>
          <w:tcPr>
            <w:tcW w:w="13320" w:type="dxa"/>
            <w:gridSpan w:val="10"/>
            <w:tcBorders>
              <w:top w:val="single" w:sz="4" w:space="0" w:color="auto"/>
              <w:left w:val="nil"/>
              <w:bottom w:val="single" w:sz="4" w:space="0" w:color="auto"/>
              <w:right w:val="nil"/>
            </w:tcBorders>
            <w:shd w:val="clear" w:color="auto" w:fill="auto"/>
            <w:noWrap/>
            <w:vAlign w:val="center"/>
            <w:hideMark/>
          </w:tcPr>
          <w:p w14:paraId="0BCC2924"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14:ligatures w14:val="none"/>
              </w:rPr>
            </w:pPr>
            <w:r w:rsidRPr="007C3CE8">
              <w:rPr>
                <w:rFonts w:ascii="Times New Roman" w:eastAsia="Times New Roman" w:hAnsi="Times New Roman" w:cs="Times New Roman"/>
                <w:color w:val="000000"/>
                <w:kern w:val="0"/>
                <w14:ligatures w14:val="none"/>
              </w:rPr>
              <w:t>Scale integration</w:t>
            </w:r>
          </w:p>
        </w:tc>
      </w:tr>
      <w:tr w:rsidR="00C92215" w:rsidRPr="007C3CE8" w14:paraId="30E7DD6D" w14:textId="77777777" w:rsidTr="00137516">
        <w:trPr>
          <w:trHeight w:val="300"/>
        </w:trPr>
        <w:tc>
          <w:tcPr>
            <w:tcW w:w="1300" w:type="dxa"/>
            <w:tcBorders>
              <w:top w:val="nil"/>
              <w:left w:val="nil"/>
              <w:bottom w:val="nil"/>
              <w:right w:val="nil"/>
            </w:tcBorders>
            <w:shd w:val="clear" w:color="auto" w:fill="auto"/>
            <w:noWrap/>
            <w:vAlign w:val="center"/>
            <w:hideMark/>
          </w:tcPr>
          <w:p w14:paraId="375FA508"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Outcrop</w:t>
            </w:r>
          </w:p>
        </w:tc>
        <w:tc>
          <w:tcPr>
            <w:tcW w:w="1840" w:type="dxa"/>
            <w:tcBorders>
              <w:top w:val="nil"/>
              <w:left w:val="nil"/>
              <w:bottom w:val="nil"/>
              <w:right w:val="nil"/>
            </w:tcBorders>
            <w:shd w:val="clear" w:color="auto" w:fill="auto"/>
            <w:noWrap/>
            <w:vAlign w:val="center"/>
            <w:hideMark/>
          </w:tcPr>
          <w:p w14:paraId="6B4AF2A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nil"/>
              <w:right w:val="nil"/>
            </w:tcBorders>
            <w:shd w:val="clear" w:color="auto" w:fill="auto"/>
            <w:noWrap/>
            <w:vAlign w:val="center"/>
            <w:hideMark/>
          </w:tcPr>
          <w:p w14:paraId="354BED3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1.65</w:t>
            </w:r>
          </w:p>
        </w:tc>
        <w:tc>
          <w:tcPr>
            <w:tcW w:w="1220" w:type="dxa"/>
            <w:tcBorders>
              <w:top w:val="nil"/>
              <w:left w:val="nil"/>
              <w:bottom w:val="nil"/>
              <w:right w:val="nil"/>
            </w:tcBorders>
            <w:shd w:val="clear" w:color="auto" w:fill="auto"/>
            <w:noWrap/>
            <w:vAlign w:val="center"/>
            <w:hideMark/>
          </w:tcPr>
          <w:p w14:paraId="3CD7932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20</w:t>
            </w:r>
          </w:p>
        </w:tc>
        <w:tc>
          <w:tcPr>
            <w:tcW w:w="1280" w:type="dxa"/>
            <w:tcBorders>
              <w:top w:val="nil"/>
              <w:left w:val="nil"/>
              <w:bottom w:val="nil"/>
              <w:right w:val="nil"/>
            </w:tcBorders>
            <w:shd w:val="clear" w:color="auto" w:fill="auto"/>
            <w:noWrap/>
            <w:vAlign w:val="center"/>
            <w:hideMark/>
          </w:tcPr>
          <w:p w14:paraId="3535CA1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100</w:t>
            </w:r>
          </w:p>
        </w:tc>
        <w:tc>
          <w:tcPr>
            <w:tcW w:w="960" w:type="dxa"/>
            <w:tcBorders>
              <w:top w:val="nil"/>
              <w:left w:val="nil"/>
              <w:bottom w:val="nil"/>
              <w:right w:val="nil"/>
            </w:tcBorders>
            <w:shd w:val="clear" w:color="auto" w:fill="auto"/>
            <w:noWrap/>
            <w:vAlign w:val="center"/>
            <w:hideMark/>
          </w:tcPr>
          <w:p w14:paraId="6B95A1CD"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53.34</w:t>
            </w:r>
          </w:p>
        </w:tc>
        <w:tc>
          <w:tcPr>
            <w:tcW w:w="1680" w:type="dxa"/>
            <w:tcBorders>
              <w:top w:val="nil"/>
              <w:left w:val="nil"/>
              <w:bottom w:val="nil"/>
              <w:right w:val="nil"/>
            </w:tcBorders>
            <w:shd w:val="clear" w:color="auto" w:fill="auto"/>
            <w:noWrap/>
            <w:vAlign w:val="center"/>
            <w:hideMark/>
          </w:tcPr>
          <w:p w14:paraId="666D151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4.16E+04</w:t>
            </w:r>
          </w:p>
        </w:tc>
        <w:tc>
          <w:tcPr>
            <w:tcW w:w="1740" w:type="dxa"/>
            <w:tcBorders>
              <w:top w:val="nil"/>
              <w:left w:val="nil"/>
              <w:bottom w:val="nil"/>
              <w:right w:val="nil"/>
            </w:tcBorders>
            <w:shd w:val="clear" w:color="auto" w:fill="auto"/>
            <w:noWrap/>
            <w:vAlign w:val="center"/>
            <w:hideMark/>
          </w:tcPr>
          <w:p w14:paraId="01CE97C8"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2.08E+07</w:t>
            </w:r>
          </w:p>
        </w:tc>
        <w:tc>
          <w:tcPr>
            <w:tcW w:w="1106" w:type="dxa"/>
            <w:tcBorders>
              <w:top w:val="nil"/>
              <w:left w:val="nil"/>
              <w:bottom w:val="nil"/>
              <w:right w:val="nil"/>
            </w:tcBorders>
            <w:shd w:val="clear" w:color="auto" w:fill="auto"/>
            <w:noWrap/>
            <w:vAlign w:val="center"/>
            <w:hideMark/>
          </w:tcPr>
          <w:p w14:paraId="6DA17C4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2.08</w:t>
            </w:r>
          </w:p>
        </w:tc>
        <w:tc>
          <w:tcPr>
            <w:tcW w:w="1234" w:type="dxa"/>
            <w:tcBorders>
              <w:top w:val="nil"/>
              <w:left w:val="nil"/>
              <w:bottom w:val="nil"/>
              <w:right w:val="nil"/>
            </w:tcBorders>
            <w:shd w:val="clear" w:color="auto" w:fill="auto"/>
            <w:noWrap/>
            <w:vAlign w:val="center"/>
            <w:hideMark/>
          </w:tcPr>
          <w:p w14:paraId="672927C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0.21</w:t>
            </w:r>
          </w:p>
        </w:tc>
      </w:tr>
      <w:tr w:rsidR="00C92215" w:rsidRPr="007C3CE8" w14:paraId="575E2E2A" w14:textId="77777777" w:rsidTr="00137516">
        <w:trPr>
          <w:trHeight w:val="300"/>
        </w:trPr>
        <w:tc>
          <w:tcPr>
            <w:tcW w:w="1300" w:type="dxa"/>
            <w:tcBorders>
              <w:top w:val="nil"/>
              <w:left w:val="nil"/>
              <w:bottom w:val="nil"/>
              <w:right w:val="nil"/>
            </w:tcBorders>
            <w:shd w:val="clear" w:color="auto" w:fill="auto"/>
            <w:noWrap/>
            <w:vAlign w:val="center"/>
            <w:hideMark/>
          </w:tcPr>
          <w:p w14:paraId="4A267A29"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Thin section</w:t>
            </w:r>
          </w:p>
        </w:tc>
        <w:tc>
          <w:tcPr>
            <w:tcW w:w="1840" w:type="dxa"/>
            <w:tcBorders>
              <w:top w:val="nil"/>
              <w:left w:val="nil"/>
              <w:bottom w:val="nil"/>
              <w:right w:val="nil"/>
            </w:tcBorders>
            <w:shd w:val="clear" w:color="auto" w:fill="auto"/>
            <w:noWrap/>
            <w:vAlign w:val="center"/>
            <w:hideMark/>
          </w:tcPr>
          <w:p w14:paraId="41294F6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nil"/>
              <w:right w:val="nil"/>
            </w:tcBorders>
            <w:shd w:val="clear" w:color="auto" w:fill="auto"/>
            <w:noWrap/>
            <w:vAlign w:val="center"/>
            <w:hideMark/>
          </w:tcPr>
          <w:p w14:paraId="68D7504B"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1.65</w:t>
            </w:r>
          </w:p>
        </w:tc>
        <w:tc>
          <w:tcPr>
            <w:tcW w:w="1220" w:type="dxa"/>
            <w:tcBorders>
              <w:top w:val="nil"/>
              <w:left w:val="nil"/>
              <w:bottom w:val="nil"/>
              <w:right w:val="nil"/>
            </w:tcBorders>
            <w:shd w:val="clear" w:color="auto" w:fill="auto"/>
            <w:noWrap/>
            <w:vAlign w:val="center"/>
            <w:hideMark/>
          </w:tcPr>
          <w:p w14:paraId="27304A7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0.3</w:t>
            </w:r>
          </w:p>
        </w:tc>
        <w:tc>
          <w:tcPr>
            <w:tcW w:w="1280" w:type="dxa"/>
            <w:tcBorders>
              <w:top w:val="nil"/>
              <w:left w:val="nil"/>
              <w:bottom w:val="nil"/>
              <w:right w:val="nil"/>
            </w:tcBorders>
            <w:shd w:val="clear" w:color="auto" w:fill="auto"/>
            <w:noWrap/>
            <w:vAlign w:val="center"/>
            <w:hideMark/>
          </w:tcPr>
          <w:p w14:paraId="02A50BA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3.5</w:t>
            </w:r>
          </w:p>
        </w:tc>
        <w:tc>
          <w:tcPr>
            <w:tcW w:w="960" w:type="dxa"/>
            <w:tcBorders>
              <w:top w:val="nil"/>
              <w:left w:val="nil"/>
              <w:bottom w:val="nil"/>
              <w:right w:val="nil"/>
            </w:tcBorders>
            <w:shd w:val="clear" w:color="auto" w:fill="auto"/>
            <w:noWrap/>
            <w:vAlign w:val="center"/>
            <w:hideMark/>
          </w:tcPr>
          <w:p w14:paraId="10BBB78B"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1.52</w:t>
            </w:r>
          </w:p>
        </w:tc>
        <w:tc>
          <w:tcPr>
            <w:tcW w:w="1680" w:type="dxa"/>
            <w:tcBorders>
              <w:top w:val="nil"/>
              <w:left w:val="nil"/>
              <w:bottom w:val="nil"/>
              <w:right w:val="nil"/>
            </w:tcBorders>
            <w:shd w:val="clear" w:color="auto" w:fill="auto"/>
            <w:noWrap/>
            <w:vAlign w:val="center"/>
            <w:hideMark/>
          </w:tcPr>
          <w:p w14:paraId="0C7D0EB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w:t>
            </w:r>
            <w:r>
              <w:rPr>
                <w:rFonts w:ascii="Times New Roman" w:eastAsia="Times New Roman" w:hAnsi="Times New Roman" w:cs="Times New Roman"/>
                <w:color w:val="000000"/>
                <w:kern w:val="0"/>
                <w:sz w:val="20"/>
                <w:szCs w:val="20"/>
                <w14:ligatures w14:val="none"/>
              </w:rPr>
              <w:t>46</w:t>
            </w:r>
            <w:r w:rsidRPr="007C3CE8">
              <w:rPr>
                <w:rFonts w:ascii="Times New Roman" w:eastAsia="Times New Roman" w:hAnsi="Times New Roman" w:cs="Times New Roman"/>
                <w:color w:val="000000"/>
                <w:kern w:val="0"/>
                <w:sz w:val="20"/>
                <w:szCs w:val="20"/>
                <w14:ligatures w14:val="none"/>
              </w:rPr>
              <w:t>E+06</w:t>
            </w:r>
          </w:p>
        </w:tc>
        <w:tc>
          <w:tcPr>
            <w:tcW w:w="1740" w:type="dxa"/>
            <w:tcBorders>
              <w:top w:val="nil"/>
              <w:left w:val="nil"/>
              <w:bottom w:val="nil"/>
              <w:right w:val="nil"/>
            </w:tcBorders>
            <w:shd w:val="clear" w:color="auto" w:fill="auto"/>
            <w:noWrap/>
            <w:vAlign w:val="center"/>
            <w:hideMark/>
          </w:tcPr>
          <w:p w14:paraId="34AB3ED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7.31</w:t>
            </w:r>
            <w:r w:rsidRPr="007C3CE8">
              <w:rPr>
                <w:rFonts w:ascii="Times New Roman" w:eastAsia="Times New Roman" w:hAnsi="Times New Roman" w:cs="Times New Roman"/>
                <w:color w:val="000000"/>
                <w:kern w:val="0"/>
                <w:sz w:val="20"/>
                <w:szCs w:val="20"/>
                <w14:ligatures w14:val="none"/>
              </w:rPr>
              <w:t>E+08</w:t>
            </w:r>
          </w:p>
        </w:tc>
        <w:tc>
          <w:tcPr>
            <w:tcW w:w="1106" w:type="dxa"/>
            <w:tcBorders>
              <w:top w:val="nil"/>
              <w:left w:val="nil"/>
              <w:bottom w:val="nil"/>
              <w:right w:val="nil"/>
            </w:tcBorders>
            <w:shd w:val="clear" w:color="auto" w:fill="auto"/>
            <w:noWrap/>
            <w:vAlign w:val="center"/>
            <w:hideMark/>
          </w:tcPr>
          <w:p w14:paraId="2896208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73.13</w:t>
            </w:r>
          </w:p>
        </w:tc>
        <w:tc>
          <w:tcPr>
            <w:tcW w:w="1234" w:type="dxa"/>
            <w:tcBorders>
              <w:top w:val="nil"/>
              <w:left w:val="nil"/>
              <w:bottom w:val="nil"/>
              <w:right w:val="nil"/>
            </w:tcBorders>
            <w:shd w:val="clear" w:color="auto" w:fill="auto"/>
            <w:noWrap/>
            <w:vAlign w:val="center"/>
            <w:hideMark/>
          </w:tcPr>
          <w:p w14:paraId="2269FEB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7.31</w:t>
            </w:r>
          </w:p>
        </w:tc>
      </w:tr>
      <w:tr w:rsidR="00C92215" w:rsidRPr="007C3CE8" w14:paraId="3C2BB717" w14:textId="77777777" w:rsidTr="00137516">
        <w:trPr>
          <w:trHeight w:val="300"/>
        </w:trPr>
        <w:tc>
          <w:tcPr>
            <w:tcW w:w="13320" w:type="dxa"/>
            <w:gridSpan w:val="10"/>
            <w:tcBorders>
              <w:top w:val="single" w:sz="4" w:space="0" w:color="auto"/>
              <w:left w:val="nil"/>
              <w:bottom w:val="single" w:sz="4" w:space="0" w:color="auto"/>
              <w:right w:val="nil"/>
            </w:tcBorders>
            <w:shd w:val="clear" w:color="auto" w:fill="auto"/>
            <w:noWrap/>
            <w:vAlign w:val="center"/>
            <w:hideMark/>
          </w:tcPr>
          <w:p w14:paraId="531DE01E" w14:textId="77777777" w:rsidR="00C92215" w:rsidRPr="007C3CE8" w:rsidRDefault="00C92215" w:rsidP="00137516">
            <w:pPr>
              <w:spacing w:after="0" w:line="240" w:lineRule="auto"/>
              <w:jc w:val="center"/>
              <w:rPr>
                <w:rFonts w:ascii="Times New Roman" w:eastAsia="Times New Roman" w:hAnsi="Times New Roman" w:cs="Times New Roman"/>
                <w:color w:val="000000"/>
                <w:kern w:val="0"/>
                <w14:ligatures w14:val="none"/>
              </w:rPr>
            </w:pPr>
            <w:r w:rsidRPr="007C3CE8">
              <w:rPr>
                <w:rFonts w:ascii="Times New Roman" w:eastAsia="Times New Roman" w:hAnsi="Times New Roman" w:cs="Times New Roman"/>
                <w:color w:val="000000"/>
                <w:kern w:val="0"/>
                <w14:ligatures w14:val="none"/>
              </w:rPr>
              <w:t>Individual PSD</w:t>
            </w:r>
          </w:p>
        </w:tc>
      </w:tr>
      <w:tr w:rsidR="00C92215" w:rsidRPr="007C3CE8" w14:paraId="7068B26D" w14:textId="77777777" w:rsidTr="00137516">
        <w:trPr>
          <w:trHeight w:val="300"/>
        </w:trPr>
        <w:tc>
          <w:tcPr>
            <w:tcW w:w="1300" w:type="dxa"/>
            <w:tcBorders>
              <w:top w:val="nil"/>
              <w:left w:val="nil"/>
              <w:bottom w:val="nil"/>
              <w:right w:val="nil"/>
            </w:tcBorders>
            <w:shd w:val="clear" w:color="auto" w:fill="auto"/>
            <w:noWrap/>
            <w:vAlign w:val="center"/>
            <w:hideMark/>
          </w:tcPr>
          <w:p w14:paraId="741BBF2D"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Breccia-1</w:t>
            </w:r>
          </w:p>
        </w:tc>
        <w:tc>
          <w:tcPr>
            <w:tcW w:w="1840" w:type="dxa"/>
            <w:tcBorders>
              <w:top w:val="nil"/>
              <w:left w:val="nil"/>
              <w:bottom w:val="nil"/>
              <w:right w:val="nil"/>
            </w:tcBorders>
            <w:shd w:val="clear" w:color="auto" w:fill="auto"/>
            <w:noWrap/>
            <w:vAlign w:val="center"/>
            <w:hideMark/>
          </w:tcPr>
          <w:p w14:paraId="678208A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30</w:t>
            </w:r>
          </w:p>
        </w:tc>
        <w:tc>
          <w:tcPr>
            <w:tcW w:w="960" w:type="dxa"/>
            <w:tcBorders>
              <w:top w:val="nil"/>
              <w:left w:val="nil"/>
              <w:bottom w:val="nil"/>
              <w:right w:val="nil"/>
            </w:tcBorders>
            <w:shd w:val="clear" w:color="auto" w:fill="auto"/>
            <w:noWrap/>
            <w:vAlign w:val="center"/>
            <w:hideMark/>
          </w:tcPr>
          <w:p w14:paraId="02939AE9"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3.56</w:t>
            </w:r>
          </w:p>
        </w:tc>
        <w:tc>
          <w:tcPr>
            <w:tcW w:w="1220" w:type="dxa"/>
            <w:tcBorders>
              <w:top w:val="nil"/>
              <w:left w:val="nil"/>
              <w:bottom w:val="nil"/>
              <w:right w:val="nil"/>
            </w:tcBorders>
            <w:shd w:val="clear" w:color="auto" w:fill="auto"/>
            <w:noWrap/>
            <w:vAlign w:val="center"/>
            <w:hideMark/>
          </w:tcPr>
          <w:p w14:paraId="73AA89C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16.13</w:t>
            </w:r>
          </w:p>
        </w:tc>
        <w:tc>
          <w:tcPr>
            <w:tcW w:w="1280" w:type="dxa"/>
            <w:tcBorders>
              <w:top w:val="nil"/>
              <w:left w:val="nil"/>
              <w:bottom w:val="nil"/>
              <w:right w:val="nil"/>
            </w:tcBorders>
            <w:shd w:val="clear" w:color="auto" w:fill="auto"/>
            <w:noWrap/>
            <w:vAlign w:val="center"/>
            <w:hideMark/>
          </w:tcPr>
          <w:p w14:paraId="707371ED"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43.35</w:t>
            </w:r>
          </w:p>
        </w:tc>
        <w:tc>
          <w:tcPr>
            <w:tcW w:w="960" w:type="dxa"/>
            <w:tcBorders>
              <w:top w:val="nil"/>
              <w:left w:val="nil"/>
              <w:bottom w:val="nil"/>
              <w:right w:val="nil"/>
            </w:tcBorders>
            <w:shd w:val="clear" w:color="auto" w:fill="auto"/>
            <w:noWrap/>
            <w:vAlign w:val="center"/>
            <w:hideMark/>
          </w:tcPr>
          <w:p w14:paraId="17E6868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24.30</w:t>
            </w:r>
          </w:p>
        </w:tc>
        <w:tc>
          <w:tcPr>
            <w:tcW w:w="1680" w:type="dxa"/>
            <w:tcBorders>
              <w:top w:val="nil"/>
              <w:left w:val="nil"/>
              <w:bottom w:val="nil"/>
              <w:right w:val="nil"/>
            </w:tcBorders>
            <w:shd w:val="clear" w:color="auto" w:fill="auto"/>
            <w:noWrap/>
            <w:vAlign w:val="center"/>
            <w:hideMark/>
          </w:tcPr>
          <w:p w14:paraId="01C31B59"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9.12E+04</w:t>
            </w:r>
          </w:p>
        </w:tc>
        <w:tc>
          <w:tcPr>
            <w:tcW w:w="1740" w:type="dxa"/>
            <w:tcBorders>
              <w:top w:val="nil"/>
              <w:left w:val="nil"/>
              <w:bottom w:val="nil"/>
              <w:right w:val="nil"/>
            </w:tcBorders>
            <w:shd w:val="clear" w:color="auto" w:fill="auto"/>
            <w:noWrap/>
            <w:vAlign w:val="center"/>
            <w:hideMark/>
          </w:tcPr>
          <w:p w14:paraId="34FCCAF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4.56E+07</w:t>
            </w:r>
          </w:p>
        </w:tc>
        <w:tc>
          <w:tcPr>
            <w:tcW w:w="1106" w:type="dxa"/>
            <w:tcBorders>
              <w:top w:val="nil"/>
              <w:left w:val="nil"/>
              <w:bottom w:val="nil"/>
              <w:right w:val="nil"/>
            </w:tcBorders>
            <w:shd w:val="clear" w:color="auto" w:fill="auto"/>
            <w:noWrap/>
            <w:vAlign w:val="center"/>
            <w:hideMark/>
          </w:tcPr>
          <w:p w14:paraId="610286C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4.56</w:t>
            </w:r>
          </w:p>
        </w:tc>
        <w:tc>
          <w:tcPr>
            <w:tcW w:w="1234" w:type="dxa"/>
            <w:tcBorders>
              <w:top w:val="nil"/>
              <w:left w:val="nil"/>
              <w:bottom w:val="nil"/>
              <w:right w:val="nil"/>
            </w:tcBorders>
            <w:shd w:val="clear" w:color="auto" w:fill="auto"/>
            <w:noWrap/>
            <w:vAlign w:val="center"/>
            <w:hideMark/>
          </w:tcPr>
          <w:p w14:paraId="38FA2BA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0.46</w:t>
            </w:r>
          </w:p>
        </w:tc>
      </w:tr>
      <w:tr w:rsidR="00C92215" w:rsidRPr="007C3CE8" w14:paraId="5E5FEB7A" w14:textId="77777777" w:rsidTr="00137516">
        <w:trPr>
          <w:trHeight w:val="300"/>
        </w:trPr>
        <w:tc>
          <w:tcPr>
            <w:tcW w:w="1300" w:type="dxa"/>
            <w:tcBorders>
              <w:top w:val="nil"/>
              <w:left w:val="nil"/>
              <w:bottom w:val="nil"/>
              <w:right w:val="nil"/>
            </w:tcBorders>
            <w:shd w:val="clear" w:color="auto" w:fill="auto"/>
            <w:noWrap/>
            <w:vAlign w:val="center"/>
            <w:hideMark/>
          </w:tcPr>
          <w:p w14:paraId="7B91F1DC"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Breccia-2</w:t>
            </w:r>
          </w:p>
        </w:tc>
        <w:tc>
          <w:tcPr>
            <w:tcW w:w="1840" w:type="dxa"/>
            <w:tcBorders>
              <w:top w:val="nil"/>
              <w:left w:val="nil"/>
              <w:bottom w:val="nil"/>
              <w:right w:val="nil"/>
            </w:tcBorders>
            <w:shd w:val="clear" w:color="auto" w:fill="auto"/>
            <w:noWrap/>
            <w:vAlign w:val="center"/>
            <w:hideMark/>
          </w:tcPr>
          <w:p w14:paraId="28F8854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30</w:t>
            </w:r>
          </w:p>
        </w:tc>
        <w:tc>
          <w:tcPr>
            <w:tcW w:w="960" w:type="dxa"/>
            <w:tcBorders>
              <w:top w:val="nil"/>
              <w:left w:val="nil"/>
              <w:bottom w:val="nil"/>
              <w:right w:val="nil"/>
            </w:tcBorders>
            <w:shd w:val="clear" w:color="auto" w:fill="auto"/>
            <w:noWrap/>
            <w:vAlign w:val="center"/>
            <w:hideMark/>
          </w:tcPr>
          <w:p w14:paraId="611DAE1D"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1.87</w:t>
            </w:r>
          </w:p>
        </w:tc>
        <w:tc>
          <w:tcPr>
            <w:tcW w:w="1220" w:type="dxa"/>
            <w:tcBorders>
              <w:top w:val="nil"/>
              <w:left w:val="nil"/>
              <w:bottom w:val="nil"/>
              <w:right w:val="nil"/>
            </w:tcBorders>
            <w:shd w:val="clear" w:color="auto" w:fill="auto"/>
            <w:noWrap/>
            <w:vAlign w:val="center"/>
            <w:hideMark/>
          </w:tcPr>
          <w:p w14:paraId="4AAD66A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13.56</w:t>
            </w:r>
          </w:p>
        </w:tc>
        <w:tc>
          <w:tcPr>
            <w:tcW w:w="1280" w:type="dxa"/>
            <w:tcBorders>
              <w:top w:val="nil"/>
              <w:left w:val="nil"/>
              <w:bottom w:val="nil"/>
              <w:right w:val="nil"/>
            </w:tcBorders>
            <w:shd w:val="clear" w:color="auto" w:fill="auto"/>
            <w:noWrap/>
            <w:vAlign w:val="center"/>
            <w:hideMark/>
          </w:tcPr>
          <w:p w14:paraId="7947DF8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45.22</w:t>
            </w:r>
          </w:p>
        </w:tc>
        <w:tc>
          <w:tcPr>
            <w:tcW w:w="960" w:type="dxa"/>
            <w:tcBorders>
              <w:top w:val="nil"/>
              <w:left w:val="nil"/>
              <w:bottom w:val="nil"/>
              <w:right w:val="nil"/>
            </w:tcBorders>
            <w:shd w:val="clear" w:color="auto" w:fill="auto"/>
            <w:noWrap/>
            <w:vAlign w:val="center"/>
            <w:hideMark/>
          </w:tcPr>
          <w:p w14:paraId="5556DCC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26.70</w:t>
            </w:r>
          </w:p>
        </w:tc>
        <w:tc>
          <w:tcPr>
            <w:tcW w:w="1680" w:type="dxa"/>
            <w:tcBorders>
              <w:top w:val="nil"/>
              <w:left w:val="nil"/>
              <w:bottom w:val="nil"/>
              <w:right w:val="nil"/>
            </w:tcBorders>
            <w:shd w:val="clear" w:color="auto" w:fill="auto"/>
            <w:noWrap/>
            <w:vAlign w:val="center"/>
            <w:hideMark/>
          </w:tcPr>
          <w:p w14:paraId="006010F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8.31E+04</w:t>
            </w:r>
          </w:p>
        </w:tc>
        <w:tc>
          <w:tcPr>
            <w:tcW w:w="1740" w:type="dxa"/>
            <w:tcBorders>
              <w:top w:val="nil"/>
              <w:left w:val="nil"/>
              <w:bottom w:val="nil"/>
              <w:right w:val="nil"/>
            </w:tcBorders>
            <w:shd w:val="clear" w:color="auto" w:fill="auto"/>
            <w:noWrap/>
            <w:vAlign w:val="center"/>
            <w:hideMark/>
          </w:tcPr>
          <w:p w14:paraId="00778B5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4.15E+07</w:t>
            </w:r>
          </w:p>
        </w:tc>
        <w:tc>
          <w:tcPr>
            <w:tcW w:w="1106" w:type="dxa"/>
            <w:tcBorders>
              <w:top w:val="nil"/>
              <w:left w:val="nil"/>
              <w:bottom w:val="nil"/>
              <w:right w:val="nil"/>
            </w:tcBorders>
            <w:shd w:val="clear" w:color="auto" w:fill="auto"/>
            <w:noWrap/>
            <w:vAlign w:val="center"/>
            <w:hideMark/>
          </w:tcPr>
          <w:p w14:paraId="0528E6D1"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4.15</w:t>
            </w:r>
          </w:p>
        </w:tc>
        <w:tc>
          <w:tcPr>
            <w:tcW w:w="1234" w:type="dxa"/>
            <w:tcBorders>
              <w:top w:val="nil"/>
              <w:left w:val="nil"/>
              <w:bottom w:val="nil"/>
              <w:right w:val="nil"/>
            </w:tcBorders>
            <w:shd w:val="clear" w:color="auto" w:fill="auto"/>
            <w:noWrap/>
            <w:vAlign w:val="center"/>
            <w:hideMark/>
          </w:tcPr>
          <w:p w14:paraId="0D2BA4DA"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0.42</w:t>
            </w:r>
          </w:p>
        </w:tc>
      </w:tr>
      <w:tr w:rsidR="00C92215" w:rsidRPr="007C3CE8" w14:paraId="2EC72BE8" w14:textId="77777777" w:rsidTr="00137516">
        <w:trPr>
          <w:trHeight w:val="300"/>
        </w:trPr>
        <w:tc>
          <w:tcPr>
            <w:tcW w:w="1300" w:type="dxa"/>
            <w:tcBorders>
              <w:top w:val="nil"/>
              <w:left w:val="nil"/>
              <w:bottom w:val="nil"/>
              <w:right w:val="nil"/>
            </w:tcBorders>
            <w:shd w:val="clear" w:color="auto" w:fill="auto"/>
            <w:noWrap/>
            <w:vAlign w:val="center"/>
            <w:hideMark/>
          </w:tcPr>
          <w:p w14:paraId="20D98E93"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Breccia-2</w:t>
            </w:r>
          </w:p>
        </w:tc>
        <w:tc>
          <w:tcPr>
            <w:tcW w:w="1840" w:type="dxa"/>
            <w:tcBorders>
              <w:top w:val="nil"/>
              <w:left w:val="nil"/>
              <w:bottom w:val="nil"/>
              <w:right w:val="nil"/>
            </w:tcBorders>
            <w:shd w:val="clear" w:color="auto" w:fill="auto"/>
            <w:noWrap/>
            <w:vAlign w:val="center"/>
            <w:hideMark/>
          </w:tcPr>
          <w:p w14:paraId="553F5C6B"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80</w:t>
            </w:r>
          </w:p>
        </w:tc>
        <w:tc>
          <w:tcPr>
            <w:tcW w:w="960" w:type="dxa"/>
            <w:tcBorders>
              <w:top w:val="nil"/>
              <w:left w:val="nil"/>
              <w:bottom w:val="nil"/>
              <w:right w:val="nil"/>
            </w:tcBorders>
            <w:shd w:val="clear" w:color="auto" w:fill="auto"/>
            <w:noWrap/>
            <w:vAlign w:val="center"/>
            <w:hideMark/>
          </w:tcPr>
          <w:p w14:paraId="7AC9457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2.42</w:t>
            </w:r>
          </w:p>
        </w:tc>
        <w:tc>
          <w:tcPr>
            <w:tcW w:w="1220" w:type="dxa"/>
            <w:tcBorders>
              <w:top w:val="nil"/>
              <w:left w:val="nil"/>
              <w:bottom w:val="nil"/>
              <w:right w:val="nil"/>
            </w:tcBorders>
            <w:shd w:val="clear" w:color="auto" w:fill="auto"/>
            <w:noWrap/>
            <w:vAlign w:val="center"/>
            <w:hideMark/>
          </w:tcPr>
          <w:p w14:paraId="167BDDB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34.80</w:t>
            </w:r>
          </w:p>
        </w:tc>
        <w:tc>
          <w:tcPr>
            <w:tcW w:w="1280" w:type="dxa"/>
            <w:tcBorders>
              <w:top w:val="nil"/>
              <w:left w:val="nil"/>
              <w:bottom w:val="nil"/>
              <w:right w:val="nil"/>
            </w:tcBorders>
            <w:shd w:val="clear" w:color="auto" w:fill="auto"/>
            <w:noWrap/>
            <w:vAlign w:val="center"/>
            <w:hideMark/>
          </w:tcPr>
          <w:p w14:paraId="28F4D74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93.03</w:t>
            </w:r>
          </w:p>
        </w:tc>
        <w:tc>
          <w:tcPr>
            <w:tcW w:w="960" w:type="dxa"/>
            <w:tcBorders>
              <w:top w:val="nil"/>
              <w:left w:val="nil"/>
              <w:bottom w:val="nil"/>
              <w:right w:val="nil"/>
            </w:tcBorders>
            <w:shd w:val="clear" w:color="auto" w:fill="auto"/>
            <w:noWrap/>
            <w:vAlign w:val="center"/>
            <w:hideMark/>
          </w:tcPr>
          <w:p w14:paraId="53F44C16"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57.26</w:t>
            </w:r>
          </w:p>
        </w:tc>
        <w:tc>
          <w:tcPr>
            <w:tcW w:w="1680" w:type="dxa"/>
            <w:tcBorders>
              <w:top w:val="nil"/>
              <w:left w:val="nil"/>
              <w:bottom w:val="nil"/>
              <w:right w:val="nil"/>
            </w:tcBorders>
            <w:shd w:val="clear" w:color="auto" w:fill="auto"/>
            <w:noWrap/>
            <w:vAlign w:val="center"/>
            <w:hideMark/>
          </w:tcPr>
          <w:p w14:paraId="5E17BAC9"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3.87E+04</w:t>
            </w:r>
          </w:p>
        </w:tc>
        <w:tc>
          <w:tcPr>
            <w:tcW w:w="1740" w:type="dxa"/>
            <w:tcBorders>
              <w:top w:val="nil"/>
              <w:left w:val="nil"/>
              <w:bottom w:val="nil"/>
              <w:right w:val="nil"/>
            </w:tcBorders>
            <w:shd w:val="clear" w:color="auto" w:fill="auto"/>
            <w:noWrap/>
            <w:vAlign w:val="center"/>
            <w:hideMark/>
          </w:tcPr>
          <w:p w14:paraId="4F65A63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1.94E+07</w:t>
            </w:r>
          </w:p>
        </w:tc>
        <w:tc>
          <w:tcPr>
            <w:tcW w:w="1106" w:type="dxa"/>
            <w:tcBorders>
              <w:top w:val="nil"/>
              <w:left w:val="nil"/>
              <w:bottom w:val="nil"/>
              <w:right w:val="nil"/>
            </w:tcBorders>
            <w:shd w:val="clear" w:color="auto" w:fill="auto"/>
            <w:noWrap/>
            <w:vAlign w:val="center"/>
            <w:hideMark/>
          </w:tcPr>
          <w:p w14:paraId="09A61C6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1.94</w:t>
            </w:r>
          </w:p>
        </w:tc>
        <w:tc>
          <w:tcPr>
            <w:tcW w:w="1234" w:type="dxa"/>
            <w:tcBorders>
              <w:top w:val="nil"/>
              <w:left w:val="nil"/>
              <w:bottom w:val="nil"/>
              <w:right w:val="nil"/>
            </w:tcBorders>
            <w:shd w:val="clear" w:color="auto" w:fill="auto"/>
            <w:noWrap/>
            <w:vAlign w:val="center"/>
            <w:hideMark/>
          </w:tcPr>
          <w:p w14:paraId="449BF9B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0.19</w:t>
            </w:r>
          </w:p>
        </w:tc>
      </w:tr>
      <w:tr w:rsidR="00C92215" w:rsidRPr="007C3CE8" w14:paraId="28DD6D40" w14:textId="77777777" w:rsidTr="00137516">
        <w:trPr>
          <w:trHeight w:val="300"/>
        </w:trPr>
        <w:tc>
          <w:tcPr>
            <w:tcW w:w="1300" w:type="dxa"/>
            <w:tcBorders>
              <w:top w:val="nil"/>
              <w:left w:val="nil"/>
              <w:bottom w:val="nil"/>
              <w:right w:val="nil"/>
            </w:tcBorders>
            <w:shd w:val="clear" w:color="auto" w:fill="auto"/>
            <w:noWrap/>
            <w:vAlign w:val="center"/>
            <w:hideMark/>
          </w:tcPr>
          <w:p w14:paraId="29EC41FE"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Breccia-2</w:t>
            </w:r>
          </w:p>
        </w:tc>
        <w:tc>
          <w:tcPr>
            <w:tcW w:w="1840" w:type="dxa"/>
            <w:tcBorders>
              <w:top w:val="nil"/>
              <w:left w:val="nil"/>
              <w:bottom w:val="nil"/>
              <w:right w:val="nil"/>
            </w:tcBorders>
            <w:shd w:val="clear" w:color="auto" w:fill="auto"/>
            <w:noWrap/>
            <w:vAlign w:val="center"/>
            <w:hideMark/>
          </w:tcPr>
          <w:p w14:paraId="67AC7786"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80</w:t>
            </w:r>
          </w:p>
        </w:tc>
        <w:tc>
          <w:tcPr>
            <w:tcW w:w="960" w:type="dxa"/>
            <w:tcBorders>
              <w:top w:val="nil"/>
              <w:left w:val="nil"/>
              <w:bottom w:val="nil"/>
              <w:right w:val="nil"/>
            </w:tcBorders>
            <w:shd w:val="clear" w:color="auto" w:fill="auto"/>
            <w:noWrap/>
            <w:vAlign w:val="center"/>
            <w:hideMark/>
          </w:tcPr>
          <w:p w14:paraId="5E72501B"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2.35</w:t>
            </w:r>
          </w:p>
        </w:tc>
        <w:tc>
          <w:tcPr>
            <w:tcW w:w="1220" w:type="dxa"/>
            <w:tcBorders>
              <w:top w:val="nil"/>
              <w:left w:val="nil"/>
              <w:bottom w:val="nil"/>
              <w:right w:val="nil"/>
            </w:tcBorders>
            <w:shd w:val="clear" w:color="auto" w:fill="auto"/>
            <w:noWrap/>
            <w:vAlign w:val="center"/>
            <w:hideMark/>
          </w:tcPr>
          <w:p w14:paraId="6278026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28.16</w:t>
            </w:r>
          </w:p>
        </w:tc>
        <w:tc>
          <w:tcPr>
            <w:tcW w:w="1280" w:type="dxa"/>
            <w:tcBorders>
              <w:top w:val="nil"/>
              <w:left w:val="nil"/>
              <w:bottom w:val="nil"/>
              <w:right w:val="nil"/>
            </w:tcBorders>
            <w:shd w:val="clear" w:color="auto" w:fill="auto"/>
            <w:noWrap/>
            <w:vAlign w:val="center"/>
            <w:hideMark/>
          </w:tcPr>
          <w:p w14:paraId="31005CF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68.65</w:t>
            </w:r>
          </w:p>
        </w:tc>
        <w:tc>
          <w:tcPr>
            <w:tcW w:w="960" w:type="dxa"/>
            <w:tcBorders>
              <w:top w:val="nil"/>
              <w:left w:val="nil"/>
              <w:bottom w:val="nil"/>
              <w:right w:val="nil"/>
            </w:tcBorders>
            <w:shd w:val="clear" w:color="auto" w:fill="auto"/>
            <w:noWrap/>
            <w:vAlign w:val="center"/>
            <w:hideMark/>
          </w:tcPr>
          <w:p w14:paraId="75FC4B9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44.41</w:t>
            </w:r>
          </w:p>
        </w:tc>
        <w:tc>
          <w:tcPr>
            <w:tcW w:w="1680" w:type="dxa"/>
            <w:tcBorders>
              <w:top w:val="nil"/>
              <w:left w:val="nil"/>
              <w:bottom w:val="nil"/>
              <w:right w:val="nil"/>
            </w:tcBorders>
            <w:shd w:val="clear" w:color="auto" w:fill="auto"/>
            <w:noWrap/>
            <w:vAlign w:val="center"/>
            <w:hideMark/>
          </w:tcPr>
          <w:p w14:paraId="6AEDFA4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4.99E+04</w:t>
            </w:r>
          </w:p>
        </w:tc>
        <w:tc>
          <w:tcPr>
            <w:tcW w:w="1740" w:type="dxa"/>
            <w:tcBorders>
              <w:top w:val="nil"/>
              <w:left w:val="nil"/>
              <w:bottom w:val="nil"/>
              <w:right w:val="nil"/>
            </w:tcBorders>
            <w:shd w:val="clear" w:color="auto" w:fill="auto"/>
            <w:noWrap/>
            <w:vAlign w:val="center"/>
            <w:hideMark/>
          </w:tcPr>
          <w:p w14:paraId="46A8AA1A"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2.50E+07</w:t>
            </w:r>
          </w:p>
        </w:tc>
        <w:tc>
          <w:tcPr>
            <w:tcW w:w="1106" w:type="dxa"/>
            <w:tcBorders>
              <w:top w:val="nil"/>
              <w:left w:val="nil"/>
              <w:bottom w:val="nil"/>
              <w:right w:val="nil"/>
            </w:tcBorders>
            <w:shd w:val="clear" w:color="auto" w:fill="auto"/>
            <w:noWrap/>
            <w:vAlign w:val="center"/>
            <w:hideMark/>
          </w:tcPr>
          <w:p w14:paraId="4F927598"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2.50</w:t>
            </w:r>
          </w:p>
        </w:tc>
        <w:tc>
          <w:tcPr>
            <w:tcW w:w="1234" w:type="dxa"/>
            <w:tcBorders>
              <w:top w:val="nil"/>
              <w:left w:val="nil"/>
              <w:bottom w:val="nil"/>
              <w:right w:val="nil"/>
            </w:tcBorders>
            <w:shd w:val="clear" w:color="auto" w:fill="auto"/>
            <w:noWrap/>
            <w:vAlign w:val="center"/>
            <w:hideMark/>
          </w:tcPr>
          <w:p w14:paraId="40B6335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0.25</w:t>
            </w:r>
          </w:p>
        </w:tc>
      </w:tr>
      <w:tr w:rsidR="00C92215" w:rsidRPr="007C3CE8" w14:paraId="4F8E9B90" w14:textId="77777777" w:rsidTr="00137516">
        <w:trPr>
          <w:trHeight w:val="300"/>
        </w:trPr>
        <w:tc>
          <w:tcPr>
            <w:tcW w:w="1300" w:type="dxa"/>
            <w:tcBorders>
              <w:top w:val="nil"/>
              <w:left w:val="nil"/>
              <w:bottom w:val="nil"/>
              <w:right w:val="nil"/>
            </w:tcBorders>
            <w:shd w:val="clear" w:color="auto" w:fill="auto"/>
            <w:noWrap/>
            <w:vAlign w:val="center"/>
            <w:hideMark/>
          </w:tcPr>
          <w:p w14:paraId="51B4EA65"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Breccia-2</w:t>
            </w:r>
          </w:p>
        </w:tc>
        <w:tc>
          <w:tcPr>
            <w:tcW w:w="1840" w:type="dxa"/>
            <w:tcBorders>
              <w:top w:val="nil"/>
              <w:left w:val="nil"/>
              <w:bottom w:val="nil"/>
              <w:right w:val="nil"/>
            </w:tcBorders>
            <w:shd w:val="clear" w:color="auto" w:fill="auto"/>
            <w:noWrap/>
            <w:vAlign w:val="center"/>
            <w:hideMark/>
          </w:tcPr>
          <w:p w14:paraId="2490FCB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100</w:t>
            </w:r>
          </w:p>
        </w:tc>
        <w:tc>
          <w:tcPr>
            <w:tcW w:w="960" w:type="dxa"/>
            <w:tcBorders>
              <w:top w:val="nil"/>
              <w:left w:val="nil"/>
              <w:bottom w:val="nil"/>
              <w:right w:val="nil"/>
            </w:tcBorders>
            <w:shd w:val="clear" w:color="auto" w:fill="auto"/>
            <w:noWrap/>
            <w:vAlign w:val="center"/>
            <w:hideMark/>
          </w:tcPr>
          <w:p w14:paraId="693C7C2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2.99</w:t>
            </w:r>
          </w:p>
        </w:tc>
        <w:tc>
          <w:tcPr>
            <w:tcW w:w="1220" w:type="dxa"/>
            <w:tcBorders>
              <w:top w:val="nil"/>
              <w:left w:val="nil"/>
              <w:bottom w:val="nil"/>
              <w:right w:val="nil"/>
            </w:tcBorders>
            <w:shd w:val="clear" w:color="auto" w:fill="auto"/>
            <w:noWrap/>
            <w:vAlign w:val="center"/>
            <w:hideMark/>
          </w:tcPr>
          <w:p w14:paraId="5074E04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64.77</w:t>
            </w:r>
          </w:p>
        </w:tc>
        <w:tc>
          <w:tcPr>
            <w:tcW w:w="1280" w:type="dxa"/>
            <w:tcBorders>
              <w:top w:val="nil"/>
              <w:left w:val="nil"/>
              <w:bottom w:val="nil"/>
              <w:right w:val="nil"/>
            </w:tcBorders>
            <w:shd w:val="clear" w:color="auto" w:fill="auto"/>
            <w:noWrap/>
            <w:vAlign w:val="center"/>
            <w:hideMark/>
          </w:tcPr>
          <w:p w14:paraId="2ECCEF6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160.93</w:t>
            </w:r>
          </w:p>
        </w:tc>
        <w:tc>
          <w:tcPr>
            <w:tcW w:w="960" w:type="dxa"/>
            <w:tcBorders>
              <w:top w:val="nil"/>
              <w:left w:val="nil"/>
              <w:bottom w:val="nil"/>
              <w:right w:val="nil"/>
            </w:tcBorders>
            <w:shd w:val="clear" w:color="auto" w:fill="auto"/>
            <w:noWrap/>
            <w:vAlign w:val="center"/>
            <w:hideMark/>
          </w:tcPr>
          <w:p w14:paraId="0708A2E1"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98.73</w:t>
            </w:r>
          </w:p>
        </w:tc>
        <w:tc>
          <w:tcPr>
            <w:tcW w:w="1680" w:type="dxa"/>
            <w:tcBorders>
              <w:top w:val="nil"/>
              <w:left w:val="nil"/>
              <w:bottom w:val="nil"/>
              <w:right w:val="nil"/>
            </w:tcBorders>
            <w:shd w:val="clear" w:color="auto" w:fill="auto"/>
            <w:noWrap/>
            <w:vAlign w:val="center"/>
            <w:hideMark/>
          </w:tcPr>
          <w:p w14:paraId="715D332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2.25E+04</w:t>
            </w:r>
          </w:p>
        </w:tc>
        <w:tc>
          <w:tcPr>
            <w:tcW w:w="1740" w:type="dxa"/>
            <w:tcBorders>
              <w:top w:val="nil"/>
              <w:left w:val="nil"/>
              <w:bottom w:val="nil"/>
              <w:right w:val="nil"/>
            </w:tcBorders>
            <w:shd w:val="clear" w:color="auto" w:fill="auto"/>
            <w:noWrap/>
            <w:vAlign w:val="center"/>
            <w:hideMark/>
          </w:tcPr>
          <w:p w14:paraId="1F805FD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1.12E+07</w:t>
            </w:r>
          </w:p>
        </w:tc>
        <w:tc>
          <w:tcPr>
            <w:tcW w:w="1106" w:type="dxa"/>
            <w:tcBorders>
              <w:top w:val="nil"/>
              <w:left w:val="nil"/>
              <w:bottom w:val="nil"/>
              <w:right w:val="nil"/>
            </w:tcBorders>
            <w:shd w:val="clear" w:color="auto" w:fill="auto"/>
            <w:noWrap/>
            <w:vAlign w:val="center"/>
            <w:hideMark/>
          </w:tcPr>
          <w:p w14:paraId="1AE8D07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1.12</w:t>
            </w:r>
          </w:p>
        </w:tc>
        <w:tc>
          <w:tcPr>
            <w:tcW w:w="1234" w:type="dxa"/>
            <w:tcBorders>
              <w:top w:val="nil"/>
              <w:left w:val="nil"/>
              <w:bottom w:val="nil"/>
              <w:right w:val="nil"/>
            </w:tcBorders>
            <w:shd w:val="clear" w:color="auto" w:fill="auto"/>
            <w:noWrap/>
            <w:vAlign w:val="center"/>
            <w:hideMark/>
          </w:tcPr>
          <w:p w14:paraId="7092ECAD"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0.11</w:t>
            </w:r>
          </w:p>
        </w:tc>
      </w:tr>
      <w:tr w:rsidR="00C92215" w:rsidRPr="007C3CE8" w14:paraId="0A97420E" w14:textId="77777777" w:rsidTr="00137516">
        <w:trPr>
          <w:trHeight w:val="300"/>
        </w:trPr>
        <w:tc>
          <w:tcPr>
            <w:tcW w:w="1300" w:type="dxa"/>
            <w:tcBorders>
              <w:top w:val="nil"/>
              <w:left w:val="nil"/>
              <w:bottom w:val="nil"/>
              <w:right w:val="nil"/>
            </w:tcBorders>
            <w:shd w:val="clear" w:color="auto" w:fill="auto"/>
            <w:noWrap/>
            <w:vAlign w:val="center"/>
            <w:hideMark/>
          </w:tcPr>
          <w:p w14:paraId="2CF2C0C0"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Thin section</w:t>
            </w:r>
          </w:p>
        </w:tc>
        <w:tc>
          <w:tcPr>
            <w:tcW w:w="1840" w:type="dxa"/>
            <w:tcBorders>
              <w:top w:val="nil"/>
              <w:left w:val="nil"/>
              <w:bottom w:val="nil"/>
              <w:right w:val="nil"/>
            </w:tcBorders>
            <w:shd w:val="clear" w:color="auto" w:fill="auto"/>
            <w:noWrap/>
            <w:vAlign w:val="center"/>
            <w:hideMark/>
          </w:tcPr>
          <w:p w14:paraId="77D94CA1"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nil"/>
              <w:right w:val="nil"/>
            </w:tcBorders>
            <w:shd w:val="clear" w:color="auto" w:fill="auto"/>
            <w:noWrap/>
            <w:vAlign w:val="center"/>
            <w:hideMark/>
          </w:tcPr>
          <w:p w14:paraId="665DB63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1.80</w:t>
            </w:r>
          </w:p>
        </w:tc>
        <w:tc>
          <w:tcPr>
            <w:tcW w:w="1220" w:type="dxa"/>
            <w:tcBorders>
              <w:top w:val="nil"/>
              <w:left w:val="nil"/>
              <w:bottom w:val="nil"/>
              <w:right w:val="nil"/>
            </w:tcBorders>
            <w:shd w:val="clear" w:color="auto" w:fill="auto"/>
            <w:noWrap/>
            <w:vAlign w:val="center"/>
            <w:hideMark/>
          </w:tcPr>
          <w:p w14:paraId="34256F2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0.45</w:t>
            </w:r>
          </w:p>
        </w:tc>
        <w:tc>
          <w:tcPr>
            <w:tcW w:w="1280" w:type="dxa"/>
            <w:tcBorders>
              <w:top w:val="nil"/>
              <w:left w:val="nil"/>
              <w:bottom w:val="nil"/>
              <w:right w:val="nil"/>
            </w:tcBorders>
            <w:shd w:val="clear" w:color="auto" w:fill="auto"/>
            <w:noWrap/>
            <w:vAlign w:val="center"/>
            <w:hideMark/>
          </w:tcPr>
          <w:p w14:paraId="1B26AE1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0.88</w:t>
            </w:r>
          </w:p>
        </w:tc>
        <w:tc>
          <w:tcPr>
            <w:tcW w:w="960" w:type="dxa"/>
            <w:tcBorders>
              <w:top w:val="nil"/>
              <w:left w:val="nil"/>
              <w:bottom w:val="nil"/>
              <w:right w:val="nil"/>
            </w:tcBorders>
            <w:shd w:val="clear" w:color="auto" w:fill="auto"/>
            <w:noWrap/>
            <w:vAlign w:val="center"/>
            <w:hideMark/>
          </w:tcPr>
          <w:p w14:paraId="35F2AB8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0.65</w:t>
            </w:r>
          </w:p>
        </w:tc>
        <w:tc>
          <w:tcPr>
            <w:tcW w:w="1680" w:type="dxa"/>
            <w:tcBorders>
              <w:top w:val="nil"/>
              <w:left w:val="nil"/>
              <w:bottom w:val="nil"/>
              <w:right w:val="nil"/>
            </w:tcBorders>
            <w:shd w:val="clear" w:color="auto" w:fill="auto"/>
            <w:noWrap/>
            <w:vAlign w:val="center"/>
            <w:hideMark/>
          </w:tcPr>
          <w:p w14:paraId="39AA88A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3.43E+06</w:t>
            </w:r>
          </w:p>
        </w:tc>
        <w:tc>
          <w:tcPr>
            <w:tcW w:w="1740" w:type="dxa"/>
            <w:tcBorders>
              <w:top w:val="nil"/>
              <w:left w:val="nil"/>
              <w:bottom w:val="nil"/>
              <w:right w:val="nil"/>
            </w:tcBorders>
            <w:shd w:val="clear" w:color="auto" w:fill="auto"/>
            <w:noWrap/>
            <w:vAlign w:val="center"/>
            <w:hideMark/>
          </w:tcPr>
          <w:p w14:paraId="5E49FE48"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1.72E+09</w:t>
            </w:r>
          </w:p>
        </w:tc>
        <w:tc>
          <w:tcPr>
            <w:tcW w:w="1106" w:type="dxa"/>
            <w:tcBorders>
              <w:top w:val="nil"/>
              <w:left w:val="nil"/>
              <w:bottom w:val="nil"/>
              <w:right w:val="nil"/>
            </w:tcBorders>
            <w:shd w:val="clear" w:color="auto" w:fill="auto"/>
            <w:noWrap/>
            <w:vAlign w:val="center"/>
            <w:hideMark/>
          </w:tcPr>
          <w:p w14:paraId="57ACFB2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172.00</w:t>
            </w:r>
          </w:p>
        </w:tc>
        <w:tc>
          <w:tcPr>
            <w:tcW w:w="1234" w:type="dxa"/>
            <w:tcBorders>
              <w:top w:val="nil"/>
              <w:left w:val="nil"/>
              <w:bottom w:val="nil"/>
              <w:right w:val="nil"/>
            </w:tcBorders>
            <w:shd w:val="clear" w:color="auto" w:fill="auto"/>
            <w:noWrap/>
            <w:vAlign w:val="center"/>
            <w:hideMark/>
          </w:tcPr>
          <w:p w14:paraId="222BEFB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17.20</w:t>
            </w:r>
          </w:p>
        </w:tc>
      </w:tr>
      <w:tr w:rsidR="00C92215" w:rsidRPr="007C3CE8" w14:paraId="677EE9E4" w14:textId="77777777" w:rsidTr="00137516">
        <w:trPr>
          <w:trHeight w:val="300"/>
        </w:trPr>
        <w:tc>
          <w:tcPr>
            <w:tcW w:w="1300" w:type="dxa"/>
            <w:tcBorders>
              <w:top w:val="nil"/>
              <w:left w:val="nil"/>
              <w:bottom w:val="nil"/>
              <w:right w:val="nil"/>
            </w:tcBorders>
            <w:shd w:val="clear" w:color="auto" w:fill="auto"/>
            <w:noWrap/>
            <w:vAlign w:val="center"/>
            <w:hideMark/>
          </w:tcPr>
          <w:p w14:paraId="67CDC403"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Thin section</w:t>
            </w:r>
          </w:p>
        </w:tc>
        <w:tc>
          <w:tcPr>
            <w:tcW w:w="1840" w:type="dxa"/>
            <w:tcBorders>
              <w:top w:val="nil"/>
              <w:left w:val="nil"/>
              <w:bottom w:val="nil"/>
              <w:right w:val="nil"/>
            </w:tcBorders>
            <w:shd w:val="clear" w:color="auto" w:fill="auto"/>
            <w:noWrap/>
            <w:vAlign w:val="center"/>
            <w:hideMark/>
          </w:tcPr>
          <w:p w14:paraId="5BE59861"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nil"/>
              <w:right w:val="nil"/>
            </w:tcBorders>
            <w:shd w:val="clear" w:color="auto" w:fill="auto"/>
            <w:noWrap/>
            <w:vAlign w:val="center"/>
            <w:hideMark/>
          </w:tcPr>
          <w:p w14:paraId="1213B3A8"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1.98</w:t>
            </w:r>
          </w:p>
        </w:tc>
        <w:tc>
          <w:tcPr>
            <w:tcW w:w="1220" w:type="dxa"/>
            <w:tcBorders>
              <w:top w:val="nil"/>
              <w:left w:val="nil"/>
              <w:bottom w:val="nil"/>
              <w:right w:val="nil"/>
            </w:tcBorders>
            <w:shd w:val="clear" w:color="auto" w:fill="auto"/>
            <w:noWrap/>
            <w:vAlign w:val="center"/>
            <w:hideMark/>
          </w:tcPr>
          <w:p w14:paraId="18DFF58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0.88</w:t>
            </w:r>
          </w:p>
        </w:tc>
        <w:tc>
          <w:tcPr>
            <w:tcW w:w="1280" w:type="dxa"/>
            <w:tcBorders>
              <w:top w:val="nil"/>
              <w:left w:val="nil"/>
              <w:bottom w:val="nil"/>
              <w:right w:val="nil"/>
            </w:tcBorders>
            <w:shd w:val="clear" w:color="auto" w:fill="auto"/>
            <w:noWrap/>
            <w:vAlign w:val="center"/>
            <w:hideMark/>
          </w:tcPr>
          <w:p w14:paraId="62DABFB6"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2.84</w:t>
            </w:r>
          </w:p>
        </w:tc>
        <w:tc>
          <w:tcPr>
            <w:tcW w:w="960" w:type="dxa"/>
            <w:tcBorders>
              <w:top w:val="nil"/>
              <w:left w:val="nil"/>
              <w:bottom w:val="nil"/>
              <w:right w:val="nil"/>
            </w:tcBorders>
            <w:shd w:val="clear" w:color="auto" w:fill="auto"/>
            <w:noWrap/>
            <w:vAlign w:val="center"/>
            <w:hideMark/>
          </w:tcPr>
          <w:p w14:paraId="7CF9A57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1.68</w:t>
            </w:r>
          </w:p>
        </w:tc>
        <w:tc>
          <w:tcPr>
            <w:tcW w:w="1680" w:type="dxa"/>
            <w:tcBorders>
              <w:top w:val="nil"/>
              <w:left w:val="nil"/>
              <w:bottom w:val="nil"/>
              <w:right w:val="nil"/>
            </w:tcBorders>
            <w:shd w:val="clear" w:color="auto" w:fill="auto"/>
            <w:noWrap/>
            <w:vAlign w:val="center"/>
            <w:hideMark/>
          </w:tcPr>
          <w:p w14:paraId="104EE70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1.32E+06</w:t>
            </w:r>
          </w:p>
        </w:tc>
        <w:tc>
          <w:tcPr>
            <w:tcW w:w="1740" w:type="dxa"/>
            <w:tcBorders>
              <w:top w:val="nil"/>
              <w:left w:val="nil"/>
              <w:bottom w:val="nil"/>
              <w:right w:val="nil"/>
            </w:tcBorders>
            <w:shd w:val="clear" w:color="auto" w:fill="auto"/>
            <w:noWrap/>
            <w:vAlign w:val="center"/>
            <w:hideMark/>
          </w:tcPr>
          <w:p w14:paraId="3E02EFE8"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6.61E+08</w:t>
            </w:r>
          </w:p>
        </w:tc>
        <w:tc>
          <w:tcPr>
            <w:tcW w:w="1106" w:type="dxa"/>
            <w:tcBorders>
              <w:top w:val="nil"/>
              <w:left w:val="nil"/>
              <w:bottom w:val="nil"/>
              <w:right w:val="nil"/>
            </w:tcBorders>
            <w:shd w:val="clear" w:color="auto" w:fill="auto"/>
            <w:noWrap/>
            <w:vAlign w:val="center"/>
            <w:hideMark/>
          </w:tcPr>
          <w:p w14:paraId="11BA7FB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66.10</w:t>
            </w:r>
          </w:p>
        </w:tc>
        <w:tc>
          <w:tcPr>
            <w:tcW w:w="1234" w:type="dxa"/>
            <w:tcBorders>
              <w:top w:val="nil"/>
              <w:left w:val="nil"/>
              <w:bottom w:val="nil"/>
              <w:right w:val="nil"/>
            </w:tcBorders>
            <w:shd w:val="clear" w:color="auto" w:fill="auto"/>
            <w:noWrap/>
            <w:vAlign w:val="center"/>
            <w:hideMark/>
          </w:tcPr>
          <w:p w14:paraId="3AC30AB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6.61</w:t>
            </w:r>
          </w:p>
        </w:tc>
      </w:tr>
      <w:tr w:rsidR="00C92215" w:rsidRPr="007C3CE8" w14:paraId="44BC4904" w14:textId="77777777" w:rsidTr="00137516">
        <w:trPr>
          <w:trHeight w:val="300"/>
        </w:trPr>
        <w:tc>
          <w:tcPr>
            <w:tcW w:w="1300" w:type="dxa"/>
            <w:tcBorders>
              <w:top w:val="nil"/>
              <w:left w:val="nil"/>
              <w:bottom w:val="nil"/>
              <w:right w:val="nil"/>
            </w:tcBorders>
            <w:shd w:val="clear" w:color="auto" w:fill="auto"/>
            <w:noWrap/>
            <w:vAlign w:val="center"/>
            <w:hideMark/>
          </w:tcPr>
          <w:p w14:paraId="0ADFC0C0"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Thin section</w:t>
            </w:r>
          </w:p>
        </w:tc>
        <w:tc>
          <w:tcPr>
            <w:tcW w:w="1840" w:type="dxa"/>
            <w:tcBorders>
              <w:top w:val="nil"/>
              <w:left w:val="nil"/>
              <w:bottom w:val="nil"/>
              <w:right w:val="nil"/>
            </w:tcBorders>
            <w:shd w:val="clear" w:color="auto" w:fill="auto"/>
            <w:noWrap/>
            <w:vAlign w:val="center"/>
            <w:hideMark/>
          </w:tcPr>
          <w:p w14:paraId="44F22EF6"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nil"/>
              <w:right w:val="nil"/>
            </w:tcBorders>
            <w:shd w:val="clear" w:color="auto" w:fill="auto"/>
            <w:noWrap/>
            <w:vAlign w:val="center"/>
            <w:hideMark/>
          </w:tcPr>
          <w:p w14:paraId="1A006976"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2.39</w:t>
            </w:r>
          </w:p>
        </w:tc>
        <w:tc>
          <w:tcPr>
            <w:tcW w:w="1220" w:type="dxa"/>
            <w:tcBorders>
              <w:top w:val="nil"/>
              <w:left w:val="nil"/>
              <w:bottom w:val="nil"/>
              <w:right w:val="nil"/>
            </w:tcBorders>
            <w:shd w:val="clear" w:color="auto" w:fill="auto"/>
            <w:noWrap/>
            <w:vAlign w:val="center"/>
            <w:hideMark/>
          </w:tcPr>
          <w:p w14:paraId="1CDAA26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1.63</w:t>
            </w:r>
          </w:p>
        </w:tc>
        <w:tc>
          <w:tcPr>
            <w:tcW w:w="1280" w:type="dxa"/>
            <w:tcBorders>
              <w:top w:val="nil"/>
              <w:left w:val="nil"/>
              <w:bottom w:val="nil"/>
              <w:right w:val="nil"/>
            </w:tcBorders>
            <w:shd w:val="clear" w:color="auto" w:fill="auto"/>
            <w:noWrap/>
            <w:vAlign w:val="center"/>
            <w:hideMark/>
          </w:tcPr>
          <w:p w14:paraId="0A94BDF5"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3.94</w:t>
            </w:r>
          </w:p>
        </w:tc>
        <w:tc>
          <w:tcPr>
            <w:tcW w:w="960" w:type="dxa"/>
            <w:tcBorders>
              <w:top w:val="nil"/>
              <w:left w:val="nil"/>
              <w:bottom w:val="nil"/>
              <w:right w:val="nil"/>
            </w:tcBorders>
            <w:shd w:val="clear" w:color="auto" w:fill="auto"/>
            <w:noWrap/>
            <w:vAlign w:val="center"/>
            <w:hideMark/>
          </w:tcPr>
          <w:p w14:paraId="07481B8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2.55</w:t>
            </w:r>
          </w:p>
        </w:tc>
        <w:tc>
          <w:tcPr>
            <w:tcW w:w="1680" w:type="dxa"/>
            <w:tcBorders>
              <w:top w:val="nil"/>
              <w:left w:val="nil"/>
              <w:bottom w:val="nil"/>
              <w:right w:val="nil"/>
            </w:tcBorders>
            <w:shd w:val="clear" w:color="auto" w:fill="auto"/>
            <w:noWrap/>
            <w:vAlign w:val="center"/>
            <w:hideMark/>
          </w:tcPr>
          <w:p w14:paraId="7453B984"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8.69E+05</w:t>
            </w:r>
          </w:p>
        </w:tc>
        <w:tc>
          <w:tcPr>
            <w:tcW w:w="1740" w:type="dxa"/>
            <w:tcBorders>
              <w:top w:val="nil"/>
              <w:left w:val="nil"/>
              <w:bottom w:val="nil"/>
              <w:right w:val="nil"/>
            </w:tcBorders>
            <w:shd w:val="clear" w:color="auto" w:fill="auto"/>
            <w:noWrap/>
            <w:vAlign w:val="center"/>
            <w:hideMark/>
          </w:tcPr>
          <w:p w14:paraId="4B00E9C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4.34E+08</w:t>
            </w:r>
          </w:p>
        </w:tc>
        <w:tc>
          <w:tcPr>
            <w:tcW w:w="1106" w:type="dxa"/>
            <w:tcBorders>
              <w:top w:val="nil"/>
              <w:left w:val="nil"/>
              <w:bottom w:val="nil"/>
              <w:right w:val="nil"/>
            </w:tcBorders>
            <w:shd w:val="clear" w:color="auto" w:fill="auto"/>
            <w:noWrap/>
            <w:vAlign w:val="center"/>
            <w:hideMark/>
          </w:tcPr>
          <w:p w14:paraId="7D143AB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43.40</w:t>
            </w:r>
          </w:p>
        </w:tc>
        <w:tc>
          <w:tcPr>
            <w:tcW w:w="1234" w:type="dxa"/>
            <w:tcBorders>
              <w:top w:val="nil"/>
              <w:left w:val="nil"/>
              <w:bottom w:val="nil"/>
              <w:right w:val="nil"/>
            </w:tcBorders>
            <w:shd w:val="clear" w:color="auto" w:fill="auto"/>
            <w:noWrap/>
            <w:vAlign w:val="center"/>
            <w:hideMark/>
          </w:tcPr>
          <w:p w14:paraId="0C1CB79A"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4.34</w:t>
            </w:r>
          </w:p>
        </w:tc>
      </w:tr>
      <w:tr w:rsidR="00C92215" w:rsidRPr="007C3CE8" w14:paraId="46B9A4E1" w14:textId="77777777" w:rsidTr="00137516">
        <w:trPr>
          <w:trHeight w:val="300"/>
        </w:trPr>
        <w:tc>
          <w:tcPr>
            <w:tcW w:w="1300" w:type="dxa"/>
            <w:tcBorders>
              <w:top w:val="nil"/>
              <w:left w:val="nil"/>
              <w:bottom w:val="single" w:sz="4" w:space="0" w:color="auto"/>
              <w:right w:val="nil"/>
            </w:tcBorders>
            <w:shd w:val="clear" w:color="auto" w:fill="auto"/>
            <w:noWrap/>
            <w:vAlign w:val="center"/>
            <w:hideMark/>
          </w:tcPr>
          <w:p w14:paraId="0649EF88" w14:textId="77777777" w:rsidR="00C92215" w:rsidRPr="007C3CE8"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Thin section</w:t>
            </w:r>
          </w:p>
        </w:tc>
        <w:tc>
          <w:tcPr>
            <w:tcW w:w="1840" w:type="dxa"/>
            <w:tcBorders>
              <w:top w:val="nil"/>
              <w:left w:val="nil"/>
              <w:bottom w:val="single" w:sz="4" w:space="0" w:color="auto"/>
              <w:right w:val="nil"/>
            </w:tcBorders>
            <w:shd w:val="clear" w:color="auto" w:fill="auto"/>
            <w:noWrap/>
            <w:vAlign w:val="center"/>
            <w:hideMark/>
          </w:tcPr>
          <w:p w14:paraId="5D76D60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w:t>
            </w:r>
          </w:p>
        </w:tc>
        <w:tc>
          <w:tcPr>
            <w:tcW w:w="960" w:type="dxa"/>
            <w:tcBorders>
              <w:top w:val="nil"/>
              <w:left w:val="nil"/>
              <w:bottom w:val="single" w:sz="4" w:space="0" w:color="auto"/>
              <w:right w:val="nil"/>
            </w:tcBorders>
            <w:shd w:val="clear" w:color="auto" w:fill="auto"/>
            <w:noWrap/>
            <w:vAlign w:val="center"/>
            <w:hideMark/>
          </w:tcPr>
          <w:p w14:paraId="32FE798E"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1.91</w:t>
            </w:r>
          </w:p>
        </w:tc>
        <w:tc>
          <w:tcPr>
            <w:tcW w:w="1220" w:type="dxa"/>
            <w:tcBorders>
              <w:top w:val="nil"/>
              <w:left w:val="nil"/>
              <w:bottom w:val="single" w:sz="4" w:space="0" w:color="auto"/>
              <w:right w:val="nil"/>
            </w:tcBorders>
            <w:shd w:val="clear" w:color="auto" w:fill="auto"/>
            <w:noWrap/>
            <w:vAlign w:val="center"/>
            <w:hideMark/>
          </w:tcPr>
          <w:p w14:paraId="678A0557"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0.54</w:t>
            </w:r>
          </w:p>
        </w:tc>
        <w:tc>
          <w:tcPr>
            <w:tcW w:w="1280" w:type="dxa"/>
            <w:tcBorders>
              <w:top w:val="nil"/>
              <w:left w:val="nil"/>
              <w:bottom w:val="single" w:sz="4" w:space="0" w:color="auto"/>
              <w:right w:val="nil"/>
            </w:tcBorders>
            <w:shd w:val="clear" w:color="auto" w:fill="auto"/>
            <w:noWrap/>
            <w:vAlign w:val="center"/>
            <w:hideMark/>
          </w:tcPr>
          <w:p w14:paraId="34FBC2C2"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1.63</w:t>
            </w:r>
          </w:p>
        </w:tc>
        <w:tc>
          <w:tcPr>
            <w:tcW w:w="960" w:type="dxa"/>
            <w:tcBorders>
              <w:top w:val="nil"/>
              <w:left w:val="nil"/>
              <w:bottom w:val="single" w:sz="4" w:space="0" w:color="auto"/>
              <w:right w:val="nil"/>
            </w:tcBorders>
            <w:shd w:val="clear" w:color="auto" w:fill="auto"/>
            <w:noWrap/>
            <w:vAlign w:val="center"/>
            <w:hideMark/>
          </w:tcPr>
          <w:p w14:paraId="396B5263"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1.00</w:t>
            </w:r>
          </w:p>
        </w:tc>
        <w:tc>
          <w:tcPr>
            <w:tcW w:w="1680" w:type="dxa"/>
            <w:tcBorders>
              <w:top w:val="nil"/>
              <w:left w:val="nil"/>
              <w:bottom w:val="single" w:sz="4" w:space="0" w:color="auto"/>
              <w:right w:val="nil"/>
            </w:tcBorders>
            <w:shd w:val="clear" w:color="auto" w:fill="auto"/>
            <w:noWrap/>
            <w:vAlign w:val="center"/>
            <w:hideMark/>
          </w:tcPr>
          <w:p w14:paraId="6544657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2.23E+06</w:t>
            </w:r>
          </w:p>
        </w:tc>
        <w:tc>
          <w:tcPr>
            <w:tcW w:w="1740" w:type="dxa"/>
            <w:tcBorders>
              <w:top w:val="nil"/>
              <w:left w:val="nil"/>
              <w:bottom w:val="single" w:sz="4" w:space="0" w:color="auto"/>
              <w:right w:val="nil"/>
            </w:tcBorders>
            <w:shd w:val="clear" w:color="auto" w:fill="auto"/>
            <w:noWrap/>
            <w:vAlign w:val="center"/>
            <w:hideMark/>
          </w:tcPr>
          <w:p w14:paraId="0BF6A88F"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1.11E+09</w:t>
            </w:r>
          </w:p>
        </w:tc>
        <w:tc>
          <w:tcPr>
            <w:tcW w:w="1106" w:type="dxa"/>
            <w:tcBorders>
              <w:top w:val="nil"/>
              <w:left w:val="nil"/>
              <w:bottom w:val="single" w:sz="4" w:space="0" w:color="auto"/>
              <w:right w:val="nil"/>
            </w:tcBorders>
            <w:shd w:val="clear" w:color="auto" w:fill="auto"/>
            <w:noWrap/>
            <w:vAlign w:val="center"/>
            <w:hideMark/>
          </w:tcPr>
          <w:p w14:paraId="10AD2D40"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111.00</w:t>
            </w:r>
          </w:p>
        </w:tc>
        <w:tc>
          <w:tcPr>
            <w:tcW w:w="1234" w:type="dxa"/>
            <w:tcBorders>
              <w:top w:val="nil"/>
              <w:left w:val="nil"/>
              <w:bottom w:val="single" w:sz="4" w:space="0" w:color="auto"/>
              <w:right w:val="nil"/>
            </w:tcBorders>
            <w:shd w:val="clear" w:color="auto" w:fill="auto"/>
            <w:noWrap/>
            <w:vAlign w:val="center"/>
            <w:hideMark/>
          </w:tcPr>
          <w:p w14:paraId="5EADA5AC" w14:textId="77777777" w:rsidR="00C92215" w:rsidRPr="007C3CE8"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7C3CE8">
              <w:rPr>
                <w:rFonts w:ascii="Times New Roman" w:eastAsia="Times New Roman" w:hAnsi="Times New Roman" w:cs="Times New Roman"/>
                <w:color w:val="000000"/>
                <w:kern w:val="0"/>
                <w:sz w:val="20"/>
                <w:szCs w:val="20"/>
                <w14:ligatures w14:val="none"/>
              </w:rPr>
              <w:t>11.10</w:t>
            </w:r>
          </w:p>
        </w:tc>
      </w:tr>
    </w:tbl>
    <w:p w14:paraId="5AF72D12" w14:textId="77777777" w:rsidR="00C92215" w:rsidRDefault="00C92215" w:rsidP="00C92215"/>
    <w:p w14:paraId="5788E381" w14:textId="77777777" w:rsidR="00C92215" w:rsidRDefault="00C92215" w:rsidP="00C92215"/>
    <w:p w14:paraId="398CAF25" w14:textId="77777777" w:rsidR="00C92215" w:rsidRDefault="00C92215" w:rsidP="00C92215"/>
    <w:p w14:paraId="6527EBC4" w14:textId="77777777" w:rsidR="00C92215" w:rsidRDefault="00C92215" w:rsidP="00C92215"/>
    <w:p w14:paraId="478CA96D" w14:textId="77777777" w:rsidR="00C92215" w:rsidRDefault="00C92215" w:rsidP="00C92215"/>
    <w:p w14:paraId="7A4C91A9" w14:textId="77777777" w:rsidR="00C92215" w:rsidRDefault="00C92215" w:rsidP="00C92215"/>
    <w:p w14:paraId="2BEEEA28" w14:textId="33FA8692" w:rsidR="00C92215" w:rsidRDefault="00C92215" w:rsidP="00C92215"/>
    <w:p w14:paraId="0799D760" w14:textId="5B2F06BF" w:rsidR="00C92215" w:rsidRPr="00E240BA" w:rsidRDefault="00C92215" w:rsidP="00C92215">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Pr>
          <w:rFonts w:ascii="Times New Roman" w:hAnsi="Times New Roman" w:cs="Times New Roman"/>
          <w:color w:val="auto"/>
          <w:sz w:val="20"/>
          <w:szCs w:val="20"/>
        </w:rPr>
        <w:t>1</w:t>
      </w:r>
      <w:r w:rsidRPr="00E240BA">
        <w:rPr>
          <w:rFonts w:ascii="Times New Roman" w:hAnsi="Times New Roman" w:cs="Times New Roman"/>
          <w:color w:val="auto"/>
          <w:sz w:val="20"/>
          <w:szCs w:val="20"/>
        </w:rPr>
        <w:t>. (Continue). Statistical summary of surface energy per unit fault (</w:t>
      </w:r>
      <w:proofErr w:type="spellStart"/>
      <w:r w:rsidRPr="00E240BA">
        <w:rPr>
          <w:rFonts w:ascii="Times New Roman" w:hAnsi="Times New Roman" w:cs="Times New Roman"/>
          <w:color w:val="auto"/>
          <w:sz w:val="20"/>
          <w:szCs w:val="20"/>
        </w:rPr>
        <w:t>U</w:t>
      </w:r>
      <w:r w:rsidRPr="00E240BA">
        <w:rPr>
          <w:rFonts w:ascii="Times New Roman" w:hAnsi="Times New Roman" w:cs="Times New Roman"/>
          <w:color w:val="auto"/>
          <w:sz w:val="20"/>
          <w:szCs w:val="20"/>
          <w:vertAlign w:val="subscript"/>
        </w:rPr>
        <w:t>sa</w:t>
      </w:r>
      <w:proofErr w:type="spellEnd"/>
      <w:r w:rsidRPr="00E240BA">
        <w:rPr>
          <w:rFonts w:ascii="Times New Roman" w:hAnsi="Times New Roman" w:cs="Times New Roman"/>
          <w:color w:val="auto"/>
          <w:sz w:val="20"/>
          <w:szCs w:val="20"/>
        </w:rPr>
        <w:t>) for outcrop and thin section scale and estimated magnitude of single earthquake based on number of EQ recuring scenario.</w:t>
      </w:r>
    </w:p>
    <w:tbl>
      <w:tblPr>
        <w:tblW w:w="5560" w:type="dxa"/>
        <w:jc w:val="center"/>
        <w:tblLook w:val="04A0" w:firstRow="1" w:lastRow="0" w:firstColumn="1" w:lastColumn="0" w:noHBand="0" w:noVBand="1"/>
      </w:tblPr>
      <w:tblGrid>
        <w:gridCol w:w="960"/>
        <w:gridCol w:w="962"/>
        <w:gridCol w:w="1438"/>
        <w:gridCol w:w="882"/>
        <w:gridCol w:w="1318"/>
      </w:tblGrid>
      <w:tr w:rsidR="00C92215" w:rsidRPr="00683917" w14:paraId="160A2880" w14:textId="77777777" w:rsidTr="00137516">
        <w:trPr>
          <w:trHeight w:val="300"/>
          <w:jc w:val="center"/>
        </w:trPr>
        <w:tc>
          <w:tcPr>
            <w:tcW w:w="960" w:type="dxa"/>
            <w:tcBorders>
              <w:top w:val="single" w:sz="4" w:space="0" w:color="auto"/>
              <w:left w:val="nil"/>
              <w:bottom w:val="nil"/>
              <w:right w:val="nil"/>
            </w:tcBorders>
            <w:shd w:val="clear" w:color="auto" w:fill="auto"/>
            <w:noWrap/>
            <w:vAlign w:val="center"/>
            <w:hideMark/>
          </w:tcPr>
          <w:p w14:paraId="33E8455C"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 </w:t>
            </w:r>
          </w:p>
        </w:tc>
        <w:tc>
          <w:tcPr>
            <w:tcW w:w="2400" w:type="dxa"/>
            <w:gridSpan w:val="2"/>
            <w:tcBorders>
              <w:top w:val="single" w:sz="4" w:space="0" w:color="auto"/>
              <w:left w:val="nil"/>
              <w:bottom w:val="single" w:sz="4" w:space="0" w:color="auto"/>
              <w:right w:val="nil"/>
            </w:tcBorders>
            <w:shd w:val="clear" w:color="auto" w:fill="auto"/>
            <w:noWrap/>
            <w:vAlign w:val="center"/>
            <w:hideMark/>
          </w:tcPr>
          <w:p w14:paraId="70B998D6" w14:textId="77777777" w:rsidR="00C92215" w:rsidRPr="00683917"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10 EQ (MJ/m2)</w:t>
            </w:r>
          </w:p>
        </w:tc>
        <w:tc>
          <w:tcPr>
            <w:tcW w:w="2200" w:type="dxa"/>
            <w:gridSpan w:val="2"/>
            <w:tcBorders>
              <w:top w:val="single" w:sz="4" w:space="0" w:color="auto"/>
              <w:left w:val="nil"/>
              <w:bottom w:val="single" w:sz="4" w:space="0" w:color="auto"/>
              <w:right w:val="nil"/>
            </w:tcBorders>
            <w:shd w:val="clear" w:color="auto" w:fill="auto"/>
            <w:noWrap/>
            <w:vAlign w:val="center"/>
            <w:hideMark/>
          </w:tcPr>
          <w:p w14:paraId="1B292F59" w14:textId="77777777" w:rsidR="00C92215" w:rsidRPr="00683917"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100 EQ (MJ/m2)</w:t>
            </w:r>
          </w:p>
        </w:tc>
      </w:tr>
      <w:tr w:rsidR="00C92215" w:rsidRPr="00683917" w14:paraId="7668208D" w14:textId="77777777" w:rsidTr="00137516">
        <w:trPr>
          <w:trHeight w:val="300"/>
          <w:jc w:val="center"/>
        </w:trPr>
        <w:tc>
          <w:tcPr>
            <w:tcW w:w="960" w:type="dxa"/>
            <w:tcBorders>
              <w:top w:val="nil"/>
              <w:left w:val="nil"/>
              <w:bottom w:val="single" w:sz="4" w:space="0" w:color="auto"/>
              <w:right w:val="nil"/>
            </w:tcBorders>
            <w:shd w:val="clear" w:color="auto" w:fill="auto"/>
            <w:noWrap/>
            <w:vAlign w:val="center"/>
            <w:hideMark/>
          </w:tcPr>
          <w:p w14:paraId="1EC06EB3"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 </w:t>
            </w:r>
          </w:p>
        </w:tc>
        <w:tc>
          <w:tcPr>
            <w:tcW w:w="962" w:type="dxa"/>
            <w:tcBorders>
              <w:top w:val="nil"/>
              <w:left w:val="nil"/>
              <w:bottom w:val="single" w:sz="4" w:space="0" w:color="auto"/>
              <w:right w:val="nil"/>
            </w:tcBorders>
            <w:shd w:val="clear" w:color="auto" w:fill="auto"/>
            <w:noWrap/>
            <w:vAlign w:val="center"/>
            <w:hideMark/>
          </w:tcPr>
          <w:p w14:paraId="57638558"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Outcrop</w:t>
            </w:r>
          </w:p>
        </w:tc>
        <w:tc>
          <w:tcPr>
            <w:tcW w:w="1438" w:type="dxa"/>
            <w:tcBorders>
              <w:top w:val="nil"/>
              <w:left w:val="nil"/>
              <w:bottom w:val="single" w:sz="4" w:space="0" w:color="auto"/>
              <w:right w:val="nil"/>
            </w:tcBorders>
            <w:shd w:val="clear" w:color="auto" w:fill="auto"/>
            <w:noWrap/>
            <w:vAlign w:val="center"/>
            <w:hideMark/>
          </w:tcPr>
          <w:p w14:paraId="1FFF6347"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Thin section</w:t>
            </w:r>
          </w:p>
        </w:tc>
        <w:tc>
          <w:tcPr>
            <w:tcW w:w="882" w:type="dxa"/>
            <w:tcBorders>
              <w:top w:val="nil"/>
              <w:left w:val="nil"/>
              <w:bottom w:val="single" w:sz="4" w:space="0" w:color="auto"/>
              <w:right w:val="nil"/>
            </w:tcBorders>
            <w:shd w:val="clear" w:color="auto" w:fill="auto"/>
            <w:noWrap/>
            <w:vAlign w:val="center"/>
            <w:hideMark/>
          </w:tcPr>
          <w:p w14:paraId="23905A42"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Outcrop</w:t>
            </w:r>
          </w:p>
        </w:tc>
        <w:tc>
          <w:tcPr>
            <w:tcW w:w="1318" w:type="dxa"/>
            <w:tcBorders>
              <w:top w:val="nil"/>
              <w:left w:val="nil"/>
              <w:bottom w:val="single" w:sz="4" w:space="0" w:color="auto"/>
              <w:right w:val="nil"/>
            </w:tcBorders>
            <w:shd w:val="clear" w:color="auto" w:fill="auto"/>
            <w:noWrap/>
            <w:vAlign w:val="center"/>
            <w:hideMark/>
          </w:tcPr>
          <w:p w14:paraId="73E36A0B"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Thin section</w:t>
            </w:r>
          </w:p>
        </w:tc>
      </w:tr>
      <w:tr w:rsidR="00C92215" w:rsidRPr="00683917" w14:paraId="404B7304" w14:textId="77777777" w:rsidTr="00137516">
        <w:trPr>
          <w:trHeight w:val="300"/>
          <w:jc w:val="center"/>
        </w:trPr>
        <w:tc>
          <w:tcPr>
            <w:tcW w:w="5560" w:type="dxa"/>
            <w:gridSpan w:val="5"/>
            <w:tcBorders>
              <w:top w:val="single" w:sz="4" w:space="0" w:color="auto"/>
              <w:left w:val="nil"/>
              <w:bottom w:val="single" w:sz="4" w:space="0" w:color="auto"/>
              <w:right w:val="nil"/>
            </w:tcBorders>
            <w:shd w:val="clear" w:color="auto" w:fill="auto"/>
            <w:noWrap/>
            <w:vAlign w:val="center"/>
            <w:hideMark/>
          </w:tcPr>
          <w:p w14:paraId="13B5CB78" w14:textId="77777777" w:rsidR="00C92215" w:rsidRPr="00683917" w:rsidRDefault="00C92215" w:rsidP="00137516">
            <w:pPr>
              <w:spacing w:after="0" w:line="240" w:lineRule="auto"/>
              <w:jc w:val="center"/>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Scale integration</w:t>
            </w:r>
          </w:p>
        </w:tc>
      </w:tr>
      <w:tr w:rsidR="00C92215" w:rsidRPr="00683917" w14:paraId="7F55D211"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298831AD" w14:textId="77777777" w:rsidR="00C92215" w:rsidRPr="00683917" w:rsidRDefault="00C92215" w:rsidP="00137516">
            <w:pPr>
              <w:spacing w:after="0" w:line="240" w:lineRule="auto"/>
              <w:jc w:val="center"/>
              <w:rPr>
                <w:rFonts w:ascii="Calibri" w:eastAsia="Times New Roman" w:hAnsi="Calibri" w:cs="Calibri"/>
                <w:color w:val="000000"/>
                <w:kern w:val="0"/>
                <w14:ligatures w14:val="none"/>
              </w:rPr>
            </w:pPr>
          </w:p>
        </w:tc>
        <w:tc>
          <w:tcPr>
            <w:tcW w:w="962" w:type="dxa"/>
            <w:tcBorders>
              <w:top w:val="nil"/>
              <w:left w:val="nil"/>
              <w:bottom w:val="nil"/>
              <w:right w:val="nil"/>
            </w:tcBorders>
            <w:shd w:val="clear" w:color="auto" w:fill="auto"/>
            <w:noWrap/>
            <w:vAlign w:val="center"/>
            <w:hideMark/>
          </w:tcPr>
          <w:p w14:paraId="68E68FCA"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2.08</w:t>
            </w:r>
          </w:p>
        </w:tc>
        <w:tc>
          <w:tcPr>
            <w:tcW w:w="1438" w:type="dxa"/>
            <w:tcBorders>
              <w:top w:val="nil"/>
              <w:left w:val="nil"/>
              <w:bottom w:val="nil"/>
              <w:right w:val="nil"/>
            </w:tcBorders>
            <w:shd w:val="clear" w:color="auto" w:fill="auto"/>
            <w:noWrap/>
            <w:vAlign w:val="center"/>
            <w:hideMark/>
          </w:tcPr>
          <w:p w14:paraId="70271F55"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73.13</w:t>
            </w:r>
          </w:p>
        </w:tc>
        <w:tc>
          <w:tcPr>
            <w:tcW w:w="882" w:type="dxa"/>
            <w:tcBorders>
              <w:top w:val="nil"/>
              <w:left w:val="nil"/>
              <w:bottom w:val="nil"/>
              <w:right w:val="nil"/>
            </w:tcBorders>
            <w:shd w:val="clear" w:color="auto" w:fill="auto"/>
            <w:noWrap/>
            <w:vAlign w:val="center"/>
            <w:hideMark/>
          </w:tcPr>
          <w:p w14:paraId="27E9EFC0"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0.21</w:t>
            </w:r>
          </w:p>
        </w:tc>
        <w:tc>
          <w:tcPr>
            <w:tcW w:w="1318" w:type="dxa"/>
            <w:tcBorders>
              <w:top w:val="nil"/>
              <w:left w:val="nil"/>
              <w:bottom w:val="nil"/>
              <w:right w:val="nil"/>
            </w:tcBorders>
            <w:shd w:val="clear" w:color="auto" w:fill="auto"/>
            <w:noWrap/>
            <w:vAlign w:val="center"/>
            <w:hideMark/>
          </w:tcPr>
          <w:p w14:paraId="549F5391"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7.31</w:t>
            </w:r>
          </w:p>
        </w:tc>
      </w:tr>
      <w:tr w:rsidR="00C92215" w:rsidRPr="00683917" w14:paraId="1D2B3DDF"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1A68C1B3"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Mw Low</w:t>
            </w:r>
          </w:p>
        </w:tc>
        <w:tc>
          <w:tcPr>
            <w:tcW w:w="962" w:type="dxa"/>
            <w:tcBorders>
              <w:top w:val="nil"/>
              <w:left w:val="nil"/>
              <w:bottom w:val="nil"/>
              <w:right w:val="nil"/>
            </w:tcBorders>
            <w:shd w:val="clear" w:color="auto" w:fill="auto"/>
            <w:noWrap/>
            <w:vAlign w:val="center"/>
            <w:hideMark/>
          </w:tcPr>
          <w:p w14:paraId="3FDBBCAE"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6.2</w:t>
            </w:r>
          </w:p>
        </w:tc>
        <w:tc>
          <w:tcPr>
            <w:tcW w:w="1438" w:type="dxa"/>
            <w:tcBorders>
              <w:top w:val="nil"/>
              <w:left w:val="nil"/>
              <w:bottom w:val="nil"/>
              <w:right w:val="nil"/>
            </w:tcBorders>
            <w:shd w:val="clear" w:color="auto" w:fill="auto"/>
            <w:noWrap/>
            <w:vAlign w:val="center"/>
            <w:hideMark/>
          </w:tcPr>
          <w:p w14:paraId="6BE23214"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7.53</w:t>
            </w:r>
          </w:p>
        </w:tc>
        <w:tc>
          <w:tcPr>
            <w:tcW w:w="882" w:type="dxa"/>
            <w:tcBorders>
              <w:top w:val="nil"/>
              <w:left w:val="nil"/>
              <w:bottom w:val="nil"/>
              <w:right w:val="nil"/>
            </w:tcBorders>
            <w:shd w:val="clear" w:color="auto" w:fill="auto"/>
            <w:noWrap/>
            <w:vAlign w:val="center"/>
            <w:hideMark/>
          </w:tcPr>
          <w:p w14:paraId="5FA8256C"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5.34</w:t>
            </w:r>
          </w:p>
        </w:tc>
        <w:tc>
          <w:tcPr>
            <w:tcW w:w="1318" w:type="dxa"/>
            <w:tcBorders>
              <w:top w:val="nil"/>
              <w:left w:val="nil"/>
              <w:bottom w:val="nil"/>
              <w:right w:val="nil"/>
            </w:tcBorders>
            <w:shd w:val="clear" w:color="auto" w:fill="auto"/>
            <w:noWrap/>
            <w:vAlign w:val="center"/>
            <w:hideMark/>
          </w:tcPr>
          <w:p w14:paraId="50B07953"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6.67</w:t>
            </w:r>
          </w:p>
        </w:tc>
      </w:tr>
      <w:tr w:rsidR="00C92215" w:rsidRPr="00683917" w14:paraId="13F94CBD" w14:textId="77777777" w:rsidTr="00137516">
        <w:trPr>
          <w:trHeight w:val="300"/>
          <w:jc w:val="center"/>
        </w:trPr>
        <w:tc>
          <w:tcPr>
            <w:tcW w:w="960" w:type="dxa"/>
            <w:tcBorders>
              <w:top w:val="nil"/>
              <w:left w:val="nil"/>
              <w:bottom w:val="single" w:sz="4" w:space="0" w:color="auto"/>
              <w:right w:val="nil"/>
            </w:tcBorders>
            <w:shd w:val="clear" w:color="auto" w:fill="auto"/>
            <w:noWrap/>
            <w:vAlign w:val="center"/>
            <w:hideMark/>
          </w:tcPr>
          <w:p w14:paraId="1EF149E3"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Mw High</w:t>
            </w:r>
          </w:p>
        </w:tc>
        <w:tc>
          <w:tcPr>
            <w:tcW w:w="962" w:type="dxa"/>
            <w:tcBorders>
              <w:top w:val="nil"/>
              <w:left w:val="nil"/>
              <w:bottom w:val="single" w:sz="4" w:space="0" w:color="auto"/>
              <w:right w:val="nil"/>
            </w:tcBorders>
            <w:shd w:val="clear" w:color="auto" w:fill="auto"/>
            <w:noWrap/>
            <w:vAlign w:val="center"/>
            <w:hideMark/>
          </w:tcPr>
          <w:p w14:paraId="29AC53F2"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6.41</w:t>
            </w:r>
          </w:p>
        </w:tc>
        <w:tc>
          <w:tcPr>
            <w:tcW w:w="1438" w:type="dxa"/>
            <w:tcBorders>
              <w:top w:val="nil"/>
              <w:left w:val="nil"/>
              <w:bottom w:val="single" w:sz="4" w:space="0" w:color="auto"/>
              <w:right w:val="nil"/>
            </w:tcBorders>
            <w:shd w:val="clear" w:color="auto" w:fill="auto"/>
            <w:noWrap/>
            <w:vAlign w:val="center"/>
            <w:hideMark/>
          </w:tcPr>
          <w:p w14:paraId="531D3385"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7.78</w:t>
            </w:r>
          </w:p>
        </w:tc>
        <w:tc>
          <w:tcPr>
            <w:tcW w:w="882" w:type="dxa"/>
            <w:tcBorders>
              <w:top w:val="nil"/>
              <w:left w:val="nil"/>
              <w:bottom w:val="single" w:sz="4" w:space="0" w:color="auto"/>
              <w:right w:val="nil"/>
            </w:tcBorders>
            <w:shd w:val="clear" w:color="auto" w:fill="auto"/>
            <w:noWrap/>
            <w:vAlign w:val="center"/>
            <w:hideMark/>
          </w:tcPr>
          <w:p w14:paraId="224E4F88"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5.53</w:t>
            </w:r>
          </w:p>
        </w:tc>
        <w:tc>
          <w:tcPr>
            <w:tcW w:w="1318" w:type="dxa"/>
            <w:tcBorders>
              <w:top w:val="nil"/>
              <w:left w:val="nil"/>
              <w:bottom w:val="single" w:sz="4" w:space="0" w:color="auto"/>
              <w:right w:val="nil"/>
            </w:tcBorders>
            <w:shd w:val="clear" w:color="auto" w:fill="auto"/>
            <w:noWrap/>
            <w:vAlign w:val="center"/>
            <w:hideMark/>
          </w:tcPr>
          <w:p w14:paraId="314DE28F" w14:textId="77777777" w:rsidR="00C92215" w:rsidRPr="00683917" w:rsidRDefault="00C92215" w:rsidP="00137516">
            <w:pPr>
              <w:spacing w:after="0" w:line="240" w:lineRule="auto"/>
              <w:jc w:val="right"/>
              <w:rPr>
                <w:rFonts w:ascii="Calibri" w:eastAsia="Times New Roman" w:hAnsi="Calibri" w:cs="Calibri"/>
                <w:color w:val="000000"/>
                <w:kern w:val="0"/>
                <w14:ligatures w14:val="none"/>
              </w:rPr>
            </w:pPr>
            <w:r w:rsidRPr="00683917">
              <w:rPr>
                <w:rFonts w:ascii="Calibri" w:eastAsia="Times New Roman" w:hAnsi="Calibri" w:cs="Calibri"/>
                <w:color w:val="000000"/>
                <w:kern w:val="0"/>
                <w14:ligatures w14:val="none"/>
              </w:rPr>
              <w:t>6.89</w:t>
            </w:r>
          </w:p>
        </w:tc>
      </w:tr>
      <w:tr w:rsidR="00C92215" w:rsidRPr="00683917" w14:paraId="7E403B32" w14:textId="77777777" w:rsidTr="00137516">
        <w:trPr>
          <w:trHeight w:val="300"/>
          <w:jc w:val="center"/>
        </w:trPr>
        <w:tc>
          <w:tcPr>
            <w:tcW w:w="5560" w:type="dxa"/>
            <w:gridSpan w:val="5"/>
            <w:tcBorders>
              <w:top w:val="single" w:sz="4" w:space="0" w:color="auto"/>
              <w:left w:val="nil"/>
              <w:bottom w:val="single" w:sz="4" w:space="0" w:color="auto"/>
              <w:right w:val="nil"/>
            </w:tcBorders>
            <w:shd w:val="clear" w:color="auto" w:fill="auto"/>
            <w:noWrap/>
            <w:vAlign w:val="center"/>
            <w:hideMark/>
          </w:tcPr>
          <w:p w14:paraId="5E019865" w14:textId="77777777" w:rsidR="00C92215" w:rsidRPr="00683917" w:rsidRDefault="00C92215" w:rsidP="00137516">
            <w:pPr>
              <w:spacing w:after="0" w:line="240" w:lineRule="auto"/>
              <w:jc w:val="center"/>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Individual PSD</w:t>
            </w:r>
          </w:p>
        </w:tc>
      </w:tr>
      <w:tr w:rsidR="00C92215" w:rsidRPr="00683917" w14:paraId="45803CCB"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012BEB92"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min</w:t>
            </w:r>
          </w:p>
        </w:tc>
        <w:tc>
          <w:tcPr>
            <w:tcW w:w="962" w:type="dxa"/>
            <w:tcBorders>
              <w:top w:val="nil"/>
              <w:left w:val="nil"/>
              <w:bottom w:val="nil"/>
              <w:right w:val="nil"/>
            </w:tcBorders>
            <w:shd w:val="clear" w:color="auto" w:fill="auto"/>
            <w:noWrap/>
            <w:vAlign w:val="center"/>
            <w:hideMark/>
          </w:tcPr>
          <w:p w14:paraId="0CF90401"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1.12</w:t>
            </w:r>
          </w:p>
        </w:tc>
        <w:tc>
          <w:tcPr>
            <w:tcW w:w="1438" w:type="dxa"/>
            <w:tcBorders>
              <w:top w:val="nil"/>
              <w:left w:val="nil"/>
              <w:bottom w:val="nil"/>
              <w:right w:val="nil"/>
            </w:tcBorders>
            <w:shd w:val="clear" w:color="auto" w:fill="auto"/>
            <w:noWrap/>
            <w:vAlign w:val="center"/>
            <w:hideMark/>
          </w:tcPr>
          <w:p w14:paraId="481B442D"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43.40</w:t>
            </w:r>
          </w:p>
        </w:tc>
        <w:tc>
          <w:tcPr>
            <w:tcW w:w="882" w:type="dxa"/>
            <w:tcBorders>
              <w:top w:val="nil"/>
              <w:left w:val="nil"/>
              <w:bottom w:val="nil"/>
              <w:right w:val="nil"/>
            </w:tcBorders>
            <w:shd w:val="clear" w:color="auto" w:fill="auto"/>
            <w:noWrap/>
            <w:vAlign w:val="center"/>
            <w:hideMark/>
          </w:tcPr>
          <w:p w14:paraId="59133EF6"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0.11</w:t>
            </w:r>
          </w:p>
        </w:tc>
        <w:tc>
          <w:tcPr>
            <w:tcW w:w="1318" w:type="dxa"/>
            <w:tcBorders>
              <w:top w:val="nil"/>
              <w:left w:val="nil"/>
              <w:bottom w:val="nil"/>
              <w:right w:val="nil"/>
            </w:tcBorders>
            <w:shd w:val="clear" w:color="auto" w:fill="auto"/>
            <w:noWrap/>
            <w:vAlign w:val="center"/>
            <w:hideMark/>
          </w:tcPr>
          <w:p w14:paraId="526345F9"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4.34</w:t>
            </w:r>
          </w:p>
        </w:tc>
      </w:tr>
      <w:tr w:rsidR="00C92215" w:rsidRPr="00683917" w14:paraId="21A195C2"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63A921B1"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max</w:t>
            </w:r>
          </w:p>
        </w:tc>
        <w:tc>
          <w:tcPr>
            <w:tcW w:w="962" w:type="dxa"/>
            <w:tcBorders>
              <w:top w:val="nil"/>
              <w:left w:val="nil"/>
              <w:bottom w:val="nil"/>
              <w:right w:val="nil"/>
            </w:tcBorders>
            <w:shd w:val="clear" w:color="auto" w:fill="auto"/>
            <w:noWrap/>
            <w:vAlign w:val="center"/>
            <w:hideMark/>
          </w:tcPr>
          <w:p w14:paraId="6A7E7D5B"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45.60</w:t>
            </w:r>
          </w:p>
        </w:tc>
        <w:tc>
          <w:tcPr>
            <w:tcW w:w="1438" w:type="dxa"/>
            <w:tcBorders>
              <w:top w:val="nil"/>
              <w:left w:val="nil"/>
              <w:bottom w:val="nil"/>
              <w:right w:val="nil"/>
            </w:tcBorders>
            <w:shd w:val="clear" w:color="auto" w:fill="auto"/>
            <w:noWrap/>
            <w:vAlign w:val="center"/>
            <w:hideMark/>
          </w:tcPr>
          <w:p w14:paraId="119C0825"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172.00</w:t>
            </w:r>
          </w:p>
        </w:tc>
        <w:tc>
          <w:tcPr>
            <w:tcW w:w="882" w:type="dxa"/>
            <w:tcBorders>
              <w:top w:val="nil"/>
              <w:left w:val="nil"/>
              <w:bottom w:val="nil"/>
              <w:right w:val="nil"/>
            </w:tcBorders>
            <w:shd w:val="clear" w:color="auto" w:fill="auto"/>
            <w:noWrap/>
            <w:vAlign w:val="center"/>
            <w:hideMark/>
          </w:tcPr>
          <w:p w14:paraId="29F11F20"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4.56</w:t>
            </w:r>
          </w:p>
        </w:tc>
        <w:tc>
          <w:tcPr>
            <w:tcW w:w="1318" w:type="dxa"/>
            <w:tcBorders>
              <w:top w:val="nil"/>
              <w:left w:val="nil"/>
              <w:bottom w:val="nil"/>
              <w:right w:val="nil"/>
            </w:tcBorders>
            <w:shd w:val="clear" w:color="auto" w:fill="auto"/>
            <w:noWrap/>
            <w:vAlign w:val="center"/>
            <w:hideMark/>
          </w:tcPr>
          <w:p w14:paraId="2243E47F"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17.20</w:t>
            </w:r>
          </w:p>
        </w:tc>
      </w:tr>
      <w:tr w:rsidR="00C92215" w:rsidRPr="00683917" w14:paraId="5E830B1D"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4EFB011A"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average</w:t>
            </w:r>
          </w:p>
        </w:tc>
        <w:tc>
          <w:tcPr>
            <w:tcW w:w="962" w:type="dxa"/>
            <w:tcBorders>
              <w:top w:val="nil"/>
              <w:left w:val="nil"/>
              <w:bottom w:val="nil"/>
              <w:right w:val="nil"/>
            </w:tcBorders>
            <w:shd w:val="clear" w:color="auto" w:fill="auto"/>
            <w:noWrap/>
            <w:vAlign w:val="center"/>
            <w:hideMark/>
          </w:tcPr>
          <w:p w14:paraId="0E66232E"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8.36</w:t>
            </w:r>
          </w:p>
        </w:tc>
        <w:tc>
          <w:tcPr>
            <w:tcW w:w="1438" w:type="dxa"/>
            <w:tcBorders>
              <w:top w:val="nil"/>
              <w:left w:val="nil"/>
              <w:bottom w:val="nil"/>
              <w:right w:val="nil"/>
            </w:tcBorders>
            <w:shd w:val="clear" w:color="auto" w:fill="auto"/>
            <w:noWrap/>
            <w:vAlign w:val="center"/>
            <w:hideMark/>
          </w:tcPr>
          <w:p w14:paraId="7F60624A"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287.00</w:t>
            </w:r>
          </w:p>
        </w:tc>
        <w:tc>
          <w:tcPr>
            <w:tcW w:w="882" w:type="dxa"/>
            <w:tcBorders>
              <w:top w:val="nil"/>
              <w:left w:val="nil"/>
              <w:bottom w:val="nil"/>
              <w:right w:val="nil"/>
            </w:tcBorders>
            <w:shd w:val="clear" w:color="auto" w:fill="auto"/>
            <w:noWrap/>
            <w:vAlign w:val="center"/>
            <w:hideMark/>
          </w:tcPr>
          <w:p w14:paraId="2FA7B522"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0.84</w:t>
            </w:r>
          </w:p>
        </w:tc>
        <w:tc>
          <w:tcPr>
            <w:tcW w:w="1318" w:type="dxa"/>
            <w:tcBorders>
              <w:top w:val="nil"/>
              <w:left w:val="nil"/>
              <w:bottom w:val="nil"/>
              <w:right w:val="nil"/>
            </w:tcBorders>
            <w:shd w:val="clear" w:color="auto" w:fill="auto"/>
            <w:noWrap/>
            <w:vAlign w:val="center"/>
            <w:hideMark/>
          </w:tcPr>
          <w:p w14:paraId="4FDCA3C1"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28.70</w:t>
            </w:r>
          </w:p>
        </w:tc>
      </w:tr>
      <w:tr w:rsidR="00C92215" w:rsidRPr="00683917" w14:paraId="0D39D945" w14:textId="77777777" w:rsidTr="00137516">
        <w:trPr>
          <w:trHeight w:val="300"/>
          <w:jc w:val="center"/>
        </w:trPr>
        <w:tc>
          <w:tcPr>
            <w:tcW w:w="960" w:type="dxa"/>
            <w:tcBorders>
              <w:top w:val="nil"/>
              <w:left w:val="nil"/>
              <w:bottom w:val="nil"/>
              <w:right w:val="nil"/>
            </w:tcBorders>
            <w:shd w:val="clear" w:color="auto" w:fill="auto"/>
            <w:noWrap/>
            <w:vAlign w:val="center"/>
            <w:hideMark/>
          </w:tcPr>
          <w:p w14:paraId="644E35DE"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Mw Low</w:t>
            </w:r>
          </w:p>
        </w:tc>
        <w:tc>
          <w:tcPr>
            <w:tcW w:w="962" w:type="dxa"/>
            <w:tcBorders>
              <w:top w:val="nil"/>
              <w:left w:val="nil"/>
              <w:bottom w:val="nil"/>
              <w:right w:val="nil"/>
            </w:tcBorders>
            <w:shd w:val="clear" w:color="auto" w:fill="auto"/>
            <w:noWrap/>
            <w:vAlign w:val="center"/>
            <w:hideMark/>
          </w:tcPr>
          <w:p w14:paraId="277579CA"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6.70</w:t>
            </w:r>
          </w:p>
        </w:tc>
        <w:tc>
          <w:tcPr>
            <w:tcW w:w="1438" w:type="dxa"/>
            <w:tcBorders>
              <w:top w:val="nil"/>
              <w:left w:val="nil"/>
              <w:bottom w:val="nil"/>
              <w:right w:val="nil"/>
            </w:tcBorders>
            <w:shd w:val="clear" w:color="auto" w:fill="auto"/>
            <w:noWrap/>
            <w:vAlign w:val="center"/>
            <w:hideMark/>
          </w:tcPr>
          <w:p w14:paraId="60CE02B0"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8.00</w:t>
            </w:r>
          </w:p>
        </w:tc>
        <w:tc>
          <w:tcPr>
            <w:tcW w:w="882" w:type="dxa"/>
            <w:tcBorders>
              <w:top w:val="nil"/>
              <w:left w:val="nil"/>
              <w:bottom w:val="nil"/>
              <w:right w:val="nil"/>
            </w:tcBorders>
            <w:shd w:val="clear" w:color="auto" w:fill="auto"/>
            <w:noWrap/>
            <w:vAlign w:val="center"/>
            <w:hideMark/>
          </w:tcPr>
          <w:p w14:paraId="5A49FEA4"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5.80</w:t>
            </w:r>
          </w:p>
        </w:tc>
        <w:tc>
          <w:tcPr>
            <w:tcW w:w="1318" w:type="dxa"/>
            <w:tcBorders>
              <w:top w:val="nil"/>
              <w:left w:val="nil"/>
              <w:bottom w:val="nil"/>
              <w:right w:val="nil"/>
            </w:tcBorders>
            <w:shd w:val="clear" w:color="auto" w:fill="auto"/>
            <w:noWrap/>
            <w:vAlign w:val="center"/>
            <w:hideMark/>
          </w:tcPr>
          <w:p w14:paraId="63BAB836"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7.10</w:t>
            </w:r>
          </w:p>
        </w:tc>
      </w:tr>
      <w:tr w:rsidR="00C92215" w:rsidRPr="00683917" w14:paraId="420FE501" w14:textId="77777777" w:rsidTr="00137516">
        <w:trPr>
          <w:trHeight w:val="300"/>
          <w:jc w:val="center"/>
        </w:trPr>
        <w:tc>
          <w:tcPr>
            <w:tcW w:w="960" w:type="dxa"/>
            <w:tcBorders>
              <w:top w:val="nil"/>
              <w:left w:val="nil"/>
              <w:bottom w:val="single" w:sz="4" w:space="0" w:color="auto"/>
              <w:right w:val="nil"/>
            </w:tcBorders>
            <w:shd w:val="clear" w:color="auto" w:fill="auto"/>
            <w:noWrap/>
            <w:vAlign w:val="center"/>
            <w:hideMark/>
          </w:tcPr>
          <w:p w14:paraId="7F50E3E2" w14:textId="77777777" w:rsidR="00C92215" w:rsidRPr="00683917" w:rsidRDefault="00C92215" w:rsidP="00137516">
            <w:pPr>
              <w:spacing w:after="0" w:line="240" w:lineRule="auto"/>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Mw High</w:t>
            </w:r>
          </w:p>
        </w:tc>
        <w:tc>
          <w:tcPr>
            <w:tcW w:w="962" w:type="dxa"/>
            <w:tcBorders>
              <w:top w:val="nil"/>
              <w:left w:val="nil"/>
              <w:bottom w:val="single" w:sz="4" w:space="0" w:color="auto"/>
              <w:right w:val="nil"/>
            </w:tcBorders>
            <w:shd w:val="clear" w:color="auto" w:fill="auto"/>
            <w:noWrap/>
            <w:vAlign w:val="center"/>
            <w:hideMark/>
          </w:tcPr>
          <w:p w14:paraId="5D4361AA"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6.90</w:t>
            </w:r>
          </w:p>
        </w:tc>
        <w:tc>
          <w:tcPr>
            <w:tcW w:w="1438" w:type="dxa"/>
            <w:tcBorders>
              <w:top w:val="nil"/>
              <w:left w:val="nil"/>
              <w:bottom w:val="single" w:sz="4" w:space="0" w:color="auto"/>
              <w:right w:val="nil"/>
            </w:tcBorders>
            <w:shd w:val="clear" w:color="auto" w:fill="auto"/>
            <w:noWrap/>
            <w:vAlign w:val="center"/>
            <w:hideMark/>
          </w:tcPr>
          <w:p w14:paraId="7D06ADAA"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8.30</w:t>
            </w:r>
          </w:p>
        </w:tc>
        <w:tc>
          <w:tcPr>
            <w:tcW w:w="882" w:type="dxa"/>
            <w:tcBorders>
              <w:top w:val="nil"/>
              <w:left w:val="nil"/>
              <w:bottom w:val="single" w:sz="4" w:space="0" w:color="auto"/>
              <w:right w:val="nil"/>
            </w:tcBorders>
            <w:shd w:val="clear" w:color="auto" w:fill="auto"/>
            <w:noWrap/>
            <w:vAlign w:val="center"/>
            <w:hideMark/>
          </w:tcPr>
          <w:p w14:paraId="04415D14"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6.00</w:t>
            </w:r>
          </w:p>
        </w:tc>
        <w:tc>
          <w:tcPr>
            <w:tcW w:w="1318" w:type="dxa"/>
            <w:tcBorders>
              <w:top w:val="nil"/>
              <w:left w:val="nil"/>
              <w:bottom w:val="single" w:sz="4" w:space="0" w:color="auto"/>
              <w:right w:val="nil"/>
            </w:tcBorders>
            <w:shd w:val="clear" w:color="auto" w:fill="auto"/>
            <w:noWrap/>
            <w:vAlign w:val="center"/>
            <w:hideMark/>
          </w:tcPr>
          <w:p w14:paraId="5A9C87BB" w14:textId="77777777" w:rsidR="00C92215" w:rsidRPr="00683917" w:rsidRDefault="00C92215" w:rsidP="00137516">
            <w:pPr>
              <w:spacing w:after="0" w:line="240" w:lineRule="auto"/>
              <w:jc w:val="right"/>
              <w:rPr>
                <w:rFonts w:ascii="Times New Roman" w:eastAsia="Times New Roman" w:hAnsi="Times New Roman" w:cs="Times New Roman"/>
                <w:color w:val="000000"/>
                <w:kern w:val="0"/>
                <w:sz w:val="20"/>
                <w:szCs w:val="20"/>
                <w14:ligatures w14:val="none"/>
              </w:rPr>
            </w:pPr>
            <w:r w:rsidRPr="00683917">
              <w:rPr>
                <w:rFonts w:ascii="Times New Roman" w:eastAsia="Times New Roman" w:hAnsi="Times New Roman" w:cs="Times New Roman"/>
                <w:color w:val="000000"/>
                <w:kern w:val="0"/>
                <w:sz w:val="20"/>
                <w:szCs w:val="20"/>
                <w14:ligatures w14:val="none"/>
              </w:rPr>
              <w:t>7.40</w:t>
            </w:r>
          </w:p>
        </w:tc>
      </w:tr>
    </w:tbl>
    <w:p w14:paraId="6BCFA021" w14:textId="77777777" w:rsidR="00C92215" w:rsidRDefault="00C92215">
      <w:pPr>
        <w:rPr>
          <w:rFonts w:ascii="Times New Roman" w:hAnsi="Times New Roman" w:cs="Times New Roman"/>
          <w:i/>
          <w:iCs/>
          <w:sz w:val="20"/>
          <w:szCs w:val="20"/>
        </w:rPr>
      </w:pPr>
      <w:r>
        <w:rPr>
          <w:rFonts w:ascii="Times New Roman" w:hAnsi="Times New Roman" w:cs="Times New Roman"/>
          <w:sz w:val="20"/>
          <w:szCs w:val="20"/>
        </w:rPr>
        <w:br w:type="page"/>
      </w:r>
    </w:p>
    <w:p w14:paraId="275A3B18" w14:textId="6E8F5E89" w:rsidR="009210CF" w:rsidRPr="00E240BA" w:rsidRDefault="009210CF" w:rsidP="009210CF">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sidR="00C92215">
        <w:rPr>
          <w:rFonts w:ascii="Times New Roman" w:hAnsi="Times New Roman" w:cs="Times New Roman"/>
          <w:color w:val="auto"/>
          <w:sz w:val="20"/>
          <w:szCs w:val="20"/>
        </w:rPr>
        <w:t>2</w:t>
      </w:r>
      <w:r w:rsidRPr="00E240BA">
        <w:rPr>
          <w:rFonts w:ascii="Times New Roman" w:hAnsi="Times New Roman" w:cs="Times New Roman"/>
          <w:color w:val="auto"/>
          <w:sz w:val="20"/>
          <w:szCs w:val="20"/>
        </w:rPr>
        <w:t xml:space="preserve">. </w:t>
      </w:r>
      <w:r w:rsidRPr="00E240BA">
        <w:rPr>
          <w:rFonts w:ascii="Times New Roman" w:hAnsi="Times New Roman" w:cs="Times New Roman"/>
          <w:b/>
          <w:bCs/>
          <w:color w:val="auto"/>
          <w:sz w:val="20"/>
          <w:szCs w:val="20"/>
        </w:rPr>
        <w:t>Representative composition of Arsenopyrite from core to rim</w:t>
      </w:r>
      <w:r w:rsidRPr="00E240BA">
        <w:rPr>
          <w:rFonts w:ascii="Times New Roman" w:hAnsi="Times New Roman" w:cs="Times New Roman"/>
          <w:color w:val="auto"/>
          <w:sz w:val="20"/>
          <w:szCs w:val="20"/>
        </w:rPr>
        <w:t>. Atomic percentage (At%) is used to determine the temperature in (Supplementary Fig. 2)</w:t>
      </w:r>
    </w:p>
    <w:tbl>
      <w:tblPr>
        <w:tblW w:w="13200" w:type="dxa"/>
        <w:jc w:val="center"/>
        <w:tblLayout w:type="fixed"/>
        <w:tblCellMar>
          <w:left w:w="30" w:type="dxa"/>
          <w:right w:w="30" w:type="dxa"/>
        </w:tblCellMar>
        <w:tblLook w:val="04A0" w:firstRow="1" w:lastRow="0" w:firstColumn="1" w:lastColumn="0" w:noHBand="0" w:noVBand="1"/>
      </w:tblPr>
      <w:tblGrid>
        <w:gridCol w:w="1515"/>
        <w:gridCol w:w="1514"/>
        <w:gridCol w:w="1515"/>
        <w:gridCol w:w="1516"/>
        <w:gridCol w:w="1515"/>
        <w:gridCol w:w="1514"/>
        <w:gridCol w:w="1515"/>
        <w:gridCol w:w="1516"/>
        <w:gridCol w:w="1080"/>
      </w:tblGrid>
      <w:tr w:rsidR="00276289" w:rsidRPr="00276289" w14:paraId="689F6C79" w14:textId="77777777" w:rsidTr="003916ED">
        <w:trPr>
          <w:trHeight w:val="300"/>
          <w:jc w:val="center"/>
        </w:trPr>
        <w:tc>
          <w:tcPr>
            <w:tcW w:w="1515" w:type="dxa"/>
            <w:tcBorders>
              <w:top w:val="single" w:sz="6" w:space="0" w:color="000000"/>
              <w:bottom w:val="single" w:sz="6" w:space="0" w:color="000000"/>
            </w:tcBorders>
          </w:tcPr>
          <w:p w14:paraId="32A67F10"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4" w:type="dxa"/>
            <w:tcBorders>
              <w:top w:val="single" w:sz="6" w:space="0" w:color="000000"/>
              <w:bottom w:val="single" w:sz="6" w:space="0" w:color="000000"/>
            </w:tcBorders>
          </w:tcPr>
          <w:p w14:paraId="3865535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Core</w:t>
            </w:r>
          </w:p>
        </w:tc>
        <w:tc>
          <w:tcPr>
            <w:tcW w:w="1515" w:type="dxa"/>
            <w:tcBorders>
              <w:top w:val="single" w:sz="6" w:space="0" w:color="000000"/>
              <w:bottom w:val="single" w:sz="6" w:space="0" w:color="000000"/>
            </w:tcBorders>
          </w:tcPr>
          <w:p w14:paraId="223C0CB9"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6" w:type="dxa"/>
            <w:tcBorders>
              <w:top w:val="single" w:sz="6" w:space="0" w:color="000000"/>
              <w:bottom w:val="single" w:sz="6" w:space="0" w:color="000000"/>
            </w:tcBorders>
          </w:tcPr>
          <w:p w14:paraId="74C0EB4C"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5" w:type="dxa"/>
            <w:tcBorders>
              <w:top w:val="single" w:sz="6" w:space="0" w:color="000000"/>
              <w:bottom w:val="single" w:sz="6" w:space="0" w:color="000000"/>
            </w:tcBorders>
          </w:tcPr>
          <w:p w14:paraId="280FB780"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4" w:type="dxa"/>
            <w:tcBorders>
              <w:top w:val="single" w:sz="6" w:space="0" w:color="000000"/>
              <w:bottom w:val="single" w:sz="6" w:space="0" w:color="000000"/>
            </w:tcBorders>
          </w:tcPr>
          <w:p w14:paraId="7DFF6AC2"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5" w:type="dxa"/>
            <w:tcBorders>
              <w:top w:val="single" w:sz="6" w:space="0" w:color="000000"/>
              <w:bottom w:val="single" w:sz="6" w:space="0" w:color="000000"/>
            </w:tcBorders>
          </w:tcPr>
          <w:p w14:paraId="4AAF9CB2"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516" w:type="dxa"/>
            <w:tcBorders>
              <w:top w:val="single" w:sz="6" w:space="0" w:color="000000"/>
              <w:bottom w:val="single" w:sz="6" w:space="0" w:color="000000"/>
            </w:tcBorders>
          </w:tcPr>
          <w:p w14:paraId="4E1B3B32"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080" w:type="dxa"/>
            <w:tcBorders>
              <w:top w:val="single" w:sz="6" w:space="0" w:color="000000"/>
              <w:bottom w:val="single" w:sz="6" w:space="0" w:color="000000"/>
            </w:tcBorders>
          </w:tcPr>
          <w:p w14:paraId="05BAC18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Rim</w:t>
            </w:r>
          </w:p>
        </w:tc>
      </w:tr>
      <w:tr w:rsidR="00276289" w:rsidRPr="00276289" w14:paraId="437BC0A6" w14:textId="77777777" w:rsidTr="003916ED">
        <w:trPr>
          <w:trHeight w:val="300"/>
          <w:jc w:val="center"/>
        </w:trPr>
        <w:tc>
          <w:tcPr>
            <w:tcW w:w="1515" w:type="dxa"/>
          </w:tcPr>
          <w:p w14:paraId="471157A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   Fe    </w:t>
            </w:r>
          </w:p>
        </w:tc>
        <w:tc>
          <w:tcPr>
            <w:tcW w:w="1514" w:type="dxa"/>
          </w:tcPr>
          <w:p w14:paraId="7F5C07D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36.46 </w:t>
            </w:r>
          </w:p>
        </w:tc>
        <w:tc>
          <w:tcPr>
            <w:tcW w:w="1515" w:type="dxa"/>
          </w:tcPr>
          <w:p w14:paraId="08A4C39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36.05 </w:t>
            </w:r>
          </w:p>
        </w:tc>
        <w:tc>
          <w:tcPr>
            <w:tcW w:w="1516" w:type="dxa"/>
          </w:tcPr>
          <w:p w14:paraId="33EFD8E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35.99 </w:t>
            </w:r>
          </w:p>
        </w:tc>
        <w:tc>
          <w:tcPr>
            <w:tcW w:w="1515" w:type="dxa"/>
          </w:tcPr>
          <w:p w14:paraId="13613BD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35.71 </w:t>
            </w:r>
          </w:p>
        </w:tc>
        <w:tc>
          <w:tcPr>
            <w:tcW w:w="1514" w:type="dxa"/>
          </w:tcPr>
          <w:p w14:paraId="144053E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36.02 </w:t>
            </w:r>
          </w:p>
        </w:tc>
        <w:tc>
          <w:tcPr>
            <w:tcW w:w="1515" w:type="dxa"/>
          </w:tcPr>
          <w:p w14:paraId="02DEDD3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35.71 </w:t>
            </w:r>
          </w:p>
        </w:tc>
        <w:tc>
          <w:tcPr>
            <w:tcW w:w="1516" w:type="dxa"/>
          </w:tcPr>
          <w:p w14:paraId="3AD9783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35.26 </w:t>
            </w:r>
          </w:p>
        </w:tc>
        <w:tc>
          <w:tcPr>
            <w:tcW w:w="1080" w:type="dxa"/>
          </w:tcPr>
          <w:p w14:paraId="43E5019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35.32 </w:t>
            </w:r>
          </w:p>
        </w:tc>
      </w:tr>
      <w:tr w:rsidR="00276289" w:rsidRPr="00276289" w14:paraId="1D2B02CA" w14:textId="77777777" w:rsidTr="003916ED">
        <w:trPr>
          <w:trHeight w:val="300"/>
          <w:jc w:val="center"/>
        </w:trPr>
        <w:tc>
          <w:tcPr>
            <w:tcW w:w="1515" w:type="dxa"/>
          </w:tcPr>
          <w:p w14:paraId="7D9A674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   S     </w:t>
            </w:r>
          </w:p>
        </w:tc>
        <w:tc>
          <w:tcPr>
            <w:tcW w:w="1514" w:type="dxa"/>
          </w:tcPr>
          <w:p w14:paraId="27784FB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24.02 </w:t>
            </w:r>
          </w:p>
        </w:tc>
        <w:tc>
          <w:tcPr>
            <w:tcW w:w="1515" w:type="dxa"/>
          </w:tcPr>
          <w:p w14:paraId="4D9688A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23.85 </w:t>
            </w:r>
          </w:p>
        </w:tc>
        <w:tc>
          <w:tcPr>
            <w:tcW w:w="1516" w:type="dxa"/>
          </w:tcPr>
          <w:p w14:paraId="230452F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22.84 </w:t>
            </w:r>
          </w:p>
        </w:tc>
        <w:tc>
          <w:tcPr>
            <w:tcW w:w="1515" w:type="dxa"/>
          </w:tcPr>
          <w:p w14:paraId="77EFBCB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22.77 </w:t>
            </w:r>
          </w:p>
        </w:tc>
        <w:tc>
          <w:tcPr>
            <w:tcW w:w="1514" w:type="dxa"/>
          </w:tcPr>
          <w:p w14:paraId="4326F93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22.77 </w:t>
            </w:r>
          </w:p>
        </w:tc>
        <w:tc>
          <w:tcPr>
            <w:tcW w:w="1515" w:type="dxa"/>
          </w:tcPr>
          <w:p w14:paraId="49348DA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22.74 </w:t>
            </w:r>
          </w:p>
        </w:tc>
        <w:tc>
          <w:tcPr>
            <w:tcW w:w="1516" w:type="dxa"/>
          </w:tcPr>
          <w:p w14:paraId="002BEAA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22.15 </w:t>
            </w:r>
          </w:p>
        </w:tc>
        <w:tc>
          <w:tcPr>
            <w:tcW w:w="1080" w:type="dxa"/>
          </w:tcPr>
          <w:p w14:paraId="2FD518F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22.36 </w:t>
            </w:r>
          </w:p>
        </w:tc>
      </w:tr>
      <w:tr w:rsidR="00276289" w:rsidRPr="00276289" w14:paraId="51347CFD" w14:textId="77777777" w:rsidTr="003916ED">
        <w:trPr>
          <w:trHeight w:val="300"/>
          <w:jc w:val="center"/>
        </w:trPr>
        <w:tc>
          <w:tcPr>
            <w:tcW w:w="1515" w:type="dxa"/>
          </w:tcPr>
          <w:p w14:paraId="1616BF7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   As    </w:t>
            </w:r>
          </w:p>
        </w:tc>
        <w:tc>
          <w:tcPr>
            <w:tcW w:w="1514" w:type="dxa"/>
          </w:tcPr>
          <w:p w14:paraId="01BB5DD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39.37 </w:t>
            </w:r>
          </w:p>
        </w:tc>
        <w:tc>
          <w:tcPr>
            <w:tcW w:w="1515" w:type="dxa"/>
          </w:tcPr>
          <w:p w14:paraId="0C0CE53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39.83 </w:t>
            </w:r>
          </w:p>
        </w:tc>
        <w:tc>
          <w:tcPr>
            <w:tcW w:w="1516" w:type="dxa"/>
          </w:tcPr>
          <w:p w14:paraId="65C33BF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43.02 </w:t>
            </w:r>
          </w:p>
        </w:tc>
        <w:tc>
          <w:tcPr>
            <w:tcW w:w="1515" w:type="dxa"/>
          </w:tcPr>
          <w:p w14:paraId="0DE0454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41.27 </w:t>
            </w:r>
          </w:p>
        </w:tc>
        <w:tc>
          <w:tcPr>
            <w:tcW w:w="1514" w:type="dxa"/>
          </w:tcPr>
          <w:p w14:paraId="6FCF1F3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42.28 </w:t>
            </w:r>
          </w:p>
        </w:tc>
        <w:tc>
          <w:tcPr>
            <w:tcW w:w="1515" w:type="dxa"/>
          </w:tcPr>
          <w:p w14:paraId="77EE74E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41.97 </w:t>
            </w:r>
          </w:p>
        </w:tc>
        <w:tc>
          <w:tcPr>
            <w:tcW w:w="1516" w:type="dxa"/>
          </w:tcPr>
          <w:p w14:paraId="1208750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42.10 </w:t>
            </w:r>
          </w:p>
        </w:tc>
        <w:tc>
          <w:tcPr>
            <w:tcW w:w="1080" w:type="dxa"/>
          </w:tcPr>
          <w:p w14:paraId="697F3C2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42.69 </w:t>
            </w:r>
          </w:p>
        </w:tc>
      </w:tr>
      <w:tr w:rsidR="00276289" w:rsidRPr="00276289" w14:paraId="72EA8D5E" w14:textId="77777777" w:rsidTr="003916ED">
        <w:trPr>
          <w:trHeight w:val="300"/>
          <w:jc w:val="center"/>
        </w:trPr>
        <w:tc>
          <w:tcPr>
            <w:tcW w:w="1515" w:type="dxa"/>
          </w:tcPr>
          <w:p w14:paraId="65ABCC4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   Sb    </w:t>
            </w:r>
          </w:p>
        </w:tc>
        <w:tc>
          <w:tcPr>
            <w:tcW w:w="1514" w:type="dxa"/>
          </w:tcPr>
          <w:p w14:paraId="0AC9906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0.71 </w:t>
            </w:r>
          </w:p>
        </w:tc>
        <w:tc>
          <w:tcPr>
            <w:tcW w:w="1515" w:type="dxa"/>
          </w:tcPr>
          <w:p w14:paraId="71B463A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0.73 </w:t>
            </w:r>
          </w:p>
        </w:tc>
        <w:tc>
          <w:tcPr>
            <w:tcW w:w="1516" w:type="dxa"/>
          </w:tcPr>
          <w:p w14:paraId="305FE10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0.28 </w:t>
            </w:r>
          </w:p>
        </w:tc>
        <w:tc>
          <w:tcPr>
            <w:tcW w:w="1515" w:type="dxa"/>
          </w:tcPr>
          <w:p w14:paraId="6948779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0.31 </w:t>
            </w:r>
          </w:p>
        </w:tc>
        <w:tc>
          <w:tcPr>
            <w:tcW w:w="1514" w:type="dxa"/>
          </w:tcPr>
          <w:p w14:paraId="1C2203C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0.21 </w:t>
            </w:r>
          </w:p>
        </w:tc>
        <w:tc>
          <w:tcPr>
            <w:tcW w:w="1515" w:type="dxa"/>
          </w:tcPr>
          <w:p w14:paraId="5FF89EA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0.21 </w:t>
            </w:r>
          </w:p>
        </w:tc>
        <w:tc>
          <w:tcPr>
            <w:tcW w:w="1516" w:type="dxa"/>
          </w:tcPr>
          <w:p w14:paraId="5FEC061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0.22 </w:t>
            </w:r>
          </w:p>
        </w:tc>
        <w:tc>
          <w:tcPr>
            <w:tcW w:w="1080" w:type="dxa"/>
          </w:tcPr>
          <w:p w14:paraId="7CB2D03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0.18 </w:t>
            </w:r>
          </w:p>
        </w:tc>
      </w:tr>
      <w:tr w:rsidR="00276289" w:rsidRPr="00276289" w14:paraId="2DB4ED47" w14:textId="77777777" w:rsidTr="003916ED">
        <w:trPr>
          <w:trHeight w:val="510"/>
          <w:jc w:val="center"/>
        </w:trPr>
        <w:tc>
          <w:tcPr>
            <w:tcW w:w="1515" w:type="dxa"/>
          </w:tcPr>
          <w:p w14:paraId="2B3E42C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  Total (</w:t>
            </w:r>
            <w:proofErr w:type="spellStart"/>
            <w:proofErr w:type="gramStart"/>
            <w:r w:rsidRPr="00276289">
              <w:rPr>
                <w:rFonts w:ascii="Times New Roman" w:eastAsia="Noto Sans CJK JP" w:hAnsi="Times New Roman" w:cs="Tahoma"/>
                <w:color w:val="000000"/>
                <w:sz w:val="20"/>
                <w:szCs w:val="24"/>
                <w14:ligatures w14:val="none"/>
              </w:rPr>
              <w:t>Fe,S</w:t>
            </w:r>
            <w:proofErr w:type="gramEnd"/>
            <w:r w:rsidRPr="00276289">
              <w:rPr>
                <w:rFonts w:ascii="Times New Roman" w:eastAsia="Noto Sans CJK JP" w:hAnsi="Times New Roman" w:cs="Tahoma"/>
                <w:color w:val="000000"/>
                <w:sz w:val="20"/>
                <w:szCs w:val="24"/>
                <w14:ligatures w14:val="none"/>
              </w:rPr>
              <w:t>,As</w:t>
            </w:r>
            <w:proofErr w:type="spellEnd"/>
            <w:r w:rsidRPr="00276289">
              <w:rPr>
                <w:rFonts w:ascii="Times New Roman" w:eastAsia="Noto Sans CJK JP" w:hAnsi="Times New Roman" w:cs="Tahoma"/>
                <w:color w:val="000000"/>
                <w:sz w:val="20"/>
                <w:szCs w:val="24"/>
                <w14:ligatures w14:val="none"/>
              </w:rPr>
              <w:t>)</w:t>
            </w:r>
          </w:p>
        </w:tc>
        <w:tc>
          <w:tcPr>
            <w:tcW w:w="1514" w:type="dxa"/>
          </w:tcPr>
          <w:p w14:paraId="0E94172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99.85 </w:t>
            </w:r>
          </w:p>
        </w:tc>
        <w:tc>
          <w:tcPr>
            <w:tcW w:w="1515" w:type="dxa"/>
          </w:tcPr>
          <w:p w14:paraId="6249AEC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99.73 </w:t>
            </w:r>
          </w:p>
        </w:tc>
        <w:tc>
          <w:tcPr>
            <w:tcW w:w="1516" w:type="dxa"/>
          </w:tcPr>
          <w:p w14:paraId="3FC2E02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101.84 </w:t>
            </w:r>
          </w:p>
        </w:tc>
        <w:tc>
          <w:tcPr>
            <w:tcW w:w="1515" w:type="dxa"/>
          </w:tcPr>
          <w:p w14:paraId="321F476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99.75 </w:t>
            </w:r>
          </w:p>
        </w:tc>
        <w:tc>
          <w:tcPr>
            <w:tcW w:w="1514" w:type="dxa"/>
          </w:tcPr>
          <w:p w14:paraId="7502726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101.07 </w:t>
            </w:r>
          </w:p>
        </w:tc>
        <w:tc>
          <w:tcPr>
            <w:tcW w:w="1515" w:type="dxa"/>
          </w:tcPr>
          <w:p w14:paraId="79EC10F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100.42 </w:t>
            </w:r>
          </w:p>
        </w:tc>
        <w:tc>
          <w:tcPr>
            <w:tcW w:w="1516" w:type="dxa"/>
          </w:tcPr>
          <w:p w14:paraId="7054BB0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99.50 </w:t>
            </w:r>
          </w:p>
        </w:tc>
        <w:tc>
          <w:tcPr>
            <w:tcW w:w="1080" w:type="dxa"/>
          </w:tcPr>
          <w:p w14:paraId="7D973AB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100.37 </w:t>
            </w:r>
          </w:p>
        </w:tc>
      </w:tr>
      <w:tr w:rsidR="00276289" w:rsidRPr="00276289" w14:paraId="5705A0FD" w14:textId="77777777" w:rsidTr="003916ED">
        <w:trPr>
          <w:trHeight w:val="300"/>
          <w:jc w:val="center"/>
        </w:trPr>
        <w:tc>
          <w:tcPr>
            <w:tcW w:w="1515" w:type="dxa"/>
          </w:tcPr>
          <w:p w14:paraId="10FF927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Fe (At%)</w:t>
            </w:r>
          </w:p>
        </w:tc>
        <w:tc>
          <w:tcPr>
            <w:tcW w:w="1514" w:type="dxa"/>
          </w:tcPr>
          <w:p w14:paraId="37A19DC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33.87 </w:t>
            </w:r>
          </w:p>
        </w:tc>
        <w:tc>
          <w:tcPr>
            <w:tcW w:w="1515" w:type="dxa"/>
          </w:tcPr>
          <w:p w14:paraId="4E2E423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33.60 </w:t>
            </w:r>
          </w:p>
        </w:tc>
        <w:tc>
          <w:tcPr>
            <w:tcW w:w="1516" w:type="dxa"/>
          </w:tcPr>
          <w:p w14:paraId="5FAE316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33.37 </w:t>
            </w:r>
          </w:p>
        </w:tc>
        <w:tc>
          <w:tcPr>
            <w:tcW w:w="1515" w:type="dxa"/>
          </w:tcPr>
          <w:p w14:paraId="38AA5A4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33.65 </w:t>
            </w:r>
          </w:p>
        </w:tc>
        <w:tc>
          <w:tcPr>
            <w:tcW w:w="1514" w:type="dxa"/>
          </w:tcPr>
          <w:p w14:paraId="7A56BE3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33.60 </w:t>
            </w:r>
          </w:p>
        </w:tc>
        <w:tc>
          <w:tcPr>
            <w:tcW w:w="1515" w:type="dxa"/>
          </w:tcPr>
          <w:p w14:paraId="6CCC556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33.50 </w:t>
            </w:r>
          </w:p>
        </w:tc>
        <w:tc>
          <w:tcPr>
            <w:tcW w:w="1516" w:type="dxa"/>
          </w:tcPr>
          <w:p w14:paraId="75F5B31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33.51 </w:t>
            </w:r>
          </w:p>
        </w:tc>
        <w:tc>
          <w:tcPr>
            <w:tcW w:w="1080" w:type="dxa"/>
          </w:tcPr>
          <w:p w14:paraId="6DE3CB9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33.29 </w:t>
            </w:r>
          </w:p>
        </w:tc>
      </w:tr>
      <w:tr w:rsidR="00276289" w:rsidRPr="00276289" w14:paraId="06CD1483" w14:textId="77777777" w:rsidTr="003916ED">
        <w:trPr>
          <w:trHeight w:val="300"/>
          <w:jc w:val="center"/>
        </w:trPr>
        <w:tc>
          <w:tcPr>
            <w:tcW w:w="1515" w:type="dxa"/>
          </w:tcPr>
          <w:p w14:paraId="0DFDFAF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S (At%)</w:t>
            </w:r>
          </w:p>
        </w:tc>
        <w:tc>
          <w:tcPr>
            <w:tcW w:w="1514" w:type="dxa"/>
          </w:tcPr>
          <w:p w14:paraId="6392265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38.86 </w:t>
            </w:r>
          </w:p>
        </w:tc>
        <w:tc>
          <w:tcPr>
            <w:tcW w:w="1515" w:type="dxa"/>
          </w:tcPr>
          <w:p w14:paraId="78D558B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38.72 </w:t>
            </w:r>
          </w:p>
        </w:tc>
        <w:tc>
          <w:tcPr>
            <w:tcW w:w="1516" w:type="dxa"/>
          </w:tcPr>
          <w:p w14:paraId="2BB9CD3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36.89 </w:t>
            </w:r>
          </w:p>
        </w:tc>
        <w:tc>
          <w:tcPr>
            <w:tcW w:w="1515" w:type="dxa"/>
          </w:tcPr>
          <w:p w14:paraId="12024AF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37.37 </w:t>
            </w:r>
          </w:p>
        </w:tc>
        <w:tc>
          <w:tcPr>
            <w:tcW w:w="1514" w:type="dxa"/>
          </w:tcPr>
          <w:p w14:paraId="7D03927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37.00 </w:t>
            </w:r>
          </w:p>
        </w:tc>
        <w:tc>
          <w:tcPr>
            <w:tcW w:w="1515" w:type="dxa"/>
          </w:tcPr>
          <w:p w14:paraId="0D17C9A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37.16 </w:t>
            </w:r>
          </w:p>
        </w:tc>
        <w:tc>
          <w:tcPr>
            <w:tcW w:w="1516" w:type="dxa"/>
          </w:tcPr>
          <w:p w14:paraId="64A022C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36.67 </w:t>
            </w:r>
          </w:p>
        </w:tc>
        <w:tc>
          <w:tcPr>
            <w:tcW w:w="1080" w:type="dxa"/>
          </w:tcPr>
          <w:p w14:paraId="6E63D41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36.71 </w:t>
            </w:r>
          </w:p>
        </w:tc>
      </w:tr>
      <w:tr w:rsidR="00276289" w:rsidRPr="00276289" w14:paraId="42B31E11" w14:textId="77777777" w:rsidTr="003916ED">
        <w:trPr>
          <w:trHeight w:val="300"/>
          <w:jc w:val="center"/>
        </w:trPr>
        <w:tc>
          <w:tcPr>
            <w:tcW w:w="1515" w:type="dxa"/>
            <w:tcBorders>
              <w:bottom w:val="single" w:sz="6" w:space="0" w:color="000000"/>
            </w:tcBorders>
          </w:tcPr>
          <w:p w14:paraId="04988D1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As (At%)</w:t>
            </w:r>
          </w:p>
        </w:tc>
        <w:tc>
          <w:tcPr>
            <w:tcW w:w="1514" w:type="dxa"/>
            <w:tcBorders>
              <w:bottom w:val="single" w:sz="6" w:space="0" w:color="000000"/>
            </w:tcBorders>
          </w:tcPr>
          <w:p w14:paraId="6B69078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27.27 </w:t>
            </w:r>
          </w:p>
        </w:tc>
        <w:tc>
          <w:tcPr>
            <w:tcW w:w="1515" w:type="dxa"/>
            <w:tcBorders>
              <w:bottom w:val="single" w:sz="6" w:space="0" w:color="000000"/>
            </w:tcBorders>
          </w:tcPr>
          <w:p w14:paraId="375319B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27.68 </w:t>
            </w:r>
          </w:p>
        </w:tc>
        <w:tc>
          <w:tcPr>
            <w:tcW w:w="1516" w:type="dxa"/>
            <w:tcBorders>
              <w:bottom w:val="single" w:sz="6" w:space="0" w:color="000000"/>
            </w:tcBorders>
          </w:tcPr>
          <w:p w14:paraId="0A0E609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29.74 </w:t>
            </w:r>
          </w:p>
        </w:tc>
        <w:tc>
          <w:tcPr>
            <w:tcW w:w="1515" w:type="dxa"/>
            <w:tcBorders>
              <w:bottom w:val="single" w:sz="6" w:space="0" w:color="000000"/>
            </w:tcBorders>
          </w:tcPr>
          <w:p w14:paraId="649B616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28.98 </w:t>
            </w:r>
          </w:p>
        </w:tc>
        <w:tc>
          <w:tcPr>
            <w:tcW w:w="1514" w:type="dxa"/>
            <w:tcBorders>
              <w:bottom w:val="single" w:sz="6" w:space="0" w:color="000000"/>
            </w:tcBorders>
          </w:tcPr>
          <w:p w14:paraId="37F4BE9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29.40 </w:t>
            </w:r>
          </w:p>
        </w:tc>
        <w:tc>
          <w:tcPr>
            <w:tcW w:w="1515" w:type="dxa"/>
            <w:tcBorders>
              <w:bottom w:val="single" w:sz="6" w:space="0" w:color="000000"/>
            </w:tcBorders>
          </w:tcPr>
          <w:p w14:paraId="4341026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29.34 </w:t>
            </w:r>
          </w:p>
        </w:tc>
        <w:tc>
          <w:tcPr>
            <w:tcW w:w="1516" w:type="dxa"/>
            <w:tcBorders>
              <w:bottom w:val="single" w:sz="6" w:space="0" w:color="000000"/>
            </w:tcBorders>
          </w:tcPr>
          <w:p w14:paraId="3005BE7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29.82 </w:t>
            </w:r>
          </w:p>
        </w:tc>
        <w:tc>
          <w:tcPr>
            <w:tcW w:w="1080" w:type="dxa"/>
            <w:tcBorders>
              <w:bottom w:val="single" w:sz="6" w:space="0" w:color="000000"/>
            </w:tcBorders>
          </w:tcPr>
          <w:p w14:paraId="6769035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29.99 </w:t>
            </w:r>
          </w:p>
        </w:tc>
      </w:tr>
    </w:tbl>
    <w:p w14:paraId="2DC22D06" w14:textId="77777777" w:rsidR="00F81E30" w:rsidRDefault="00F81E30" w:rsidP="00F81E30"/>
    <w:p w14:paraId="51FECBBC" w14:textId="77777777" w:rsidR="00F81E30" w:rsidRPr="00F81E30" w:rsidRDefault="00F81E30" w:rsidP="00F81E30"/>
    <w:p w14:paraId="015C664E" w14:textId="77777777" w:rsidR="00F81E30" w:rsidRPr="00F81E30" w:rsidRDefault="00F81E30" w:rsidP="00F81E30"/>
    <w:p w14:paraId="74FB8594" w14:textId="77777777" w:rsidR="00F81E30" w:rsidRDefault="00F81E30" w:rsidP="00F81E30"/>
    <w:p w14:paraId="71FE0853" w14:textId="77777777" w:rsidR="00F81E30" w:rsidRDefault="00F81E30" w:rsidP="00F81E30"/>
    <w:p w14:paraId="3A101DF3" w14:textId="77777777" w:rsidR="00F81E30" w:rsidRDefault="00F81E30" w:rsidP="00F81E30"/>
    <w:p w14:paraId="41FA186F" w14:textId="124A2FC7" w:rsidR="00F81E30" w:rsidRPr="00F81E30" w:rsidRDefault="00F81E30" w:rsidP="00F81E30">
      <w:pPr>
        <w:sectPr w:rsidR="00F81E30" w:rsidRPr="00F81E30" w:rsidSect="00F81E30">
          <w:pgSz w:w="15840" w:h="12240" w:orient="landscape"/>
          <w:pgMar w:top="1701" w:right="1985" w:bottom="1701" w:left="1701" w:header="720" w:footer="720" w:gutter="0"/>
          <w:cols w:space="720"/>
          <w:docGrid w:linePitch="360"/>
        </w:sectPr>
      </w:pPr>
    </w:p>
    <w:p w14:paraId="2C4D2079" w14:textId="381C29E5" w:rsidR="009210CF" w:rsidRPr="00E240BA" w:rsidRDefault="009210CF" w:rsidP="009210CF">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sidR="00C92215">
        <w:rPr>
          <w:rFonts w:ascii="Times New Roman" w:hAnsi="Times New Roman" w:cs="Times New Roman"/>
          <w:color w:val="auto"/>
          <w:sz w:val="20"/>
          <w:szCs w:val="20"/>
        </w:rPr>
        <w:t>3</w:t>
      </w:r>
      <w:r w:rsidRPr="00E240BA">
        <w:rPr>
          <w:rFonts w:ascii="Times New Roman" w:hAnsi="Times New Roman" w:cs="Times New Roman"/>
          <w:color w:val="auto"/>
          <w:sz w:val="20"/>
          <w:szCs w:val="20"/>
        </w:rPr>
        <w:t xml:space="preserve">. </w:t>
      </w:r>
      <w:r w:rsidRPr="00E240BA">
        <w:rPr>
          <w:rFonts w:ascii="Times New Roman" w:hAnsi="Times New Roman" w:cs="Times New Roman"/>
          <w:b/>
          <w:bCs/>
          <w:color w:val="auto"/>
          <w:sz w:val="20"/>
          <w:szCs w:val="20"/>
        </w:rPr>
        <w:t xml:space="preserve">Fluid inclusion (FI) </w:t>
      </w:r>
      <w:proofErr w:type="spellStart"/>
      <w:r w:rsidRPr="00E240BA">
        <w:rPr>
          <w:rFonts w:ascii="Times New Roman" w:hAnsi="Times New Roman" w:cs="Times New Roman"/>
          <w:b/>
          <w:bCs/>
          <w:color w:val="auto"/>
          <w:sz w:val="20"/>
          <w:szCs w:val="20"/>
        </w:rPr>
        <w:t>microthermometry</w:t>
      </w:r>
      <w:proofErr w:type="spellEnd"/>
      <w:r w:rsidRPr="00E240BA">
        <w:rPr>
          <w:rFonts w:ascii="Times New Roman" w:hAnsi="Times New Roman" w:cs="Times New Roman"/>
          <w:b/>
          <w:bCs/>
          <w:color w:val="auto"/>
          <w:sz w:val="20"/>
          <w:szCs w:val="20"/>
        </w:rPr>
        <w:t xml:space="preserve">. </w:t>
      </w:r>
      <w:r w:rsidRPr="00E240BA">
        <w:rPr>
          <w:rFonts w:ascii="Times New Roman" w:hAnsi="Times New Roman" w:cs="Times New Roman"/>
          <w:color w:val="auto"/>
          <w:sz w:val="20"/>
          <w:szCs w:val="20"/>
        </w:rPr>
        <w:t>Th: homogenization temperature, Tm: final ice melting temperature. Most FI show V-L transformation upon heating experiment.</w:t>
      </w:r>
    </w:p>
    <w:tbl>
      <w:tblPr>
        <w:tblW w:w="7960" w:type="dxa"/>
        <w:jc w:val="center"/>
        <w:tblLayout w:type="fixed"/>
        <w:tblCellMar>
          <w:top w:w="55" w:type="dxa"/>
          <w:left w:w="55" w:type="dxa"/>
          <w:bottom w:w="55" w:type="dxa"/>
          <w:right w:w="55" w:type="dxa"/>
        </w:tblCellMar>
        <w:tblLook w:val="04A0" w:firstRow="1" w:lastRow="0" w:firstColumn="1" w:lastColumn="0" w:noHBand="0" w:noVBand="1"/>
      </w:tblPr>
      <w:tblGrid>
        <w:gridCol w:w="1560"/>
        <w:gridCol w:w="2080"/>
        <w:gridCol w:w="2160"/>
        <w:gridCol w:w="2160"/>
      </w:tblGrid>
      <w:tr w:rsidR="00F81E30" w:rsidRPr="00F81E30" w14:paraId="43F8EB15" w14:textId="77777777" w:rsidTr="003916ED">
        <w:trPr>
          <w:trHeight w:val="300"/>
          <w:jc w:val="center"/>
        </w:trPr>
        <w:tc>
          <w:tcPr>
            <w:tcW w:w="1560" w:type="dxa"/>
            <w:tcBorders>
              <w:top w:val="single" w:sz="4" w:space="0" w:color="000000"/>
              <w:bottom w:val="single" w:sz="4" w:space="0" w:color="000000"/>
            </w:tcBorders>
          </w:tcPr>
          <w:p w14:paraId="41966AEA" w14:textId="77777777" w:rsidR="00F81E30" w:rsidRPr="00F81E30" w:rsidRDefault="00F81E30" w:rsidP="00F81E30">
            <w:pPr>
              <w:suppressAutoHyphens/>
              <w:spacing w:after="0" w:line="240" w:lineRule="auto"/>
              <w:jc w:val="center"/>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Quartz Grain</w:t>
            </w:r>
          </w:p>
        </w:tc>
        <w:tc>
          <w:tcPr>
            <w:tcW w:w="2080" w:type="dxa"/>
            <w:tcBorders>
              <w:top w:val="single" w:sz="4" w:space="0" w:color="000000"/>
              <w:bottom w:val="single" w:sz="4" w:space="0" w:color="000000"/>
            </w:tcBorders>
          </w:tcPr>
          <w:p w14:paraId="42905DC9" w14:textId="77777777" w:rsidR="00F81E30" w:rsidRPr="00F81E30" w:rsidRDefault="00F81E30" w:rsidP="00F81E30">
            <w:pPr>
              <w:suppressAutoHyphens/>
              <w:spacing w:after="0" w:line="240" w:lineRule="auto"/>
              <w:jc w:val="center"/>
              <w:rPr>
                <w:rFonts w:ascii="Times New Roman" w:eastAsia="Noto Sans CJK JP" w:hAnsi="Times New Roman" w:cs="Tahoma"/>
                <w:sz w:val="20"/>
                <w:szCs w:val="20"/>
                <w14:ligatures w14:val="none"/>
              </w:rPr>
            </w:pPr>
            <w:r w:rsidRPr="00F81E30">
              <w:rPr>
                <w:rFonts w:ascii="Times New Roman" w:eastAsia="Noto Sans CJK JP" w:hAnsi="Times New Roman" w:cs="Tahoma"/>
                <w:color w:val="000000"/>
                <w:sz w:val="20"/>
                <w:szCs w:val="20"/>
                <w14:ligatures w14:val="none"/>
              </w:rPr>
              <w:t>Th (°C)</w:t>
            </w:r>
          </w:p>
        </w:tc>
        <w:tc>
          <w:tcPr>
            <w:tcW w:w="2160" w:type="dxa"/>
            <w:tcBorders>
              <w:top w:val="single" w:sz="4" w:space="0" w:color="000000"/>
              <w:bottom w:val="single" w:sz="4" w:space="0" w:color="000000"/>
            </w:tcBorders>
          </w:tcPr>
          <w:p w14:paraId="376ACC80" w14:textId="77777777" w:rsidR="00F81E30" w:rsidRPr="00F81E30" w:rsidRDefault="00F81E30" w:rsidP="00F81E30">
            <w:pPr>
              <w:suppressAutoHyphens/>
              <w:spacing w:after="0" w:line="240" w:lineRule="auto"/>
              <w:jc w:val="center"/>
              <w:rPr>
                <w:rFonts w:ascii="Times New Roman" w:eastAsia="Noto Sans CJK JP" w:hAnsi="Times New Roman" w:cs="Tahoma"/>
                <w:sz w:val="20"/>
                <w:szCs w:val="20"/>
                <w14:ligatures w14:val="none"/>
              </w:rPr>
            </w:pPr>
            <w:r w:rsidRPr="00F81E30">
              <w:rPr>
                <w:rFonts w:ascii="Times New Roman" w:eastAsia="Noto Sans CJK JP" w:hAnsi="Times New Roman" w:cs="Tahoma"/>
                <w:color w:val="000000"/>
                <w:sz w:val="20"/>
                <w:szCs w:val="20"/>
                <w14:ligatures w14:val="none"/>
              </w:rPr>
              <w:t>FI size (µm)</w:t>
            </w:r>
          </w:p>
        </w:tc>
        <w:tc>
          <w:tcPr>
            <w:tcW w:w="2160" w:type="dxa"/>
            <w:tcBorders>
              <w:top w:val="single" w:sz="4" w:space="0" w:color="000000"/>
              <w:bottom w:val="single" w:sz="4" w:space="0" w:color="000000"/>
            </w:tcBorders>
          </w:tcPr>
          <w:p w14:paraId="1734143B" w14:textId="77777777" w:rsidR="00F81E30" w:rsidRPr="00F81E30" w:rsidRDefault="00F81E30" w:rsidP="00F81E30">
            <w:pPr>
              <w:suppressAutoHyphens/>
              <w:spacing w:after="0" w:line="240" w:lineRule="auto"/>
              <w:jc w:val="center"/>
              <w:rPr>
                <w:rFonts w:ascii="Times New Roman" w:eastAsia="Noto Sans CJK JP" w:hAnsi="Times New Roman" w:cs="Tahoma"/>
                <w:sz w:val="20"/>
                <w:szCs w:val="20"/>
                <w14:ligatures w14:val="none"/>
              </w:rPr>
            </w:pPr>
            <w:r w:rsidRPr="00F81E30">
              <w:rPr>
                <w:rFonts w:ascii="Times New Roman" w:eastAsia="Noto Sans CJK JP" w:hAnsi="Times New Roman" w:cs="Tahoma"/>
                <w:color w:val="000000"/>
                <w:sz w:val="20"/>
                <w:szCs w:val="20"/>
                <w14:ligatures w14:val="none"/>
              </w:rPr>
              <w:t>Tm (°C)</w:t>
            </w:r>
          </w:p>
        </w:tc>
      </w:tr>
      <w:tr w:rsidR="00F81E30" w:rsidRPr="00F81E30" w14:paraId="2436E389" w14:textId="77777777" w:rsidTr="003916ED">
        <w:trPr>
          <w:trHeight w:val="300"/>
          <w:jc w:val="center"/>
        </w:trPr>
        <w:tc>
          <w:tcPr>
            <w:tcW w:w="1560" w:type="dxa"/>
            <w:tcMar>
              <w:top w:w="0" w:type="dxa"/>
              <w:left w:w="30" w:type="dxa"/>
              <w:bottom w:w="0" w:type="dxa"/>
              <w:right w:w="30" w:type="dxa"/>
            </w:tcMar>
          </w:tcPr>
          <w:p w14:paraId="3F5F61B1"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qtz1</w:t>
            </w:r>
          </w:p>
        </w:tc>
        <w:tc>
          <w:tcPr>
            <w:tcW w:w="2080" w:type="dxa"/>
            <w:tcMar>
              <w:top w:w="0" w:type="dxa"/>
              <w:left w:w="30" w:type="dxa"/>
              <w:bottom w:w="0" w:type="dxa"/>
              <w:right w:w="30" w:type="dxa"/>
            </w:tcMar>
          </w:tcPr>
          <w:p w14:paraId="49338DB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183</w:t>
            </w:r>
          </w:p>
        </w:tc>
        <w:tc>
          <w:tcPr>
            <w:tcW w:w="2160" w:type="dxa"/>
            <w:tcMar>
              <w:top w:w="0" w:type="dxa"/>
              <w:left w:w="30" w:type="dxa"/>
              <w:bottom w:w="0" w:type="dxa"/>
              <w:right w:w="30" w:type="dxa"/>
            </w:tcMar>
          </w:tcPr>
          <w:p w14:paraId="59D01A6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w:t>
            </w:r>
          </w:p>
        </w:tc>
        <w:tc>
          <w:tcPr>
            <w:tcW w:w="2160" w:type="dxa"/>
            <w:tcMar>
              <w:top w:w="0" w:type="dxa"/>
              <w:left w:w="30" w:type="dxa"/>
              <w:bottom w:w="0" w:type="dxa"/>
              <w:right w:w="30" w:type="dxa"/>
            </w:tcMar>
          </w:tcPr>
          <w:p w14:paraId="1F914CA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66DA0DB6" w14:textId="77777777" w:rsidTr="003916ED">
        <w:trPr>
          <w:trHeight w:val="300"/>
          <w:jc w:val="center"/>
        </w:trPr>
        <w:tc>
          <w:tcPr>
            <w:tcW w:w="1560" w:type="dxa"/>
            <w:tcMar>
              <w:top w:w="0" w:type="dxa"/>
              <w:left w:w="30" w:type="dxa"/>
              <w:bottom w:w="0" w:type="dxa"/>
              <w:right w:w="30" w:type="dxa"/>
            </w:tcMar>
          </w:tcPr>
          <w:p w14:paraId="68C3C713"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qtz1</w:t>
            </w:r>
          </w:p>
        </w:tc>
        <w:tc>
          <w:tcPr>
            <w:tcW w:w="2080" w:type="dxa"/>
            <w:tcMar>
              <w:top w:w="0" w:type="dxa"/>
              <w:left w:w="30" w:type="dxa"/>
              <w:bottom w:w="0" w:type="dxa"/>
              <w:right w:w="30" w:type="dxa"/>
            </w:tcMar>
          </w:tcPr>
          <w:p w14:paraId="39B9089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230</w:t>
            </w:r>
          </w:p>
        </w:tc>
        <w:tc>
          <w:tcPr>
            <w:tcW w:w="2160" w:type="dxa"/>
            <w:tcMar>
              <w:top w:w="0" w:type="dxa"/>
              <w:left w:w="30" w:type="dxa"/>
              <w:bottom w:w="0" w:type="dxa"/>
              <w:right w:w="30" w:type="dxa"/>
            </w:tcMar>
          </w:tcPr>
          <w:p w14:paraId="0A8C00F2"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1.3</w:t>
            </w:r>
          </w:p>
        </w:tc>
        <w:tc>
          <w:tcPr>
            <w:tcW w:w="2160" w:type="dxa"/>
            <w:tcMar>
              <w:top w:w="0" w:type="dxa"/>
              <w:left w:w="30" w:type="dxa"/>
              <w:bottom w:w="0" w:type="dxa"/>
              <w:right w:w="30" w:type="dxa"/>
            </w:tcMar>
          </w:tcPr>
          <w:p w14:paraId="380D073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5726D19A" w14:textId="77777777" w:rsidTr="003916ED">
        <w:trPr>
          <w:trHeight w:val="300"/>
          <w:jc w:val="center"/>
        </w:trPr>
        <w:tc>
          <w:tcPr>
            <w:tcW w:w="1560" w:type="dxa"/>
            <w:tcMar>
              <w:top w:w="0" w:type="dxa"/>
              <w:left w:w="30" w:type="dxa"/>
              <w:bottom w:w="0" w:type="dxa"/>
              <w:right w:w="30" w:type="dxa"/>
            </w:tcMar>
          </w:tcPr>
          <w:p w14:paraId="564CE551"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qtz1</w:t>
            </w:r>
          </w:p>
        </w:tc>
        <w:tc>
          <w:tcPr>
            <w:tcW w:w="2080" w:type="dxa"/>
            <w:tcMar>
              <w:top w:w="0" w:type="dxa"/>
              <w:left w:w="30" w:type="dxa"/>
              <w:bottom w:w="0" w:type="dxa"/>
              <w:right w:w="30" w:type="dxa"/>
            </w:tcMar>
          </w:tcPr>
          <w:p w14:paraId="5F064B5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280.8</w:t>
            </w:r>
          </w:p>
        </w:tc>
        <w:tc>
          <w:tcPr>
            <w:tcW w:w="2160" w:type="dxa"/>
            <w:tcMar>
              <w:top w:w="0" w:type="dxa"/>
              <w:left w:w="30" w:type="dxa"/>
              <w:bottom w:w="0" w:type="dxa"/>
              <w:right w:w="30" w:type="dxa"/>
            </w:tcMar>
          </w:tcPr>
          <w:p w14:paraId="0F85063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w:t>
            </w:r>
          </w:p>
        </w:tc>
        <w:tc>
          <w:tcPr>
            <w:tcW w:w="2160" w:type="dxa"/>
            <w:tcMar>
              <w:top w:w="0" w:type="dxa"/>
              <w:left w:w="30" w:type="dxa"/>
              <w:bottom w:w="0" w:type="dxa"/>
              <w:right w:w="30" w:type="dxa"/>
            </w:tcMar>
          </w:tcPr>
          <w:p w14:paraId="7D4B91D7"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66786C0" w14:textId="77777777" w:rsidTr="003916ED">
        <w:trPr>
          <w:trHeight w:val="300"/>
          <w:jc w:val="center"/>
        </w:trPr>
        <w:tc>
          <w:tcPr>
            <w:tcW w:w="1560" w:type="dxa"/>
            <w:tcMar>
              <w:top w:w="0" w:type="dxa"/>
              <w:left w:w="30" w:type="dxa"/>
              <w:bottom w:w="0" w:type="dxa"/>
              <w:right w:w="30" w:type="dxa"/>
            </w:tcMar>
          </w:tcPr>
          <w:p w14:paraId="0743DB63"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qtz1</w:t>
            </w:r>
          </w:p>
        </w:tc>
        <w:tc>
          <w:tcPr>
            <w:tcW w:w="2080" w:type="dxa"/>
            <w:tcMar>
              <w:top w:w="0" w:type="dxa"/>
              <w:left w:w="30" w:type="dxa"/>
              <w:bottom w:w="0" w:type="dxa"/>
              <w:right w:w="30" w:type="dxa"/>
            </w:tcMar>
          </w:tcPr>
          <w:p w14:paraId="514421A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304.6</w:t>
            </w:r>
          </w:p>
        </w:tc>
        <w:tc>
          <w:tcPr>
            <w:tcW w:w="2160" w:type="dxa"/>
            <w:tcMar>
              <w:top w:w="0" w:type="dxa"/>
              <w:left w:w="30" w:type="dxa"/>
              <w:bottom w:w="0" w:type="dxa"/>
              <w:right w:w="30" w:type="dxa"/>
            </w:tcMar>
          </w:tcPr>
          <w:p w14:paraId="3DCC08D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1.7</w:t>
            </w:r>
          </w:p>
        </w:tc>
        <w:tc>
          <w:tcPr>
            <w:tcW w:w="2160" w:type="dxa"/>
            <w:tcMar>
              <w:top w:w="0" w:type="dxa"/>
              <w:left w:w="30" w:type="dxa"/>
              <w:bottom w:w="0" w:type="dxa"/>
              <w:right w:w="30" w:type="dxa"/>
            </w:tcMar>
          </w:tcPr>
          <w:p w14:paraId="577B0B2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4FAF4E83" w14:textId="77777777" w:rsidTr="003916ED">
        <w:trPr>
          <w:trHeight w:val="300"/>
          <w:jc w:val="center"/>
        </w:trPr>
        <w:tc>
          <w:tcPr>
            <w:tcW w:w="1560" w:type="dxa"/>
            <w:tcMar>
              <w:top w:w="0" w:type="dxa"/>
              <w:left w:w="30" w:type="dxa"/>
              <w:bottom w:w="0" w:type="dxa"/>
              <w:right w:w="30" w:type="dxa"/>
            </w:tcMar>
          </w:tcPr>
          <w:p w14:paraId="6CA93456"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3249B71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172</w:t>
            </w:r>
          </w:p>
        </w:tc>
        <w:tc>
          <w:tcPr>
            <w:tcW w:w="2160" w:type="dxa"/>
            <w:tcMar>
              <w:top w:w="0" w:type="dxa"/>
              <w:left w:w="30" w:type="dxa"/>
              <w:bottom w:w="0" w:type="dxa"/>
              <w:right w:w="30" w:type="dxa"/>
            </w:tcMar>
          </w:tcPr>
          <w:p w14:paraId="51028E5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1.695</w:t>
            </w:r>
          </w:p>
        </w:tc>
        <w:tc>
          <w:tcPr>
            <w:tcW w:w="2160" w:type="dxa"/>
            <w:tcMar>
              <w:top w:w="0" w:type="dxa"/>
              <w:left w:w="30" w:type="dxa"/>
              <w:bottom w:w="0" w:type="dxa"/>
              <w:right w:w="30" w:type="dxa"/>
            </w:tcMar>
          </w:tcPr>
          <w:p w14:paraId="6A1C031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7F4F6030" w14:textId="77777777" w:rsidTr="003916ED">
        <w:trPr>
          <w:trHeight w:val="300"/>
          <w:jc w:val="center"/>
        </w:trPr>
        <w:tc>
          <w:tcPr>
            <w:tcW w:w="1560" w:type="dxa"/>
            <w:tcMar>
              <w:top w:w="0" w:type="dxa"/>
              <w:left w:w="30" w:type="dxa"/>
              <w:bottom w:w="0" w:type="dxa"/>
              <w:right w:w="30" w:type="dxa"/>
            </w:tcMar>
          </w:tcPr>
          <w:p w14:paraId="1363EA88"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7B292F4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p>
        </w:tc>
        <w:tc>
          <w:tcPr>
            <w:tcW w:w="2160" w:type="dxa"/>
            <w:tcMar>
              <w:top w:w="0" w:type="dxa"/>
              <w:left w:w="30" w:type="dxa"/>
              <w:bottom w:w="0" w:type="dxa"/>
              <w:right w:w="30" w:type="dxa"/>
            </w:tcMar>
          </w:tcPr>
          <w:p w14:paraId="7608C39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w:t>
            </w:r>
          </w:p>
        </w:tc>
        <w:tc>
          <w:tcPr>
            <w:tcW w:w="2160" w:type="dxa"/>
            <w:tcMar>
              <w:top w:w="0" w:type="dxa"/>
              <w:left w:w="30" w:type="dxa"/>
              <w:bottom w:w="0" w:type="dxa"/>
              <w:right w:w="30" w:type="dxa"/>
            </w:tcMar>
          </w:tcPr>
          <w:p w14:paraId="494536A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360E5DF6" w14:textId="77777777" w:rsidTr="003916ED">
        <w:trPr>
          <w:trHeight w:val="300"/>
          <w:jc w:val="center"/>
        </w:trPr>
        <w:tc>
          <w:tcPr>
            <w:tcW w:w="1560" w:type="dxa"/>
            <w:tcMar>
              <w:top w:w="0" w:type="dxa"/>
              <w:left w:w="30" w:type="dxa"/>
              <w:bottom w:w="0" w:type="dxa"/>
              <w:right w:w="30" w:type="dxa"/>
            </w:tcMar>
          </w:tcPr>
          <w:p w14:paraId="232A0D5F"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1F4FB9C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190</w:t>
            </w:r>
          </w:p>
        </w:tc>
        <w:tc>
          <w:tcPr>
            <w:tcW w:w="2160" w:type="dxa"/>
            <w:tcMar>
              <w:top w:w="0" w:type="dxa"/>
              <w:left w:w="30" w:type="dxa"/>
              <w:bottom w:w="0" w:type="dxa"/>
              <w:right w:w="30" w:type="dxa"/>
            </w:tcMar>
          </w:tcPr>
          <w:p w14:paraId="5096A69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1.745</w:t>
            </w:r>
          </w:p>
        </w:tc>
        <w:tc>
          <w:tcPr>
            <w:tcW w:w="2160" w:type="dxa"/>
            <w:tcMar>
              <w:top w:w="0" w:type="dxa"/>
              <w:left w:w="30" w:type="dxa"/>
              <w:bottom w:w="0" w:type="dxa"/>
              <w:right w:w="30" w:type="dxa"/>
            </w:tcMar>
          </w:tcPr>
          <w:p w14:paraId="3E82AC07"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09F79641" w14:textId="77777777" w:rsidTr="003916ED">
        <w:trPr>
          <w:trHeight w:val="300"/>
          <w:jc w:val="center"/>
        </w:trPr>
        <w:tc>
          <w:tcPr>
            <w:tcW w:w="1560" w:type="dxa"/>
            <w:tcMar>
              <w:top w:w="0" w:type="dxa"/>
              <w:left w:w="30" w:type="dxa"/>
              <w:bottom w:w="0" w:type="dxa"/>
              <w:right w:w="30" w:type="dxa"/>
            </w:tcMar>
          </w:tcPr>
          <w:p w14:paraId="603782E7"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4CA5BE4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206.9</w:t>
            </w:r>
          </w:p>
        </w:tc>
        <w:tc>
          <w:tcPr>
            <w:tcW w:w="2160" w:type="dxa"/>
            <w:tcMar>
              <w:top w:w="0" w:type="dxa"/>
              <w:left w:w="30" w:type="dxa"/>
              <w:bottom w:w="0" w:type="dxa"/>
              <w:right w:w="30" w:type="dxa"/>
            </w:tcMar>
          </w:tcPr>
          <w:p w14:paraId="0D813B8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31D66BF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0D8D9190" w14:textId="77777777" w:rsidTr="003916ED">
        <w:trPr>
          <w:trHeight w:val="300"/>
          <w:jc w:val="center"/>
        </w:trPr>
        <w:tc>
          <w:tcPr>
            <w:tcW w:w="1560" w:type="dxa"/>
            <w:tcMar>
              <w:top w:w="0" w:type="dxa"/>
              <w:left w:w="30" w:type="dxa"/>
              <w:bottom w:w="0" w:type="dxa"/>
              <w:right w:w="30" w:type="dxa"/>
            </w:tcMar>
          </w:tcPr>
          <w:p w14:paraId="7A4BFAB3"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4FDDA2F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230.7</w:t>
            </w:r>
          </w:p>
        </w:tc>
        <w:tc>
          <w:tcPr>
            <w:tcW w:w="2160" w:type="dxa"/>
            <w:tcMar>
              <w:top w:w="0" w:type="dxa"/>
              <w:left w:w="30" w:type="dxa"/>
              <w:bottom w:w="0" w:type="dxa"/>
              <w:right w:w="30" w:type="dxa"/>
            </w:tcMar>
          </w:tcPr>
          <w:p w14:paraId="04C25E1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1.07</w:t>
            </w:r>
          </w:p>
        </w:tc>
        <w:tc>
          <w:tcPr>
            <w:tcW w:w="2160" w:type="dxa"/>
            <w:tcMar>
              <w:top w:w="0" w:type="dxa"/>
              <w:left w:w="30" w:type="dxa"/>
              <w:bottom w:w="0" w:type="dxa"/>
              <w:right w:w="30" w:type="dxa"/>
            </w:tcMar>
          </w:tcPr>
          <w:p w14:paraId="2F9F4E5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32893585" w14:textId="77777777" w:rsidTr="003916ED">
        <w:trPr>
          <w:trHeight w:val="300"/>
          <w:jc w:val="center"/>
        </w:trPr>
        <w:tc>
          <w:tcPr>
            <w:tcW w:w="1560" w:type="dxa"/>
            <w:tcMar>
              <w:top w:w="0" w:type="dxa"/>
              <w:left w:w="30" w:type="dxa"/>
              <w:bottom w:w="0" w:type="dxa"/>
              <w:right w:w="30" w:type="dxa"/>
            </w:tcMar>
          </w:tcPr>
          <w:p w14:paraId="0B160401"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66A440C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259</w:t>
            </w:r>
          </w:p>
        </w:tc>
        <w:tc>
          <w:tcPr>
            <w:tcW w:w="2160" w:type="dxa"/>
            <w:tcMar>
              <w:top w:w="0" w:type="dxa"/>
              <w:left w:w="30" w:type="dxa"/>
              <w:bottom w:w="0" w:type="dxa"/>
              <w:right w:w="30" w:type="dxa"/>
            </w:tcMar>
          </w:tcPr>
          <w:p w14:paraId="4656D94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w:t>
            </w:r>
          </w:p>
        </w:tc>
        <w:tc>
          <w:tcPr>
            <w:tcW w:w="2160" w:type="dxa"/>
            <w:tcMar>
              <w:top w:w="0" w:type="dxa"/>
              <w:left w:w="30" w:type="dxa"/>
              <w:bottom w:w="0" w:type="dxa"/>
              <w:right w:w="30" w:type="dxa"/>
            </w:tcMar>
          </w:tcPr>
          <w:p w14:paraId="0CDA6CB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6A7EFD2" w14:textId="77777777" w:rsidTr="003916ED">
        <w:trPr>
          <w:trHeight w:val="300"/>
          <w:jc w:val="center"/>
        </w:trPr>
        <w:tc>
          <w:tcPr>
            <w:tcW w:w="1560" w:type="dxa"/>
            <w:tcMar>
              <w:top w:w="0" w:type="dxa"/>
              <w:left w:w="30" w:type="dxa"/>
              <w:bottom w:w="0" w:type="dxa"/>
              <w:right w:w="30" w:type="dxa"/>
            </w:tcMar>
          </w:tcPr>
          <w:p w14:paraId="54D6FA05"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56426F5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251.9</w:t>
            </w:r>
          </w:p>
        </w:tc>
        <w:tc>
          <w:tcPr>
            <w:tcW w:w="2160" w:type="dxa"/>
            <w:tcMar>
              <w:top w:w="0" w:type="dxa"/>
              <w:left w:w="30" w:type="dxa"/>
              <w:bottom w:w="0" w:type="dxa"/>
              <w:right w:w="30" w:type="dxa"/>
            </w:tcMar>
          </w:tcPr>
          <w:p w14:paraId="4DB5B75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4F48606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7D63540" w14:textId="77777777" w:rsidTr="003916ED">
        <w:trPr>
          <w:trHeight w:val="300"/>
          <w:jc w:val="center"/>
        </w:trPr>
        <w:tc>
          <w:tcPr>
            <w:tcW w:w="1560" w:type="dxa"/>
            <w:tcMar>
              <w:top w:w="0" w:type="dxa"/>
              <w:left w:w="30" w:type="dxa"/>
              <w:bottom w:w="0" w:type="dxa"/>
              <w:right w:w="30" w:type="dxa"/>
            </w:tcMar>
          </w:tcPr>
          <w:p w14:paraId="13A803F0"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2FABCDF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276.6</w:t>
            </w:r>
          </w:p>
        </w:tc>
        <w:tc>
          <w:tcPr>
            <w:tcW w:w="2160" w:type="dxa"/>
            <w:tcMar>
              <w:top w:w="0" w:type="dxa"/>
              <w:left w:w="30" w:type="dxa"/>
              <w:bottom w:w="0" w:type="dxa"/>
              <w:right w:w="30" w:type="dxa"/>
            </w:tcMar>
          </w:tcPr>
          <w:p w14:paraId="6D08D33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1.4</w:t>
            </w:r>
          </w:p>
        </w:tc>
        <w:tc>
          <w:tcPr>
            <w:tcW w:w="2160" w:type="dxa"/>
            <w:tcMar>
              <w:top w:w="0" w:type="dxa"/>
              <w:left w:w="30" w:type="dxa"/>
              <w:bottom w:w="0" w:type="dxa"/>
              <w:right w:w="30" w:type="dxa"/>
            </w:tcMar>
          </w:tcPr>
          <w:p w14:paraId="069BF36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27A7A17" w14:textId="77777777" w:rsidTr="003916ED">
        <w:trPr>
          <w:trHeight w:val="300"/>
          <w:jc w:val="center"/>
        </w:trPr>
        <w:tc>
          <w:tcPr>
            <w:tcW w:w="1560" w:type="dxa"/>
            <w:tcMar>
              <w:top w:w="0" w:type="dxa"/>
              <w:left w:w="30" w:type="dxa"/>
              <w:bottom w:w="0" w:type="dxa"/>
              <w:right w:w="30" w:type="dxa"/>
            </w:tcMar>
          </w:tcPr>
          <w:p w14:paraId="5FC5A8DF"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3CEC5DEF"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294.5</w:t>
            </w:r>
          </w:p>
        </w:tc>
        <w:tc>
          <w:tcPr>
            <w:tcW w:w="2160" w:type="dxa"/>
            <w:tcMar>
              <w:top w:w="0" w:type="dxa"/>
              <w:left w:w="30" w:type="dxa"/>
              <w:bottom w:w="0" w:type="dxa"/>
              <w:right w:w="30" w:type="dxa"/>
            </w:tcMar>
          </w:tcPr>
          <w:p w14:paraId="52DC7B6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6F76251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7005B36E" w14:textId="77777777" w:rsidTr="003916ED">
        <w:trPr>
          <w:trHeight w:val="300"/>
          <w:jc w:val="center"/>
        </w:trPr>
        <w:tc>
          <w:tcPr>
            <w:tcW w:w="1560" w:type="dxa"/>
            <w:tcMar>
              <w:top w:w="0" w:type="dxa"/>
              <w:left w:w="30" w:type="dxa"/>
              <w:bottom w:w="0" w:type="dxa"/>
              <w:right w:w="30" w:type="dxa"/>
            </w:tcMar>
          </w:tcPr>
          <w:p w14:paraId="4FAA92CE"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5DCEC97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304</w:t>
            </w:r>
          </w:p>
        </w:tc>
        <w:tc>
          <w:tcPr>
            <w:tcW w:w="2160" w:type="dxa"/>
            <w:tcMar>
              <w:top w:w="0" w:type="dxa"/>
              <w:left w:w="30" w:type="dxa"/>
              <w:bottom w:w="0" w:type="dxa"/>
              <w:right w:w="30" w:type="dxa"/>
            </w:tcMar>
          </w:tcPr>
          <w:p w14:paraId="6114CCC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75FFC3C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356D0267" w14:textId="77777777" w:rsidTr="003916ED">
        <w:trPr>
          <w:trHeight w:val="300"/>
          <w:jc w:val="center"/>
        </w:trPr>
        <w:tc>
          <w:tcPr>
            <w:tcW w:w="1560" w:type="dxa"/>
            <w:tcMar>
              <w:top w:w="0" w:type="dxa"/>
              <w:left w:w="30" w:type="dxa"/>
              <w:bottom w:w="0" w:type="dxa"/>
              <w:right w:w="30" w:type="dxa"/>
            </w:tcMar>
          </w:tcPr>
          <w:p w14:paraId="25C16797"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qtz2</w:t>
            </w:r>
          </w:p>
        </w:tc>
        <w:tc>
          <w:tcPr>
            <w:tcW w:w="2080" w:type="dxa"/>
            <w:tcMar>
              <w:top w:w="0" w:type="dxa"/>
              <w:left w:w="30" w:type="dxa"/>
              <w:bottom w:w="0" w:type="dxa"/>
              <w:right w:w="30" w:type="dxa"/>
            </w:tcMar>
          </w:tcPr>
          <w:p w14:paraId="07AFE39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325.2</w:t>
            </w:r>
          </w:p>
        </w:tc>
        <w:tc>
          <w:tcPr>
            <w:tcW w:w="2160" w:type="dxa"/>
            <w:tcMar>
              <w:top w:w="0" w:type="dxa"/>
              <w:left w:w="30" w:type="dxa"/>
              <w:bottom w:w="0" w:type="dxa"/>
              <w:right w:w="30" w:type="dxa"/>
            </w:tcMar>
          </w:tcPr>
          <w:p w14:paraId="01BB32F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1.17</w:t>
            </w:r>
          </w:p>
        </w:tc>
        <w:tc>
          <w:tcPr>
            <w:tcW w:w="2160" w:type="dxa"/>
            <w:tcMar>
              <w:top w:w="0" w:type="dxa"/>
              <w:left w:w="30" w:type="dxa"/>
              <w:bottom w:w="0" w:type="dxa"/>
              <w:right w:w="30" w:type="dxa"/>
            </w:tcMar>
          </w:tcPr>
          <w:p w14:paraId="059EBAB2"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0D02D451" w14:textId="77777777" w:rsidTr="003916ED">
        <w:trPr>
          <w:trHeight w:val="300"/>
          <w:jc w:val="center"/>
        </w:trPr>
        <w:tc>
          <w:tcPr>
            <w:tcW w:w="1560" w:type="dxa"/>
            <w:tcMar>
              <w:top w:w="0" w:type="dxa"/>
              <w:left w:w="30" w:type="dxa"/>
              <w:bottom w:w="0" w:type="dxa"/>
              <w:right w:w="30" w:type="dxa"/>
            </w:tcMar>
          </w:tcPr>
          <w:p w14:paraId="3201FBAE"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qtz3</w:t>
            </w:r>
          </w:p>
        </w:tc>
        <w:tc>
          <w:tcPr>
            <w:tcW w:w="2080" w:type="dxa"/>
            <w:tcMar>
              <w:top w:w="0" w:type="dxa"/>
              <w:left w:w="30" w:type="dxa"/>
              <w:bottom w:w="0" w:type="dxa"/>
              <w:right w:w="30" w:type="dxa"/>
            </w:tcMar>
          </w:tcPr>
          <w:p w14:paraId="11211DB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273</w:t>
            </w:r>
          </w:p>
        </w:tc>
        <w:tc>
          <w:tcPr>
            <w:tcW w:w="2160" w:type="dxa"/>
            <w:tcMar>
              <w:top w:w="0" w:type="dxa"/>
              <w:left w:w="30" w:type="dxa"/>
              <w:bottom w:w="0" w:type="dxa"/>
              <w:right w:w="30" w:type="dxa"/>
            </w:tcMar>
          </w:tcPr>
          <w:p w14:paraId="3E7D2D8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0.66</w:t>
            </w:r>
          </w:p>
        </w:tc>
        <w:tc>
          <w:tcPr>
            <w:tcW w:w="2160" w:type="dxa"/>
            <w:tcMar>
              <w:top w:w="0" w:type="dxa"/>
              <w:left w:w="30" w:type="dxa"/>
              <w:bottom w:w="0" w:type="dxa"/>
              <w:right w:w="30" w:type="dxa"/>
            </w:tcMar>
          </w:tcPr>
          <w:p w14:paraId="634945A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0F092028" w14:textId="77777777" w:rsidTr="003916ED">
        <w:trPr>
          <w:trHeight w:val="300"/>
          <w:jc w:val="center"/>
        </w:trPr>
        <w:tc>
          <w:tcPr>
            <w:tcW w:w="1560" w:type="dxa"/>
            <w:tcMar>
              <w:top w:w="0" w:type="dxa"/>
              <w:left w:w="30" w:type="dxa"/>
              <w:bottom w:w="0" w:type="dxa"/>
              <w:right w:w="30" w:type="dxa"/>
            </w:tcMar>
          </w:tcPr>
          <w:p w14:paraId="4097F26E"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qtz4</w:t>
            </w:r>
          </w:p>
        </w:tc>
        <w:tc>
          <w:tcPr>
            <w:tcW w:w="2080" w:type="dxa"/>
            <w:tcMar>
              <w:top w:w="0" w:type="dxa"/>
              <w:left w:w="30" w:type="dxa"/>
              <w:bottom w:w="0" w:type="dxa"/>
              <w:right w:w="30" w:type="dxa"/>
            </w:tcMar>
          </w:tcPr>
          <w:p w14:paraId="203C38F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295.7</w:t>
            </w:r>
          </w:p>
        </w:tc>
        <w:tc>
          <w:tcPr>
            <w:tcW w:w="2160" w:type="dxa"/>
            <w:tcMar>
              <w:top w:w="0" w:type="dxa"/>
              <w:left w:w="30" w:type="dxa"/>
              <w:bottom w:w="0" w:type="dxa"/>
              <w:right w:w="30" w:type="dxa"/>
            </w:tcMar>
          </w:tcPr>
          <w:p w14:paraId="4162D8E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0.9</w:t>
            </w:r>
          </w:p>
        </w:tc>
        <w:tc>
          <w:tcPr>
            <w:tcW w:w="2160" w:type="dxa"/>
            <w:tcMar>
              <w:top w:w="0" w:type="dxa"/>
              <w:left w:w="30" w:type="dxa"/>
              <w:bottom w:w="0" w:type="dxa"/>
              <w:right w:w="30" w:type="dxa"/>
            </w:tcMar>
          </w:tcPr>
          <w:p w14:paraId="082859C9"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504996A3" w14:textId="77777777" w:rsidTr="003916ED">
        <w:trPr>
          <w:trHeight w:val="300"/>
          <w:jc w:val="center"/>
        </w:trPr>
        <w:tc>
          <w:tcPr>
            <w:tcW w:w="1560" w:type="dxa"/>
            <w:tcMar>
              <w:top w:w="0" w:type="dxa"/>
              <w:left w:w="30" w:type="dxa"/>
              <w:bottom w:w="0" w:type="dxa"/>
              <w:right w:w="30" w:type="dxa"/>
            </w:tcMar>
          </w:tcPr>
          <w:p w14:paraId="6C23517B"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qtz5</w:t>
            </w:r>
          </w:p>
        </w:tc>
        <w:tc>
          <w:tcPr>
            <w:tcW w:w="2080" w:type="dxa"/>
            <w:tcMar>
              <w:top w:w="0" w:type="dxa"/>
              <w:left w:w="30" w:type="dxa"/>
              <w:bottom w:w="0" w:type="dxa"/>
              <w:right w:w="30" w:type="dxa"/>
            </w:tcMar>
          </w:tcPr>
          <w:p w14:paraId="21F9C94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207.7</w:t>
            </w:r>
          </w:p>
        </w:tc>
        <w:tc>
          <w:tcPr>
            <w:tcW w:w="2160" w:type="dxa"/>
            <w:tcMar>
              <w:top w:w="0" w:type="dxa"/>
              <w:left w:w="30" w:type="dxa"/>
              <w:bottom w:w="0" w:type="dxa"/>
              <w:right w:w="30" w:type="dxa"/>
            </w:tcMar>
          </w:tcPr>
          <w:p w14:paraId="06AC854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1.84</w:t>
            </w:r>
          </w:p>
        </w:tc>
        <w:tc>
          <w:tcPr>
            <w:tcW w:w="2160" w:type="dxa"/>
            <w:tcMar>
              <w:top w:w="0" w:type="dxa"/>
              <w:left w:w="30" w:type="dxa"/>
              <w:bottom w:w="0" w:type="dxa"/>
              <w:right w:w="30" w:type="dxa"/>
            </w:tcMar>
          </w:tcPr>
          <w:p w14:paraId="2382141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3DB1A540" w14:textId="77777777" w:rsidTr="003916ED">
        <w:trPr>
          <w:trHeight w:val="300"/>
          <w:jc w:val="center"/>
        </w:trPr>
        <w:tc>
          <w:tcPr>
            <w:tcW w:w="1560" w:type="dxa"/>
            <w:tcMar>
              <w:top w:w="0" w:type="dxa"/>
              <w:left w:w="30" w:type="dxa"/>
              <w:bottom w:w="0" w:type="dxa"/>
              <w:right w:w="30" w:type="dxa"/>
            </w:tcMar>
          </w:tcPr>
          <w:p w14:paraId="3224D4B7"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qtz5</w:t>
            </w:r>
          </w:p>
        </w:tc>
        <w:tc>
          <w:tcPr>
            <w:tcW w:w="2080" w:type="dxa"/>
            <w:tcMar>
              <w:top w:w="0" w:type="dxa"/>
              <w:left w:w="30" w:type="dxa"/>
              <w:bottom w:w="0" w:type="dxa"/>
              <w:right w:w="30" w:type="dxa"/>
            </w:tcMar>
          </w:tcPr>
          <w:p w14:paraId="4A0140B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255</w:t>
            </w:r>
          </w:p>
        </w:tc>
        <w:tc>
          <w:tcPr>
            <w:tcW w:w="2160" w:type="dxa"/>
            <w:tcMar>
              <w:top w:w="0" w:type="dxa"/>
              <w:left w:w="30" w:type="dxa"/>
              <w:bottom w:w="0" w:type="dxa"/>
              <w:right w:w="30" w:type="dxa"/>
            </w:tcMar>
          </w:tcPr>
          <w:p w14:paraId="2D1D0E0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w:t>
            </w:r>
          </w:p>
        </w:tc>
        <w:tc>
          <w:tcPr>
            <w:tcW w:w="2160" w:type="dxa"/>
            <w:tcMar>
              <w:top w:w="0" w:type="dxa"/>
              <w:left w:w="30" w:type="dxa"/>
              <w:bottom w:w="0" w:type="dxa"/>
              <w:right w:w="30" w:type="dxa"/>
            </w:tcMar>
          </w:tcPr>
          <w:p w14:paraId="4EAF7F4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5A1ABBF" w14:textId="77777777" w:rsidTr="003916ED">
        <w:trPr>
          <w:trHeight w:val="300"/>
          <w:jc w:val="center"/>
        </w:trPr>
        <w:tc>
          <w:tcPr>
            <w:tcW w:w="1560" w:type="dxa"/>
            <w:tcMar>
              <w:top w:w="0" w:type="dxa"/>
              <w:left w:w="30" w:type="dxa"/>
              <w:bottom w:w="0" w:type="dxa"/>
              <w:right w:w="30" w:type="dxa"/>
            </w:tcMar>
          </w:tcPr>
          <w:p w14:paraId="631D4A69"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qtz5</w:t>
            </w:r>
          </w:p>
        </w:tc>
        <w:tc>
          <w:tcPr>
            <w:tcW w:w="2080" w:type="dxa"/>
            <w:tcMar>
              <w:top w:w="0" w:type="dxa"/>
              <w:left w:w="30" w:type="dxa"/>
              <w:bottom w:w="0" w:type="dxa"/>
              <w:right w:w="30" w:type="dxa"/>
            </w:tcMar>
          </w:tcPr>
          <w:p w14:paraId="75BC86E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261.4</w:t>
            </w:r>
          </w:p>
        </w:tc>
        <w:tc>
          <w:tcPr>
            <w:tcW w:w="2160" w:type="dxa"/>
            <w:tcMar>
              <w:top w:w="0" w:type="dxa"/>
              <w:left w:w="30" w:type="dxa"/>
              <w:bottom w:w="0" w:type="dxa"/>
              <w:right w:w="30" w:type="dxa"/>
            </w:tcMar>
          </w:tcPr>
          <w:p w14:paraId="5C8FD67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1.73</w:t>
            </w:r>
          </w:p>
        </w:tc>
        <w:tc>
          <w:tcPr>
            <w:tcW w:w="2160" w:type="dxa"/>
            <w:tcMar>
              <w:top w:w="0" w:type="dxa"/>
              <w:left w:w="30" w:type="dxa"/>
              <w:bottom w:w="0" w:type="dxa"/>
              <w:right w:w="30" w:type="dxa"/>
            </w:tcMar>
          </w:tcPr>
          <w:p w14:paraId="15241E0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24B63BD5" w14:textId="77777777" w:rsidTr="003916ED">
        <w:trPr>
          <w:trHeight w:val="300"/>
          <w:jc w:val="center"/>
        </w:trPr>
        <w:tc>
          <w:tcPr>
            <w:tcW w:w="1560" w:type="dxa"/>
            <w:tcMar>
              <w:top w:w="0" w:type="dxa"/>
              <w:left w:w="30" w:type="dxa"/>
              <w:bottom w:w="0" w:type="dxa"/>
              <w:right w:w="30" w:type="dxa"/>
            </w:tcMar>
          </w:tcPr>
          <w:p w14:paraId="46467BC1"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qtz6</w:t>
            </w:r>
          </w:p>
        </w:tc>
        <w:tc>
          <w:tcPr>
            <w:tcW w:w="2080" w:type="dxa"/>
            <w:tcMar>
              <w:top w:w="0" w:type="dxa"/>
              <w:left w:w="30" w:type="dxa"/>
              <w:bottom w:w="0" w:type="dxa"/>
              <w:right w:w="30" w:type="dxa"/>
            </w:tcMar>
          </w:tcPr>
          <w:p w14:paraId="19066BE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238.2</w:t>
            </w:r>
          </w:p>
        </w:tc>
        <w:tc>
          <w:tcPr>
            <w:tcW w:w="2160" w:type="dxa"/>
            <w:tcMar>
              <w:top w:w="0" w:type="dxa"/>
              <w:left w:w="30" w:type="dxa"/>
              <w:bottom w:w="0" w:type="dxa"/>
              <w:right w:w="30" w:type="dxa"/>
            </w:tcMar>
          </w:tcPr>
          <w:p w14:paraId="2665B5F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1.73</w:t>
            </w:r>
          </w:p>
        </w:tc>
        <w:tc>
          <w:tcPr>
            <w:tcW w:w="2160" w:type="dxa"/>
            <w:tcMar>
              <w:top w:w="0" w:type="dxa"/>
              <w:left w:w="30" w:type="dxa"/>
              <w:bottom w:w="0" w:type="dxa"/>
              <w:right w:w="30" w:type="dxa"/>
            </w:tcMar>
          </w:tcPr>
          <w:p w14:paraId="270277AF"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3CFCDE1A" w14:textId="77777777" w:rsidTr="003916ED">
        <w:trPr>
          <w:trHeight w:val="300"/>
          <w:jc w:val="center"/>
        </w:trPr>
        <w:tc>
          <w:tcPr>
            <w:tcW w:w="1560" w:type="dxa"/>
            <w:tcMar>
              <w:top w:w="0" w:type="dxa"/>
              <w:left w:w="30" w:type="dxa"/>
              <w:bottom w:w="0" w:type="dxa"/>
              <w:right w:w="30" w:type="dxa"/>
            </w:tcMar>
          </w:tcPr>
          <w:p w14:paraId="7E222A40"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qtz7</w:t>
            </w:r>
          </w:p>
        </w:tc>
        <w:tc>
          <w:tcPr>
            <w:tcW w:w="2080" w:type="dxa"/>
            <w:tcMar>
              <w:top w:w="0" w:type="dxa"/>
              <w:left w:w="30" w:type="dxa"/>
              <w:bottom w:w="0" w:type="dxa"/>
              <w:right w:w="30" w:type="dxa"/>
            </w:tcMar>
          </w:tcPr>
          <w:p w14:paraId="7FBBCB3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230</w:t>
            </w:r>
          </w:p>
        </w:tc>
        <w:tc>
          <w:tcPr>
            <w:tcW w:w="2160" w:type="dxa"/>
            <w:tcMar>
              <w:top w:w="0" w:type="dxa"/>
              <w:left w:w="30" w:type="dxa"/>
              <w:bottom w:w="0" w:type="dxa"/>
              <w:right w:w="30" w:type="dxa"/>
            </w:tcMar>
          </w:tcPr>
          <w:p w14:paraId="626FE17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792935A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192E45DF" w14:textId="77777777" w:rsidTr="003916ED">
        <w:trPr>
          <w:trHeight w:val="300"/>
          <w:jc w:val="center"/>
        </w:trPr>
        <w:tc>
          <w:tcPr>
            <w:tcW w:w="1560" w:type="dxa"/>
            <w:tcMar>
              <w:top w:w="0" w:type="dxa"/>
              <w:left w:w="30" w:type="dxa"/>
              <w:bottom w:w="0" w:type="dxa"/>
              <w:right w:w="30" w:type="dxa"/>
            </w:tcMar>
          </w:tcPr>
          <w:p w14:paraId="4BE16463"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qtz7</w:t>
            </w:r>
          </w:p>
        </w:tc>
        <w:tc>
          <w:tcPr>
            <w:tcW w:w="2080" w:type="dxa"/>
            <w:tcMar>
              <w:top w:w="0" w:type="dxa"/>
              <w:left w:w="30" w:type="dxa"/>
              <w:bottom w:w="0" w:type="dxa"/>
              <w:right w:w="30" w:type="dxa"/>
            </w:tcMar>
          </w:tcPr>
          <w:p w14:paraId="20D4F4BF"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251</w:t>
            </w:r>
          </w:p>
        </w:tc>
        <w:tc>
          <w:tcPr>
            <w:tcW w:w="2160" w:type="dxa"/>
            <w:tcMar>
              <w:top w:w="0" w:type="dxa"/>
              <w:left w:w="30" w:type="dxa"/>
              <w:bottom w:w="0" w:type="dxa"/>
              <w:right w:w="30" w:type="dxa"/>
            </w:tcMar>
          </w:tcPr>
          <w:p w14:paraId="24BE018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1.395</w:t>
            </w:r>
          </w:p>
        </w:tc>
        <w:tc>
          <w:tcPr>
            <w:tcW w:w="2160" w:type="dxa"/>
            <w:tcMar>
              <w:top w:w="0" w:type="dxa"/>
              <w:left w:w="30" w:type="dxa"/>
              <w:bottom w:w="0" w:type="dxa"/>
              <w:right w:w="30" w:type="dxa"/>
            </w:tcMar>
          </w:tcPr>
          <w:p w14:paraId="284C7B9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72E58BB0" w14:textId="77777777" w:rsidTr="003916ED">
        <w:trPr>
          <w:trHeight w:val="300"/>
          <w:jc w:val="center"/>
        </w:trPr>
        <w:tc>
          <w:tcPr>
            <w:tcW w:w="1560" w:type="dxa"/>
            <w:tcMar>
              <w:top w:w="0" w:type="dxa"/>
              <w:left w:w="30" w:type="dxa"/>
              <w:bottom w:w="0" w:type="dxa"/>
              <w:right w:w="30" w:type="dxa"/>
            </w:tcMar>
          </w:tcPr>
          <w:p w14:paraId="1F3B32B6"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qtz7</w:t>
            </w:r>
          </w:p>
        </w:tc>
        <w:tc>
          <w:tcPr>
            <w:tcW w:w="2080" w:type="dxa"/>
            <w:tcMar>
              <w:top w:w="0" w:type="dxa"/>
              <w:left w:w="30" w:type="dxa"/>
              <w:bottom w:w="0" w:type="dxa"/>
              <w:right w:w="30" w:type="dxa"/>
            </w:tcMar>
          </w:tcPr>
          <w:p w14:paraId="3D153A8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243.3</w:t>
            </w:r>
          </w:p>
        </w:tc>
        <w:tc>
          <w:tcPr>
            <w:tcW w:w="2160" w:type="dxa"/>
            <w:tcMar>
              <w:top w:w="0" w:type="dxa"/>
              <w:left w:w="30" w:type="dxa"/>
              <w:bottom w:w="0" w:type="dxa"/>
              <w:right w:w="30" w:type="dxa"/>
            </w:tcMar>
          </w:tcPr>
          <w:p w14:paraId="7272E85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1.15</w:t>
            </w:r>
          </w:p>
        </w:tc>
        <w:tc>
          <w:tcPr>
            <w:tcW w:w="2160" w:type="dxa"/>
            <w:tcMar>
              <w:top w:w="0" w:type="dxa"/>
              <w:left w:w="30" w:type="dxa"/>
              <w:bottom w:w="0" w:type="dxa"/>
              <w:right w:w="30" w:type="dxa"/>
            </w:tcMar>
          </w:tcPr>
          <w:p w14:paraId="3D4749C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5286625B" w14:textId="77777777" w:rsidTr="003916ED">
        <w:trPr>
          <w:trHeight w:val="300"/>
          <w:jc w:val="center"/>
        </w:trPr>
        <w:tc>
          <w:tcPr>
            <w:tcW w:w="1560" w:type="dxa"/>
            <w:tcMar>
              <w:top w:w="0" w:type="dxa"/>
              <w:left w:w="30" w:type="dxa"/>
              <w:bottom w:w="0" w:type="dxa"/>
              <w:right w:w="30" w:type="dxa"/>
            </w:tcMar>
          </w:tcPr>
          <w:p w14:paraId="6B2CD493"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31E3EC2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114</w:t>
            </w:r>
          </w:p>
        </w:tc>
        <w:tc>
          <w:tcPr>
            <w:tcW w:w="2160" w:type="dxa"/>
            <w:tcMar>
              <w:top w:w="0" w:type="dxa"/>
              <w:left w:w="30" w:type="dxa"/>
              <w:bottom w:w="0" w:type="dxa"/>
              <w:right w:w="30" w:type="dxa"/>
            </w:tcMar>
          </w:tcPr>
          <w:p w14:paraId="0FE6C16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22953E5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58CA99BE" w14:textId="77777777" w:rsidTr="003916ED">
        <w:trPr>
          <w:trHeight w:val="300"/>
          <w:jc w:val="center"/>
        </w:trPr>
        <w:tc>
          <w:tcPr>
            <w:tcW w:w="1560" w:type="dxa"/>
            <w:tcMar>
              <w:top w:w="0" w:type="dxa"/>
              <w:left w:w="30" w:type="dxa"/>
              <w:bottom w:w="0" w:type="dxa"/>
              <w:right w:w="30" w:type="dxa"/>
            </w:tcMar>
          </w:tcPr>
          <w:p w14:paraId="08781E78"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03359A2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154.1</w:t>
            </w:r>
          </w:p>
        </w:tc>
        <w:tc>
          <w:tcPr>
            <w:tcW w:w="2160" w:type="dxa"/>
            <w:tcMar>
              <w:top w:w="0" w:type="dxa"/>
              <w:left w:w="30" w:type="dxa"/>
              <w:bottom w:w="0" w:type="dxa"/>
              <w:right w:w="30" w:type="dxa"/>
            </w:tcMar>
          </w:tcPr>
          <w:p w14:paraId="3A681C6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w:t>
            </w:r>
          </w:p>
        </w:tc>
        <w:tc>
          <w:tcPr>
            <w:tcW w:w="2160" w:type="dxa"/>
            <w:tcMar>
              <w:top w:w="0" w:type="dxa"/>
              <w:left w:w="30" w:type="dxa"/>
              <w:bottom w:w="0" w:type="dxa"/>
              <w:right w:w="30" w:type="dxa"/>
            </w:tcMar>
          </w:tcPr>
          <w:p w14:paraId="4717029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635C652A" w14:textId="77777777" w:rsidTr="003916ED">
        <w:trPr>
          <w:trHeight w:val="300"/>
          <w:jc w:val="center"/>
        </w:trPr>
        <w:tc>
          <w:tcPr>
            <w:tcW w:w="1560" w:type="dxa"/>
            <w:tcMar>
              <w:top w:w="0" w:type="dxa"/>
              <w:left w:w="30" w:type="dxa"/>
              <w:bottom w:w="0" w:type="dxa"/>
              <w:right w:w="30" w:type="dxa"/>
            </w:tcMar>
          </w:tcPr>
          <w:p w14:paraId="6F78EDC7"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0D46F0B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182.6</w:t>
            </w:r>
          </w:p>
        </w:tc>
        <w:tc>
          <w:tcPr>
            <w:tcW w:w="2160" w:type="dxa"/>
            <w:tcMar>
              <w:top w:w="0" w:type="dxa"/>
              <w:left w:w="30" w:type="dxa"/>
              <w:bottom w:w="0" w:type="dxa"/>
              <w:right w:w="30" w:type="dxa"/>
            </w:tcMar>
          </w:tcPr>
          <w:p w14:paraId="758E6FD4"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w:t>
            </w:r>
          </w:p>
        </w:tc>
        <w:tc>
          <w:tcPr>
            <w:tcW w:w="2160" w:type="dxa"/>
            <w:tcMar>
              <w:top w:w="0" w:type="dxa"/>
              <w:left w:w="30" w:type="dxa"/>
              <w:bottom w:w="0" w:type="dxa"/>
              <w:right w:w="30" w:type="dxa"/>
            </w:tcMar>
          </w:tcPr>
          <w:p w14:paraId="74650ACE"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59966170" w14:textId="77777777" w:rsidTr="003916ED">
        <w:trPr>
          <w:trHeight w:val="300"/>
          <w:jc w:val="center"/>
        </w:trPr>
        <w:tc>
          <w:tcPr>
            <w:tcW w:w="1560" w:type="dxa"/>
            <w:tcMar>
              <w:top w:w="0" w:type="dxa"/>
              <w:left w:w="30" w:type="dxa"/>
              <w:bottom w:w="0" w:type="dxa"/>
              <w:right w:w="30" w:type="dxa"/>
            </w:tcMar>
          </w:tcPr>
          <w:p w14:paraId="6AA1DE7D"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5EE1404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158</w:t>
            </w:r>
          </w:p>
        </w:tc>
        <w:tc>
          <w:tcPr>
            <w:tcW w:w="2160" w:type="dxa"/>
            <w:tcMar>
              <w:top w:w="0" w:type="dxa"/>
              <w:left w:w="30" w:type="dxa"/>
              <w:bottom w:w="0" w:type="dxa"/>
              <w:right w:w="30" w:type="dxa"/>
            </w:tcMar>
          </w:tcPr>
          <w:p w14:paraId="026B6F4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w:t>
            </w:r>
          </w:p>
        </w:tc>
        <w:tc>
          <w:tcPr>
            <w:tcW w:w="2160" w:type="dxa"/>
            <w:tcMar>
              <w:top w:w="0" w:type="dxa"/>
              <w:left w:w="30" w:type="dxa"/>
              <w:bottom w:w="0" w:type="dxa"/>
              <w:right w:w="30" w:type="dxa"/>
            </w:tcMar>
          </w:tcPr>
          <w:p w14:paraId="6E9808CC"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-5.2</w:t>
            </w:r>
          </w:p>
        </w:tc>
      </w:tr>
      <w:tr w:rsidR="00F81E30" w:rsidRPr="00F81E30" w14:paraId="50217269" w14:textId="77777777" w:rsidTr="003916ED">
        <w:trPr>
          <w:trHeight w:val="300"/>
          <w:jc w:val="center"/>
        </w:trPr>
        <w:tc>
          <w:tcPr>
            <w:tcW w:w="1560" w:type="dxa"/>
            <w:tcMar>
              <w:top w:w="0" w:type="dxa"/>
              <w:left w:w="30" w:type="dxa"/>
              <w:bottom w:w="0" w:type="dxa"/>
              <w:right w:w="30" w:type="dxa"/>
            </w:tcMar>
          </w:tcPr>
          <w:p w14:paraId="7924E2AC"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1718CA49"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221.6</w:t>
            </w:r>
          </w:p>
        </w:tc>
        <w:tc>
          <w:tcPr>
            <w:tcW w:w="2160" w:type="dxa"/>
            <w:tcMar>
              <w:top w:w="0" w:type="dxa"/>
              <w:left w:w="30" w:type="dxa"/>
              <w:bottom w:w="0" w:type="dxa"/>
              <w:right w:w="30" w:type="dxa"/>
            </w:tcMar>
          </w:tcPr>
          <w:p w14:paraId="2D151847"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1D5139C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w:t>
            </w:r>
          </w:p>
        </w:tc>
      </w:tr>
      <w:tr w:rsidR="00F81E30" w:rsidRPr="00F81E30" w14:paraId="6AF42D8F" w14:textId="77777777" w:rsidTr="003916ED">
        <w:trPr>
          <w:trHeight w:val="300"/>
          <w:jc w:val="center"/>
        </w:trPr>
        <w:tc>
          <w:tcPr>
            <w:tcW w:w="1560" w:type="dxa"/>
            <w:tcMar>
              <w:top w:w="0" w:type="dxa"/>
              <w:left w:w="30" w:type="dxa"/>
              <w:bottom w:w="0" w:type="dxa"/>
              <w:right w:w="30" w:type="dxa"/>
            </w:tcMar>
          </w:tcPr>
          <w:p w14:paraId="2E2F030F"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5C9512EA"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250</w:t>
            </w:r>
          </w:p>
        </w:tc>
        <w:tc>
          <w:tcPr>
            <w:tcW w:w="2160" w:type="dxa"/>
            <w:tcMar>
              <w:top w:w="0" w:type="dxa"/>
              <w:left w:w="30" w:type="dxa"/>
              <w:bottom w:w="0" w:type="dxa"/>
              <w:right w:w="30" w:type="dxa"/>
            </w:tcMar>
          </w:tcPr>
          <w:p w14:paraId="5E038B4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4901F3D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w:t>
            </w:r>
          </w:p>
        </w:tc>
      </w:tr>
      <w:tr w:rsidR="00F81E30" w:rsidRPr="00F81E30" w14:paraId="7D63026A" w14:textId="77777777" w:rsidTr="003916ED">
        <w:trPr>
          <w:trHeight w:val="300"/>
          <w:jc w:val="center"/>
        </w:trPr>
        <w:tc>
          <w:tcPr>
            <w:tcW w:w="1560" w:type="dxa"/>
            <w:tcMar>
              <w:top w:w="0" w:type="dxa"/>
              <w:left w:w="30" w:type="dxa"/>
              <w:bottom w:w="0" w:type="dxa"/>
              <w:right w:w="30" w:type="dxa"/>
            </w:tcMar>
          </w:tcPr>
          <w:p w14:paraId="3484B877"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62A58E4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227.6</w:t>
            </w:r>
          </w:p>
        </w:tc>
        <w:tc>
          <w:tcPr>
            <w:tcW w:w="2160" w:type="dxa"/>
            <w:tcMar>
              <w:top w:w="0" w:type="dxa"/>
              <w:left w:w="30" w:type="dxa"/>
              <w:bottom w:w="0" w:type="dxa"/>
              <w:right w:w="30" w:type="dxa"/>
            </w:tcMar>
          </w:tcPr>
          <w:p w14:paraId="044F82C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w:t>
            </w:r>
          </w:p>
        </w:tc>
        <w:tc>
          <w:tcPr>
            <w:tcW w:w="2160" w:type="dxa"/>
            <w:tcMar>
              <w:top w:w="0" w:type="dxa"/>
              <w:left w:w="30" w:type="dxa"/>
              <w:bottom w:w="0" w:type="dxa"/>
              <w:right w:w="30" w:type="dxa"/>
            </w:tcMar>
          </w:tcPr>
          <w:p w14:paraId="79599982"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-4.6</w:t>
            </w:r>
          </w:p>
        </w:tc>
      </w:tr>
      <w:tr w:rsidR="00F81E30" w:rsidRPr="00F81E30" w14:paraId="6B80639D" w14:textId="77777777" w:rsidTr="003916ED">
        <w:trPr>
          <w:trHeight w:val="300"/>
          <w:jc w:val="center"/>
        </w:trPr>
        <w:tc>
          <w:tcPr>
            <w:tcW w:w="1560" w:type="dxa"/>
            <w:tcMar>
              <w:top w:w="0" w:type="dxa"/>
              <w:left w:w="30" w:type="dxa"/>
              <w:bottom w:w="0" w:type="dxa"/>
              <w:right w:w="30" w:type="dxa"/>
            </w:tcMar>
          </w:tcPr>
          <w:p w14:paraId="5A6095D1"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46604FC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120</w:t>
            </w:r>
          </w:p>
        </w:tc>
        <w:tc>
          <w:tcPr>
            <w:tcW w:w="2160" w:type="dxa"/>
            <w:tcMar>
              <w:top w:w="0" w:type="dxa"/>
              <w:left w:w="30" w:type="dxa"/>
              <w:bottom w:w="0" w:type="dxa"/>
              <w:right w:w="30" w:type="dxa"/>
            </w:tcMar>
          </w:tcPr>
          <w:p w14:paraId="77E0C7B3"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w:t>
            </w:r>
          </w:p>
        </w:tc>
        <w:tc>
          <w:tcPr>
            <w:tcW w:w="2160" w:type="dxa"/>
            <w:tcMar>
              <w:top w:w="0" w:type="dxa"/>
              <w:left w:w="30" w:type="dxa"/>
              <w:bottom w:w="0" w:type="dxa"/>
              <w:right w:w="30" w:type="dxa"/>
            </w:tcMar>
          </w:tcPr>
          <w:p w14:paraId="055A126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w:t>
            </w:r>
          </w:p>
        </w:tc>
      </w:tr>
      <w:tr w:rsidR="00F81E30" w:rsidRPr="00F81E30" w14:paraId="7474563F" w14:textId="77777777" w:rsidTr="003916ED">
        <w:trPr>
          <w:trHeight w:val="300"/>
          <w:jc w:val="center"/>
        </w:trPr>
        <w:tc>
          <w:tcPr>
            <w:tcW w:w="1560" w:type="dxa"/>
            <w:tcMar>
              <w:top w:w="0" w:type="dxa"/>
              <w:left w:w="30" w:type="dxa"/>
              <w:bottom w:w="0" w:type="dxa"/>
              <w:right w:w="30" w:type="dxa"/>
            </w:tcMar>
          </w:tcPr>
          <w:p w14:paraId="377A5D58"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6C5BD49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152</w:t>
            </w:r>
          </w:p>
        </w:tc>
        <w:tc>
          <w:tcPr>
            <w:tcW w:w="2160" w:type="dxa"/>
            <w:tcMar>
              <w:top w:w="0" w:type="dxa"/>
              <w:left w:w="30" w:type="dxa"/>
              <w:bottom w:w="0" w:type="dxa"/>
              <w:right w:w="30" w:type="dxa"/>
            </w:tcMar>
          </w:tcPr>
          <w:p w14:paraId="19F81DC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3.5</w:t>
            </w:r>
          </w:p>
        </w:tc>
        <w:tc>
          <w:tcPr>
            <w:tcW w:w="2160" w:type="dxa"/>
            <w:tcMar>
              <w:top w:w="0" w:type="dxa"/>
              <w:left w:w="30" w:type="dxa"/>
              <w:bottom w:w="0" w:type="dxa"/>
              <w:right w:w="30" w:type="dxa"/>
            </w:tcMar>
          </w:tcPr>
          <w:p w14:paraId="5E9AD1ED"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-1.2</w:t>
            </w:r>
          </w:p>
        </w:tc>
      </w:tr>
      <w:tr w:rsidR="00F81E30" w:rsidRPr="00F81E30" w14:paraId="2ACB5C58" w14:textId="77777777" w:rsidTr="003916ED">
        <w:trPr>
          <w:trHeight w:val="300"/>
          <w:jc w:val="center"/>
        </w:trPr>
        <w:tc>
          <w:tcPr>
            <w:tcW w:w="1560" w:type="dxa"/>
            <w:tcMar>
              <w:top w:w="0" w:type="dxa"/>
              <w:left w:w="30" w:type="dxa"/>
              <w:bottom w:w="0" w:type="dxa"/>
              <w:right w:w="30" w:type="dxa"/>
            </w:tcMar>
          </w:tcPr>
          <w:p w14:paraId="2E1DB755"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qtz8</w:t>
            </w:r>
          </w:p>
        </w:tc>
        <w:tc>
          <w:tcPr>
            <w:tcW w:w="2080" w:type="dxa"/>
            <w:tcMar>
              <w:top w:w="0" w:type="dxa"/>
              <w:left w:w="30" w:type="dxa"/>
              <w:bottom w:w="0" w:type="dxa"/>
              <w:right w:w="30" w:type="dxa"/>
            </w:tcMar>
          </w:tcPr>
          <w:p w14:paraId="450F08E0"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247.9</w:t>
            </w:r>
          </w:p>
        </w:tc>
        <w:tc>
          <w:tcPr>
            <w:tcW w:w="2160" w:type="dxa"/>
            <w:tcMar>
              <w:top w:w="0" w:type="dxa"/>
              <w:left w:w="30" w:type="dxa"/>
              <w:bottom w:w="0" w:type="dxa"/>
              <w:right w:w="30" w:type="dxa"/>
            </w:tcMar>
          </w:tcPr>
          <w:p w14:paraId="6CD460C6"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1.4</w:t>
            </w:r>
          </w:p>
        </w:tc>
        <w:tc>
          <w:tcPr>
            <w:tcW w:w="2160" w:type="dxa"/>
            <w:tcMar>
              <w:top w:w="0" w:type="dxa"/>
              <w:left w:w="30" w:type="dxa"/>
              <w:bottom w:w="0" w:type="dxa"/>
              <w:right w:w="30" w:type="dxa"/>
            </w:tcMar>
          </w:tcPr>
          <w:p w14:paraId="2A917F3F"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r w:rsidR="00F81E30" w:rsidRPr="00F81E30" w14:paraId="12047FE9" w14:textId="77777777" w:rsidTr="003916ED">
        <w:trPr>
          <w:trHeight w:val="300"/>
          <w:jc w:val="center"/>
        </w:trPr>
        <w:tc>
          <w:tcPr>
            <w:tcW w:w="1560" w:type="dxa"/>
            <w:tcMar>
              <w:top w:w="0" w:type="dxa"/>
              <w:left w:w="30" w:type="dxa"/>
              <w:bottom w:w="0" w:type="dxa"/>
              <w:right w:w="30" w:type="dxa"/>
            </w:tcMar>
          </w:tcPr>
          <w:p w14:paraId="56A2683F"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qtz9</w:t>
            </w:r>
          </w:p>
        </w:tc>
        <w:tc>
          <w:tcPr>
            <w:tcW w:w="2080" w:type="dxa"/>
            <w:tcMar>
              <w:top w:w="0" w:type="dxa"/>
              <w:left w:w="30" w:type="dxa"/>
              <w:bottom w:w="0" w:type="dxa"/>
              <w:right w:w="30" w:type="dxa"/>
            </w:tcMar>
          </w:tcPr>
          <w:p w14:paraId="2F860F48"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190.8</w:t>
            </w:r>
          </w:p>
        </w:tc>
        <w:tc>
          <w:tcPr>
            <w:tcW w:w="2160" w:type="dxa"/>
            <w:tcMar>
              <w:top w:w="0" w:type="dxa"/>
              <w:left w:w="30" w:type="dxa"/>
              <w:bottom w:w="0" w:type="dxa"/>
              <w:right w:w="30" w:type="dxa"/>
            </w:tcMar>
          </w:tcPr>
          <w:p w14:paraId="4505013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2.2</w:t>
            </w:r>
          </w:p>
        </w:tc>
        <w:tc>
          <w:tcPr>
            <w:tcW w:w="2160" w:type="dxa"/>
            <w:tcMar>
              <w:top w:w="0" w:type="dxa"/>
              <w:left w:w="30" w:type="dxa"/>
              <w:bottom w:w="0" w:type="dxa"/>
              <w:right w:w="30" w:type="dxa"/>
            </w:tcMar>
          </w:tcPr>
          <w:p w14:paraId="6C0B8BF1"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-5.7</w:t>
            </w:r>
          </w:p>
        </w:tc>
      </w:tr>
      <w:tr w:rsidR="00F81E30" w:rsidRPr="00F81E30" w14:paraId="2663DF71" w14:textId="77777777" w:rsidTr="003916ED">
        <w:trPr>
          <w:trHeight w:val="300"/>
          <w:jc w:val="center"/>
        </w:trPr>
        <w:tc>
          <w:tcPr>
            <w:tcW w:w="1560" w:type="dxa"/>
            <w:tcBorders>
              <w:bottom w:val="single" w:sz="4" w:space="0" w:color="000000"/>
            </w:tcBorders>
          </w:tcPr>
          <w:p w14:paraId="51ABBBBA" w14:textId="77777777" w:rsidR="00F81E30" w:rsidRPr="00F81E30" w:rsidRDefault="00F81E30" w:rsidP="00F81E30">
            <w:pPr>
              <w:suppressAutoHyphens/>
              <w:spacing w:after="0" w:line="240" w:lineRule="auto"/>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qtz9</w:t>
            </w:r>
          </w:p>
        </w:tc>
        <w:tc>
          <w:tcPr>
            <w:tcW w:w="2080" w:type="dxa"/>
            <w:tcBorders>
              <w:bottom w:val="single" w:sz="4" w:space="0" w:color="000000"/>
            </w:tcBorders>
          </w:tcPr>
          <w:p w14:paraId="444D9D3F"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220</w:t>
            </w:r>
          </w:p>
        </w:tc>
        <w:tc>
          <w:tcPr>
            <w:tcW w:w="2160" w:type="dxa"/>
            <w:tcBorders>
              <w:bottom w:val="single" w:sz="4" w:space="0" w:color="000000"/>
            </w:tcBorders>
          </w:tcPr>
          <w:p w14:paraId="70964915"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1.5</w:t>
            </w:r>
          </w:p>
        </w:tc>
        <w:tc>
          <w:tcPr>
            <w:tcW w:w="2160" w:type="dxa"/>
            <w:tcBorders>
              <w:bottom w:val="single" w:sz="4" w:space="0" w:color="000000"/>
            </w:tcBorders>
          </w:tcPr>
          <w:p w14:paraId="507EAA9B" w14:textId="77777777" w:rsidR="00F81E30" w:rsidRPr="00F81E30" w:rsidRDefault="00F81E30" w:rsidP="00F81E30">
            <w:pPr>
              <w:suppressAutoHyphens/>
              <w:spacing w:after="0" w:line="240" w:lineRule="auto"/>
              <w:jc w:val="right"/>
              <w:rPr>
                <w:rFonts w:ascii="Times New Roman" w:eastAsia="Noto Sans CJK JP" w:hAnsi="Times New Roman" w:cs="Tahoma"/>
                <w:color w:val="000000"/>
                <w:sz w:val="20"/>
                <w:szCs w:val="20"/>
                <w14:ligatures w14:val="none"/>
              </w:rPr>
            </w:pPr>
            <w:r w:rsidRPr="00F81E30">
              <w:rPr>
                <w:rFonts w:ascii="Times New Roman" w:eastAsia="Noto Sans CJK JP" w:hAnsi="Times New Roman" w:cs="Tahoma"/>
                <w:color w:val="000000"/>
                <w:sz w:val="20"/>
                <w:szCs w:val="20"/>
                <w14:ligatures w14:val="none"/>
              </w:rPr>
              <w:t>-</w:t>
            </w:r>
          </w:p>
        </w:tc>
      </w:tr>
    </w:tbl>
    <w:p w14:paraId="55C63688" w14:textId="77777777" w:rsidR="00276289" w:rsidRDefault="00276289">
      <w:pPr>
        <w:sectPr w:rsidR="00276289" w:rsidSect="00F81E30">
          <w:pgSz w:w="12240" w:h="15840"/>
          <w:pgMar w:top="1138" w:right="1138" w:bottom="1138" w:left="1138" w:header="720" w:footer="720" w:gutter="0"/>
          <w:cols w:space="720"/>
          <w:docGrid w:linePitch="360"/>
        </w:sectPr>
      </w:pPr>
    </w:p>
    <w:p w14:paraId="76D7317C" w14:textId="3026ED8D" w:rsidR="00276289" w:rsidRDefault="00276289"/>
    <w:p w14:paraId="5DD63F72" w14:textId="68059654" w:rsidR="009210CF" w:rsidRPr="00E240BA" w:rsidRDefault="009210CF" w:rsidP="009210CF">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sidR="00C92215">
        <w:rPr>
          <w:rFonts w:ascii="Times New Roman" w:hAnsi="Times New Roman" w:cs="Times New Roman"/>
          <w:color w:val="auto"/>
          <w:sz w:val="20"/>
          <w:szCs w:val="20"/>
        </w:rPr>
        <w:t>4</w:t>
      </w:r>
      <w:r w:rsidRPr="00E240BA">
        <w:rPr>
          <w:rFonts w:ascii="Times New Roman" w:hAnsi="Times New Roman" w:cs="Times New Roman"/>
          <w:color w:val="auto"/>
          <w:sz w:val="20"/>
          <w:szCs w:val="20"/>
        </w:rPr>
        <w:t xml:space="preserve">. </w:t>
      </w:r>
      <w:r w:rsidRPr="00E240BA">
        <w:rPr>
          <w:rFonts w:ascii="Times New Roman" w:hAnsi="Times New Roman" w:cs="Times New Roman"/>
          <w:b/>
          <w:bCs/>
          <w:color w:val="auto"/>
          <w:sz w:val="20"/>
          <w:szCs w:val="20"/>
        </w:rPr>
        <w:t>Dolomite concentration</w:t>
      </w:r>
      <w:r w:rsidRPr="00E240BA">
        <w:rPr>
          <w:rFonts w:ascii="Times New Roman" w:hAnsi="Times New Roman" w:cs="Times New Roman"/>
          <w:color w:val="auto"/>
          <w:sz w:val="20"/>
          <w:szCs w:val="20"/>
        </w:rPr>
        <w:t xml:space="preserve"> of the breccia matrix with variation of Fe and Mg as shown in (Supplementary Fig. 1)</w:t>
      </w:r>
    </w:p>
    <w:tbl>
      <w:tblPr>
        <w:tblW w:w="12330" w:type="dxa"/>
        <w:jc w:val="center"/>
        <w:tblLayout w:type="fixed"/>
        <w:tblCellMar>
          <w:left w:w="30" w:type="dxa"/>
          <w:right w:w="30" w:type="dxa"/>
        </w:tblCellMar>
        <w:tblLook w:val="04A0" w:firstRow="1" w:lastRow="0" w:firstColumn="1" w:lastColumn="0" w:noHBand="0" w:noVBand="1"/>
      </w:tblPr>
      <w:tblGrid>
        <w:gridCol w:w="1124"/>
        <w:gridCol w:w="1126"/>
        <w:gridCol w:w="1124"/>
        <w:gridCol w:w="1126"/>
        <w:gridCol w:w="1124"/>
        <w:gridCol w:w="1125"/>
        <w:gridCol w:w="1126"/>
        <w:gridCol w:w="1124"/>
        <w:gridCol w:w="1126"/>
        <w:gridCol w:w="1124"/>
        <w:gridCol w:w="1081"/>
      </w:tblGrid>
      <w:tr w:rsidR="00276289" w:rsidRPr="00276289" w14:paraId="4A0A1D53" w14:textId="77777777" w:rsidTr="003916ED">
        <w:trPr>
          <w:trHeight w:val="300"/>
          <w:jc w:val="center"/>
        </w:trPr>
        <w:tc>
          <w:tcPr>
            <w:tcW w:w="1124" w:type="dxa"/>
            <w:tcBorders>
              <w:top w:val="single" w:sz="6" w:space="0" w:color="000000"/>
              <w:bottom w:val="single" w:sz="6" w:space="0" w:color="000000"/>
            </w:tcBorders>
          </w:tcPr>
          <w:p w14:paraId="38925A15"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126" w:type="dxa"/>
            <w:tcBorders>
              <w:top w:val="single" w:sz="6" w:space="0" w:color="000000"/>
              <w:bottom w:val="single" w:sz="6" w:space="0" w:color="000000"/>
            </w:tcBorders>
          </w:tcPr>
          <w:p w14:paraId="6196B12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w:t>
            </w:r>
          </w:p>
        </w:tc>
        <w:tc>
          <w:tcPr>
            <w:tcW w:w="1124" w:type="dxa"/>
            <w:tcBorders>
              <w:top w:val="single" w:sz="6" w:space="0" w:color="000000"/>
              <w:bottom w:val="single" w:sz="6" w:space="0" w:color="000000"/>
            </w:tcBorders>
          </w:tcPr>
          <w:p w14:paraId="6D179AC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dol2</w:t>
            </w:r>
          </w:p>
        </w:tc>
        <w:tc>
          <w:tcPr>
            <w:tcW w:w="1126" w:type="dxa"/>
            <w:tcBorders>
              <w:top w:val="single" w:sz="6" w:space="0" w:color="000000"/>
              <w:bottom w:val="single" w:sz="6" w:space="0" w:color="000000"/>
            </w:tcBorders>
          </w:tcPr>
          <w:p w14:paraId="3D99D48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dol3</w:t>
            </w:r>
          </w:p>
        </w:tc>
        <w:tc>
          <w:tcPr>
            <w:tcW w:w="1124" w:type="dxa"/>
            <w:tcBorders>
              <w:top w:val="single" w:sz="6" w:space="0" w:color="000000"/>
              <w:bottom w:val="single" w:sz="6" w:space="0" w:color="000000"/>
            </w:tcBorders>
          </w:tcPr>
          <w:p w14:paraId="517B323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dol4</w:t>
            </w:r>
          </w:p>
        </w:tc>
        <w:tc>
          <w:tcPr>
            <w:tcW w:w="1125" w:type="dxa"/>
            <w:tcBorders>
              <w:top w:val="single" w:sz="6" w:space="0" w:color="000000"/>
              <w:bottom w:val="single" w:sz="6" w:space="0" w:color="000000"/>
            </w:tcBorders>
          </w:tcPr>
          <w:p w14:paraId="7E41FC0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dol5</w:t>
            </w:r>
          </w:p>
        </w:tc>
        <w:tc>
          <w:tcPr>
            <w:tcW w:w="1126" w:type="dxa"/>
            <w:tcBorders>
              <w:top w:val="single" w:sz="6" w:space="0" w:color="000000"/>
              <w:bottom w:val="single" w:sz="6" w:space="0" w:color="000000"/>
            </w:tcBorders>
          </w:tcPr>
          <w:p w14:paraId="446FBF5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dol6</w:t>
            </w:r>
          </w:p>
        </w:tc>
        <w:tc>
          <w:tcPr>
            <w:tcW w:w="1124" w:type="dxa"/>
            <w:tcBorders>
              <w:top w:val="single" w:sz="6" w:space="0" w:color="000000"/>
              <w:bottom w:val="single" w:sz="6" w:space="0" w:color="000000"/>
            </w:tcBorders>
          </w:tcPr>
          <w:p w14:paraId="0E0D2CA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dol7</w:t>
            </w:r>
          </w:p>
        </w:tc>
        <w:tc>
          <w:tcPr>
            <w:tcW w:w="1126" w:type="dxa"/>
            <w:tcBorders>
              <w:top w:val="single" w:sz="6" w:space="0" w:color="000000"/>
              <w:bottom w:val="single" w:sz="6" w:space="0" w:color="000000"/>
            </w:tcBorders>
          </w:tcPr>
          <w:p w14:paraId="2A75C7C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dol8</w:t>
            </w:r>
          </w:p>
        </w:tc>
        <w:tc>
          <w:tcPr>
            <w:tcW w:w="1124" w:type="dxa"/>
            <w:tcBorders>
              <w:top w:val="single" w:sz="6" w:space="0" w:color="000000"/>
              <w:bottom w:val="single" w:sz="6" w:space="0" w:color="000000"/>
            </w:tcBorders>
          </w:tcPr>
          <w:p w14:paraId="037EB68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dol9</w:t>
            </w:r>
          </w:p>
        </w:tc>
        <w:tc>
          <w:tcPr>
            <w:tcW w:w="1081" w:type="dxa"/>
            <w:tcBorders>
              <w:top w:val="single" w:sz="6" w:space="0" w:color="000000"/>
              <w:bottom w:val="single" w:sz="6" w:space="0" w:color="000000"/>
            </w:tcBorders>
          </w:tcPr>
          <w:p w14:paraId="2F2C1ABA"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dol10</w:t>
            </w:r>
          </w:p>
        </w:tc>
      </w:tr>
      <w:tr w:rsidR="00276289" w:rsidRPr="00276289" w14:paraId="7113F4B9" w14:textId="77777777" w:rsidTr="003916ED">
        <w:trPr>
          <w:trHeight w:val="300"/>
          <w:jc w:val="center"/>
        </w:trPr>
        <w:tc>
          <w:tcPr>
            <w:tcW w:w="1124" w:type="dxa"/>
          </w:tcPr>
          <w:p w14:paraId="0113C522"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proofErr w:type="spellStart"/>
            <w:r w:rsidRPr="00276289">
              <w:rPr>
                <w:rFonts w:ascii="Times New Roman" w:eastAsia="Noto Sans CJK JP" w:hAnsi="Times New Roman" w:cs="Tahoma"/>
                <w:color w:val="000000"/>
                <w:sz w:val="20"/>
                <w:szCs w:val="24"/>
                <w14:ligatures w14:val="none"/>
              </w:rPr>
              <w:t>CaO</w:t>
            </w:r>
            <w:proofErr w:type="spellEnd"/>
            <w:r w:rsidRPr="00276289">
              <w:rPr>
                <w:rFonts w:ascii="Times New Roman" w:eastAsia="Noto Sans CJK JP" w:hAnsi="Times New Roman" w:cs="Tahoma"/>
                <w:color w:val="000000"/>
                <w:sz w:val="20"/>
                <w:szCs w:val="24"/>
                <w14:ligatures w14:val="none"/>
              </w:rPr>
              <w:t xml:space="preserve">   </w:t>
            </w:r>
          </w:p>
        </w:tc>
        <w:tc>
          <w:tcPr>
            <w:tcW w:w="1126" w:type="dxa"/>
          </w:tcPr>
          <w:p w14:paraId="6E7E63D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33.08 </w:t>
            </w:r>
          </w:p>
        </w:tc>
        <w:tc>
          <w:tcPr>
            <w:tcW w:w="1124" w:type="dxa"/>
          </w:tcPr>
          <w:p w14:paraId="01CA368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33.55 </w:t>
            </w:r>
          </w:p>
        </w:tc>
        <w:tc>
          <w:tcPr>
            <w:tcW w:w="1126" w:type="dxa"/>
          </w:tcPr>
          <w:p w14:paraId="459AE09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34.35 </w:t>
            </w:r>
          </w:p>
        </w:tc>
        <w:tc>
          <w:tcPr>
            <w:tcW w:w="1124" w:type="dxa"/>
          </w:tcPr>
          <w:p w14:paraId="61A6CAE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33.77 </w:t>
            </w:r>
          </w:p>
        </w:tc>
        <w:tc>
          <w:tcPr>
            <w:tcW w:w="1125" w:type="dxa"/>
          </w:tcPr>
          <w:p w14:paraId="56C242A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32.39 </w:t>
            </w:r>
          </w:p>
        </w:tc>
        <w:tc>
          <w:tcPr>
            <w:tcW w:w="1126" w:type="dxa"/>
          </w:tcPr>
          <w:p w14:paraId="7582DDF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32.18 </w:t>
            </w:r>
          </w:p>
        </w:tc>
        <w:tc>
          <w:tcPr>
            <w:tcW w:w="1124" w:type="dxa"/>
          </w:tcPr>
          <w:p w14:paraId="388B72B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32.58 </w:t>
            </w:r>
          </w:p>
        </w:tc>
        <w:tc>
          <w:tcPr>
            <w:tcW w:w="1126" w:type="dxa"/>
          </w:tcPr>
          <w:p w14:paraId="58BD236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32.27 </w:t>
            </w:r>
          </w:p>
        </w:tc>
        <w:tc>
          <w:tcPr>
            <w:tcW w:w="1124" w:type="dxa"/>
          </w:tcPr>
          <w:p w14:paraId="6B0444D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31.60 </w:t>
            </w:r>
          </w:p>
        </w:tc>
        <w:tc>
          <w:tcPr>
            <w:tcW w:w="1081" w:type="dxa"/>
          </w:tcPr>
          <w:p w14:paraId="1DD0DF51"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30.98 </w:t>
            </w:r>
          </w:p>
        </w:tc>
      </w:tr>
      <w:tr w:rsidR="00276289" w:rsidRPr="00276289" w14:paraId="2389A163" w14:textId="77777777" w:rsidTr="003916ED">
        <w:trPr>
          <w:trHeight w:val="300"/>
          <w:jc w:val="center"/>
        </w:trPr>
        <w:tc>
          <w:tcPr>
            <w:tcW w:w="1124" w:type="dxa"/>
          </w:tcPr>
          <w:p w14:paraId="25A0564B"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MgO   </w:t>
            </w:r>
          </w:p>
        </w:tc>
        <w:tc>
          <w:tcPr>
            <w:tcW w:w="1126" w:type="dxa"/>
          </w:tcPr>
          <w:p w14:paraId="131B431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9.68 </w:t>
            </w:r>
          </w:p>
        </w:tc>
        <w:tc>
          <w:tcPr>
            <w:tcW w:w="1124" w:type="dxa"/>
          </w:tcPr>
          <w:p w14:paraId="17EA1DB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9.30 </w:t>
            </w:r>
          </w:p>
        </w:tc>
        <w:tc>
          <w:tcPr>
            <w:tcW w:w="1126" w:type="dxa"/>
          </w:tcPr>
          <w:p w14:paraId="0B82536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9.90 </w:t>
            </w:r>
          </w:p>
        </w:tc>
        <w:tc>
          <w:tcPr>
            <w:tcW w:w="1124" w:type="dxa"/>
          </w:tcPr>
          <w:p w14:paraId="21C5E45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9.68 </w:t>
            </w:r>
          </w:p>
        </w:tc>
        <w:tc>
          <w:tcPr>
            <w:tcW w:w="1125" w:type="dxa"/>
          </w:tcPr>
          <w:p w14:paraId="3FD6B71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9.24 </w:t>
            </w:r>
          </w:p>
        </w:tc>
        <w:tc>
          <w:tcPr>
            <w:tcW w:w="1126" w:type="dxa"/>
          </w:tcPr>
          <w:p w14:paraId="2B3B28D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6.87 </w:t>
            </w:r>
          </w:p>
        </w:tc>
        <w:tc>
          <w:tcPr>
            <w:tcW w:w="1124" w:type="dxa"/>
          </w:tcPr>
          <w:p w14:paraId="179A125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9.38 </w:t>
            </w:r>
          </w:p>
        </w:tc>
        <w:tc>
          <w:tcPr>
            <w:tcW w:w="1126" w:type="dxa"/>
          </w:tcPr>
          <w:p w14:paraId="0CBDD4A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9.65 </w:t>
            </w:r>
          </w:p>
        </w:tc>
        <w:tc>
          <w:tcPr>
            <w:tcW w:w="1124" w:type="dxa"/>
          </w:tcPr>
          <w:p w14:paraId="699467C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8.23 </w:t>
            </w:r>
          </w:p>
        </w:tc>
        <w:tc>
          <w:tcPr>
            <w:tcW w:w="1081" w:type="dxa"/>
          </w:tcPr>
          <w:p w14:paraId="7D5E3E51"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6.92 </w:t>
            </w:r>
          </w:p>
        </w:tc>
      </w:tr>
      <w:tr w:rsidR="00276289" w:rsidRPr="00276289" w14:paraId="591B9618" w14:textId="77777777" w:rsidTr="003916ED">
        <w:trPr>
          <w:trHeight w:val="300"/>
          <w:jc w:val="center"/>
        </w:trPr>
        <w:tc>
          <w:tcPr>
            <w:tcW w:w="1124" w:type="dxa"/>
          </w:tcPr>
          <w:p w14:paraId="72012575"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FeO   </w:t>
            </w:r>
          </w:p>
        </w:tc>
        <w:tc>
          <w:tcPr>
            <w:tcW w:w="1126" w:type="dxa"/>
          </w:tcPr>
          <w:p w14:paraId="3106F92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12.58 </w:t>
            </w:r>
          </w:p>
        </w:tc>
        <w:tc>
          <w:tcPr>
            <w:tcW w:w="1124" w:type="dxa"/>
          </w:tcPr>
          <w:p w14:paraId="7392475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12.20 </w:t>
            </w:r>
          </w:p>
        </w:tc>
        <w:tc>
          <w:tcPr>
            <w:tcW w:w="1126" w:type="dxa"/>
          </w:tcPr>
          <w:p w14:paraId="4DC757C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12.10 </w:t>
            </w:r>
          </w:p>
        </w:tc>
        <w:tc>
          <w:tcPr>
            <w:tcW w:w="1124" w:type="dxa"/>
          </w:tcPr>
          <w:p w14:paraId="737E52D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11.70 </w:t>
            </w:r>
          </w:p>
        </w:tc>
        <w:tc>
          <w:tcPr>
            <w:tcW w:w="1125" w:type="dxa"/>
          </w:tcPr>
          <w:p w14:paraId="503DDAA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12.75 </w:t>
            </w:r>
          </w:p>
        </w:tc>
        <w:tc>
          <w:tcPr>
            <w:tcW w:w="1126" w:type="dxa"/>
          </w:tcPr>
          <w:p w14:paraId="6FF90D2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13.64 </w:t>
            </w:r>
          </w:p>
        </w:tc>
        <w:tc>
          <w:tcPr>
            <w:tcW w:w="1124" w:type="dxa"/>
          </w:tcPr>
          <w:p w14:paraId="407A99F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11.32 </w:t>
            </w:r>
          </w:p>
        </w:tc>
        <w:tc>
          <w:tcPr>
            <w:tcW w:w="1126" w:type="dxa"/>
          </w:tcPr>
          <w:p w14:paraId="3A724C7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11.79 </w:t>
            </w:r>
          </w:p>
        </w:tc>
        <w:tc>
          <w:tcPr>
            <w:tcW w:w="1124" w:type="dxa"/>
          </w:tcPr>
          <w:p w14:paraId="4DEC24A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13.78 </w:t>
            </w:r>
          </w:p>
        </w:tc>
        <w:tc>
          <w:tcPr>
            <w:tcW w:w="1081" w:type="dxa"/>
          </w:tcPr>
          <w:p w14:paraId="7746258D"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14.90 </w:t>
            </w:r>
          </w:p>
        </w:tc>
      </w:tr>
      <w:tr w:rsidR="00276289" w:rsidRPr="00276289" w14:paraId="1D76D501" w14:textId="77777777" w:rsidTr="003916ED">
        <w:trPr>
          <w:trHeight w:val="300"/>
          <w:jc w:val="center"/>
        </w:trPr>
        <w:tc>
          <w:tcPr>
            <w:tcW w:w="1124" w:type="dxa"/>
          </w:tcPr>
          <w:p w14:paraId="125A0AF0"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Na2O  </w:t>
            </w:r>
          </w:p>
        </w:tc>
        <w:tc>
          <w:tcPr>
            <w:tcW w:w="1126" w:type="dxa"/>
          </w:tcPr>
          <w:p w14:paraId="2362421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0.08 </w:t>
            </w:r>
          </w:p>
        </w:tc>
        <w:tc>
          <w:tcPr>
            <w:tcW w:w="1124" w:type="dxa"/>
          </w:tcPr>
          <w:p w14:paraId="0B8E99A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0.08 </w:t>
            </w:r>
          </w:p>
        </w:tc>
        <w:tc>
          <w:tcPr>
            <w:tcW w:w="1126" w:type="dxa"/>
          </w:tcPr>
          <w:p w14:paraId="78A9EDC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A135E5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0.08 </w:t>
            </w:r>
          </w:p>
        </w:tc>
        <w:tc>
          <w:tcPr>
            <w:tcW w:w="1125" w:type="dxa"/>
          </w:tcPr>
          <w:p w14:paraId="4416AC8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34E5CC7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EE138F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0.08 </w:t>
            </w:r>
          </w:p>
        </w:tc>
        <w:tc>
          <w:tcPr>
            <w:tcW w:w="1126" w:type="dxa"/>
          </w:tcPr>
          <w:p w14:paraId="5152FF6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4" w:type="dxa"/>
          </w:tcPr>
          <w:p w14:paraId="781CB13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7FC7578E"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0.09 </w:t>
            </w:r>
          </w:p>
        </w:tc>
      </w:tr>
      <w:tr w:rsidR="00276289" w:rsidRPr="00276289" w14:paraId="2422EA2E" w14:textId="77777777" w:rsidTr="003916ED">
        <w:trPr>
          <w:trHeight w:val="300"/>
          <w:jc w:val="center"/>
        </w:trPr>
        <w:tc>
          <w:tcPr>
            <w:tcW w:w="1124" w:type="dxa"/>
          </w:tcPr>
          <w:p w14:paraId="72D648EC"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K2O   </w:t>
            </w:r>
          </w:p>
        </w:tc>
        <w:tc>
          <w:tcPr>
            <w:tcW w:w="1126" w:type="dxa"/>
          </w:tcPr>
          <w:p w14:paraId="21B8837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3E983E4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7199FFA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3BF1D66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47BA14F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48C222E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5AC1474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6" w:type="dxa"/>
          </w:tcPr>
          <w:p w14:paraId="43D8C02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D50123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081" w:type="dxa"/>
          </w:tcPr>
          <w:p w14:paraId="33D8EDAE"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55948249" w14:textId="77777777" w:rsidTr="003916ED">
        <w:trPr>
          <w:trHeight w:val="300"/>
          <w:jc w:val="center"/>
        </w:trPr>
        <w:tc>
          <w:tcPr>
            <w:tcW w:w="1124" w:type="dxa"/>
          </w:tcPr>
          <w:p w14:paraId="6A7EA280"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Al2O3 </w:t>
            </w:r>
          </w:p>
        </w:tc>
        <w:tc>
          <w:tcPr>
            <w:tcW w:w="1126" w:type="dxa"/>
          </w:tcPr>
          <w:p w14:paraId="172D06C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3568F66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6" w:type="dxa"/>
          </w:tcPr>
          <w:p w14:paraId="16C2850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0.09 </w:t>
            </w:r>
          </w:p>
        </w:tc>
        <w:tc>
          <w:tcPr>
            <w:tcW w:w="1124" w:type="dxa"/>
          </w:tcPr>
          <w:p w14:paraId="3F76E1D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5" w:type="dxa"/>
          </w:tcPr>
          <w:p w14:paraId="4EC2F60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0.06 </w:t>
            </w:r>
          </w:p>
        </w:tc>
        <w:tc>
          <w:tcPr>
            <w:tcW w:w="1126" w:type="dxa"/>
          </w:tcPr>
          <w:p w14:paraId="2866681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0.03 </w:t>
            </w:r>
          </w:p>
        </w:tc>
        <w:tc>
          <w:tcPr>
            <w:tcW w:w="1124" w:type="dxa"/>
          </w:tcPr>
          <w:p w14:paraId="7BB39DC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0.03 </w:t>
            </w:r>
          </w:p>
        </w:tc>
        <w:tc>
          <w:tcPr>
            <w:tcW w:w="1126" w:type="dxa"/>
          </w:tcPr>
          <w:p w14:paraId="34B9E02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59D9C70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0.07 </w:t>
            </w:r>
          </w:p>
        </w:tc>
        <w:tc>
          <w:tcPr>
            <w:tcW w:w="1081" w:type="dxa"/>
          </w:tcPr>
          <w:p w14:paraId="12B56FF3"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2889C647" w14:textId="77777777" w:rsidTr="003916ED">
        <w:trPr>
          <w:trHeight w:val="300"/>
          <w:jc w:val="center"/>
        </w:trPr>
        <w:tc>
          <w:tcPr>
            <w:tcW w:w="1124" w:type="dxa"/>
          </w:tcPr>
          <w:p w14:paraId="3D570F86"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proofErr w:type="spellStart"/>
            <w:r w:rsidRPr="00276289">
              <w:rPr>
                <w:rFonts w:ascii="Times New Roman" w:eastAsia="Noto Sans CJK JP" w:hAnsi="Times New Roman" w:cs="Tahoma"/>
                <w:color w:val="000000"/>
                <w:sz w:val="20"/>
                <w:szCs w:val="24"/>
                <w14:ligatures w14:val="none"/>
              </w:rPr>
              <w:t>MnO</w:t>
            </w:r>
            <w:proofErr w:type="spellEnd"/>
            <w:r w:rsidRPr="00276289">
              <w:rPr>
                <w:rFonts w:ascii="Times New Roman" w:eastAsia="Noto Sans CJK JP" w:hAnsi="Times New Roman" w:cs="Tahoma"/>
                <w:color w:val="000000"/>
                <w:sz w:val="20"/>
                <w:szCs w:val="24"/>
                <w14:ligatures w14:val="none"/>
              </w:rPr>
              <w:t xml:space="preserve">   </w:t>
            </w:r>
          </w:p>
        </w:tc>
        <w:tc>
          <w:tcPr>
            <w:tcW w:w="1126" w:type="dxa"/>
          </w:tcPr>
          <w:p w14:paraId="4FFB5BD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0.55 </w:t>
            </w:r>
          </w:p>
        </w:tc>
        <w:tc>
          <w:tcPr>
            <w:tcW w:w="1124" w:type="dxa"/>
          </w:tcPr>
          <w:p w14:paraId="78FE86D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0.63 </w:t>
            </w:r>
          </w:p>
        </w:tc>
        <w:tc>
          <w:tcPr>
            <w:tcW w:w="1126" w:type="dxa"/>
          </w:tcPr>
          <w:p w14:paraId="5786DF9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0.47 </w:t>
            </w:r>
          </w:p>
        </w:tc>
        <w:tc>
          <w:tcPr>
            <w:tcW w:w="1124" w:type="dxa"/>
          </w:tcPr>
          <w:p w14:paraId="6C3D3BD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0.65 </w:t>
            </w:r>
          </w:p>
        </w:tc>
        <w:tc>
          <w:tcPr>
            <w:tcW w:w="1125" w:type="dxa"/>
          </w:tcPr>
          <w:p w14:paraId="042E5F1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1.06 </w:t>
            </w:r>
          </w:p>
        </w:tc>
        <w:tc>
          <w:tcPr>
            <w:tcW w:w="1126" w:type="dxa"/>
          </w:tcPr>
          <w:p w14:paraId="0203762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2.49 </w:t>
            </w:r>
          </w:p>
        </w:tc>
        <w:tc>
          <w:tcPr>
            <w:tcW w:w="1124" w:type="dxa"/>
          </w:tcPr>
          <w:p w14:paraId="59D7E2B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1.66 </w:t>
            </w:r>
          </w:p>
        </w:tc>
        <w:tc>
          <w:tcPr>
            <w:tcW w:w="1126" w:type="dxa"/>
          </w:tcPr>
          <w:p w14:paraId="4A20B98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1.09 </w:t>
            </w:r>
          </w:p>
        </w:tc>
        <w:tc>
          <w:tcPr>
            <w:tcW w:w="1124" w:type="dxa"/>
          </w:tcPr>
          <w:p w14:paraId="647A725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0.67 </w:t>
            </w:r>
          </w:p>
        </w:tc>
        <w:tc>
          <w:tcPr>
            <w:tcW w:w="1081" w:type="dxa"/>
          </w:tcPr>
          <w:p w14:paraId="48816EF0"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0.91 </w:t>
            </w:r>
          </w:p>
        </w:tc>
      </w:tr>
      <w:tr w:rsidR="00276289" w:rsidRPr="00276289" w14:paraId="1B14F395" w14:textId="77777777" w:rsidTr="003916ED">
        <w:trPr>
          <w:trHeight w:val="300"/>
          <w:jc w:val="center"/>
        </w:trPr>
        <w:tc>
          <w:tcPr>
            <w:tcW w:w="1124" w:type="dxa"/>
          </w:tcPr>
          <w:p w14:paraId="48886A82"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TiO2  </w:t>
            </w:r>
          </w:p>
        </w:tc>
        <w:tc>
          <w:tcPr>
            <w:tcW w:w="1126" w:type="dxa"/>
          </w:tcPr>
          <w:p w14:paraId="346AD97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4" w:type="dxa"/>
          </w:tcPr>
          <w:p w14:paraId="022574B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71FB32B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4CD5BD6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0.04 </w:t>
            </w:r>
          </w:p>
        </w:tc>
        <w:tc>
          <w:tcPr>
            <w:tcW w:w="1125" w:type="dxa"/>
          </w:tcPr>
          <w:p w14:paraId="3ED0BD7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690140E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4" w:type="dxa"/>
          </w:tcPr>
          <w:p w14:paraId="7024442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3A582CC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3BB354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1FF87E60"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65B613AD" w14:textId="77777777" w:rsidTr="003916ED">
        <w:trPr>
          <w:trHeight w:val="300"/>
          <w:jc w:val="center"/>
        </w:trPr>
        <w:tc>
          <w:tcPr>
            <w:tcW w:w="1124" w:type="dxa"/>
          </w:tcPr>
          <w:p w14:paraId="0DD15248"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Total</w:t>
            </w:r>
          </w:p>
        </w:tc>
        <w:tc>
          <w:tcPr>
            <w:tcW w:w="1126" w:type="dxa"/>
          </w:tcPr>
          <w:p w14:paraId="324E3BA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56.03 </w:t>
            </w:r>
          </w:p>
        </w:tc>
        <w:tc>
          <w:tcPr>
            <w:tcW w:w="1124" w:type="dxa"/>
          </w:tcPr>
          <w:p w14:paraId="7E52F83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55.80 </w:t>
            </w:r>
          </w:p>
        </w:tc>
        <w:tc>
          <w:tcPr>
            <w:tcW w:w="1126" w:type="dxa"/>
          </w:tcPr>
          <w:p w14:paraId="5009369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56.91 </w:t>
            </w:r>
          </w:p>
        </w:tc>
        <w:tc>
          <w:tcPr>
            <w:tcW w:w="1124" w:type="dxa"/>
          </w:tcPr>
          <w:p w14:paraId="0C7F116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55.97 </w:t>
            </w:r>
          </w:p>
        </w:tc>
        <w:tc>
          <w:tcPr>
            <w:tcW w:w="1125" w:type="dxa"/>
          </w:tcPr>
          <w:p w14:paraId="01CB3CC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55.51 </w:t>
            </w:r>
          </w:p>
        </w:tc>
        <w:tc>
          <w:tcPr>
            <w:tcW w:w="1126" w:type="dxa"/>
          </w:tcPr>
          <w:p w14:paraId="6CE7D6D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55.24 </w:t>
            </w:r>
          </w:p>
        </w:tc>
        <w:tc>
          <w:tcPr>
            <w:tcW w:w="1124" w:type="dxa"/>
          </w:tcPr>
          <w:p w14:paraId="1529DE9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55.08 </w:t>
            </w:r>
          </w:p>
        </w:tc>
        <w:tc>
          <w:tcPr>
            <w:tcW w:w="1126" w:type="dxa"/>
          </w:tcPr>
          <w:p w14:paraId="024BE67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54.82 </w:t>
            </w:r>
          </w:p>
        </w:tc>
        <w:tc>
          <w:tcPr>
            <w:tcW w:w="1124" w:type="dxa"/>
          </w:tcPr>
          <w:p w14:paraId="34D47CB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54.36 </w:t>
            </w:r>
          </w:p>
        </w:tc>
        <w:tc>
          <w:tcPr>
            <w:tcW w:w="1081" w:type="dxa"/>
          </w:tcPr>
          <w:p w14:paraId="56C1D931"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53.80 </w:t>
            </w:r>
          </w:p>
        </w:tc>
      </w:tr>
      <w:tr w:rsidR="00276289" w:rsidRPr="00276289" w14:paraId="7A4983A2" w14:textId="77777777" w:rsidTr="003916ED">
        <w:trPr>
          <w:trHeight w:val="300"/>
          <w:jc w:val="center"/>
        </w:trPr>
        <w:tc>
          <w:tcPr>
            <w:tcW w:w="1124" w:type="dxa"/>
          </w:tcPr>
          <w:p w14:paraId="151DBCC0"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Ca</w:t>
            </w:r>
          </w:p>
        </w:tc>
        <w:tc>
          <w:tcPr>
            <w:tcW w:w="1126" w:type="dxa"/>
          </w:tcPr>
          <w:p w14:paraId="30DED09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3.48 </w:t>
            </w:r>
          </w:p>
        </w:tc>
        <w:tc>
          <w:tcPr>
            <w:tcW w:w="1124" w:type="dxa"/>
          </w:tcPr>
          <w:p w14:paraId="6EF6001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3.55 </w:t>
            </w:r>
          </w:p>
        </w:tc>
        <w:tc>
          <w:tcPr>
            <w:tcW w:w="1126" w:type="dxa"/>
          </w:tcPr>
          <w:p w14:paraId="6E6E18C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3.55 </w:t>
            </w:r>
          </w:p>
        </w:tc>
        <w:tc>
          <w:tcPr>
            <w:tcW w:w="1124" w:type="dxa"/>
          </w:tcPr>
          <w:p w14:paraId="10BA04A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3.55 </w:t>
            </w:r>
          </w:p>
        </w:tc>
        <w:tc>
          <w:tcPr>
            <w:tcW w:w="1125" w:type="dxa"/>
          </w:tcPr>
          <w:p w14:paraId="4B50691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3.46 </w:t>
            </w:r>
          </w:p>
        </w:tc>
        <w:tc>
          <w:tcPr>
            <w:tcW w:w="1126" w:type="dxa"/>
          </w:tcPr>
          <w:p w14:paraId="66DC273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3.55 </w:t>
            </w:r>
          </w:p>
        </w:tc>
        <w:tc>
          <w:tcPr>
            <w:tcW w:w="1124" w:type="dxa"/>
          </w:tcPr>
          <w:p w14:paraId="26DA3C7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3.50 </w:t>
            </w:r>
          </w:p>
        </w:tc>
        <w:tc>
          <w:tcPr>
            <w:tcW w:w="1126" w:type="dxa"/>
          </w:tcPr>
          <w:p w14:paraId="1D4F150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3.47 </w:t>
            </w:r>
          </w:p>
        </w:tc>
        <w:tc>
          <w:tcPr>
            <w:tcW w:w="1124" w:type="dxa"/>
          </w:tcPr>
          <w:p w14:paraId="7DE7497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3.48 </w:t>
            </w:r>
          </w:p>
        </w:tc>
        <w:tc>
          <w:tcPr>
            <w:tcW w:w="1081" w:type="dxa"/>
          </w:tcPr>
          <w:p w14:paraId="2CF97D52"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3.50 </w:t>
            </w:r>
          </w:p>
        </w:tc>
      </w:tr>
      <w:tr w:rsidR="00276289" w:rsidRPr="00276289" w14:paraId="5EB6BD46" w14:textId="77777777" w:rsidTr="003916ED">
        <w:trPr>
          <w:trHeight w:val="300"/>
          <w:jc w:val="center"/>
        </w:trPr>
        <w:tc>
          <w:tcPr>
            <w:tcW w:w="1124" w:type="dxa"/>
          </w:tcPr>
          <w:p w14:paraId="714BDDAD"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Mg</w:t>
            </w:r>
          </w:p>
        </w:tc>
        <w:tc>
          <w:tcPr>
            <w:tcW w:w="1126" w:type="dxa"/>
          </w:tcPr>
          <w:p w14:paraId="0684318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1.42 </w:t>
            </w:r>
          </w:p>
        </w:tc>
        <w:tc>
          <w:tcPr>
            <w:tcW w:w="1124" w:type="dxa"/>
          </w:tcPr>
          <w:p w14:paraId="186DEA3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1.37 </w:t>
            </w:r>
          </w:p>
        </w:tc>
        <w:tc>
          <w:tcPr>
            <w:tcW w:w="1126" w:type="dxa"/>
          </w:tcPr>
          <w:p w14:paraId="4BBFA48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1.42 </w:t>
            </w:r>
          </w:p>
        </w:tc>
        <w:tc>
          <w:tcPr>
            <w:tcW w:w="1124" w:type="dxa"/>
          </w:tcPr>
          <w:p w14:paraId="12170F9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1.41 </w:t>
            </w:r>
          </w:p>
        </w:tc>
        <w:tc>
          <w:tcPr>
            <w:tcW w:w="1125" w:type="dxa"/>
          </w:tcPr>
          <w:p w14:paraId="19BD806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1.37 </w:t>
            </w:r>
          </w:p>
        </w:tc>
        <w:tc>
          <w:tcPr>
            <w:tcW w:w="1126" w:type="dxa"/>
          </w:tcPr>
          <w:p w14:paraId="15F2B40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1.05 </w:t>
            </w:r>
          </w:p>
        </w:tc>
        <w:tc>
          <w:tcPr>
            <w:tcW w:w="1124" w:type="dxa"/>
          </w:tcPr>
          <w:p w14:paraId="1AF1192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1.40 </w:t>
            </w:r>
          </w:p>
        </w:tc>
        <w:tc>
          <w:tcPr>
            <w:tcW w:w="1126" w:type="dxa"/>
          </w:tcPr>
          <w:p w14:paraId="2E5ED83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1.44 </w:t>
            </w:r>
          </w:p>
        </w:tc>
        <w:tc>
          <w:tcPr>
            <w:tcW w:w="1124" w:type="dxa"/>
          </w:tcPr>
          <w:p w14:paraId="079A8BA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1.26 </w:t>
            </w:r>
          </w:p>
        </w:tc>
        <w:tc>
          <w:tcPr>
            <w:tcW w:w="1081" w:type="dxa"/>
          </w:tcPr>
          <w:p w14:paraId="4EEC6A4C"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1.09 </w:t>
            </w:r>
          </w:p>
        </w:tc>
      </w:tr>
      <w:tr w:rsidR="00276289" w:rsidRPr="00276289" w14:paraId="6656AAB7" w14:textId="77777777" w:rsidTr="003916ED">
        <w:trPr>
          <w:trHeight w:val="300"/>
          <w:jc w:val="center"/>
        </w:trPr>
        <w:tc>
          <w:tcPr>
            <w:tcW w:w="1124" w:type="dxa"/>
          </w:tcPr>
          <w:p w14:paraId="23881434"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Fe</w:t>
            </w:r>
          </w:p>
        </w:tc>
        <w:tc>
          <w:tcPr>
            <w:tcW w:w="1126" w:type="dxa"/>
          </w:tcPr>
          <w:p w14:paraId="367BC65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1.03 </w:t>
            </w:r>
          </w:p>
        </w:tc>
        <w:tc>
          <w:tcPr>
            <w:tcW w:w="1124" w:type="dxa"/>
          </w:tcPr>
          <w:p w14:paraId="4574BAF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1.01 </w:t>
            </w:r>
          </w:p>
        </w:tc>
        <w:tc>
          <w:tcPr>
            <w:tcW w:w="1126" w:type="dxa"/>
          </w:tcPr>
          <w:p w14:paraId="2A357AE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0.98 </w:t>
            </w:r>
          </w:p>
        </w:tc>
        <w:tc>
          <w:tcPr>
            <w:tcW w:w="1124" w:type="dxa"/>
          </w:tcPr>
          <w:p w14:paraId="60B8122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0.96 </w:t>
            </w:r>
          </w:p>
        </w:tc>
        <w:tc>
          <w:tcPr>
            <w:tcW w:w="1125" w:type="dxa"/>
          </w:tcPr>
          <w:p w14:paraId="109E660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1.06 </w:t>
            </w:r>
          </w:p>
        </w:tc>
        <w:tc>
          <w:tcPr>
            <w:tcW w:w="1126" w:type="dxa"/>
          </w:tcPr>
          <w:p w14:paraId="27BBC81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1.17 </w:t>
            </w:r>
          </w:p>
        </w:tc>
        <w:tc>
          <w:tcPr>
            <w:tcW w:w="1124" w:type="dxa"/>
          </w:tcPr>
          <w:p w14:paraId="69F72B9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0.95 </w:t>
            </w:r>
          </w:p>
        </w:tc>
        <w:tc>
          <w:tcPr>
            <w:tcW w:w="1126" w:type="dxa"/>
          </w:tcPr>
          <w:p w14:paraId="4A50EE0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0.99 </w:t>
            </w:r>
          </w:p>
        </w:tc>
        <w:tc>
          <w:tcPr>
            <w:tcW w:w="1124" w:type="dxa"/>
          </w:tcPr>
          <w:p w14:paraId="1DC8E4D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1.19 </w:t>
            </w:r>
          </w:p>
        </w:tc>
        <w:tc>
          <w:tcPr>
            <w:tcW w:w="1081" w:type="dxa"/>
          </w:tcPr>
          <w:p w14:paraId="3EFF61C5"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1.32 </w:t>
            </w:r>
          </w:p>
        </w:tc>
      </w:tr>
      <w:tr w:rsidR="00276289" w:rsidRPr="00276289" w14:paraId="15015BA1" w14:textId="77777777" w:rsidTr="003916ED">
        <w:trPr>
          <w:trHeight w:val="300"/>
          <w:jc w:val="center"/>
        </w:trPr>
        <w:tc>
          <w:tcPr>
            <w:tcW w:w="1124" w:type="dxa"/>
          </w:tcPr>
          <w:p w14:paraId="25E01AC1"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Na</w:t>
            </w:r>
          </w:p>
        </w:tc>
        <w:tc>
          <w:tcPr>
            <w:tcW w:w="1126" w:type="dxa"/>
          </w:tcPr>
          <w:p w14:paraId="216F23A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4" w:type="dxa"/>
          </w:tcPr>
          <w:p w14:paraId="3FB7605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6" w:type="dxa"/>
          </w:tcPr>
          <w:p w14:paraId="78F8871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1630C6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5" w:type="dxa"/>
          </w:tcPr>
          <w:p w14:paraId="7FE02BF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5603FE3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23B9F0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74519C3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9E3232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19C77C89"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0.02 </w:t>
            </w:r>
          </w:p>
        </w:tc>
      </w:tr>
      <w:tr w:rsidR="00276289" w:rsidRPr="00276289" w14:paraId="6AC18502" w14:textId="77777777" w:rsidTr="003916ED">
        <w:trPr>
          <w:trHeight w:val="300"/>
          <w:jc w:val="center"/>
        </w:trPr>
        <w:tc>
          <w:tcPr>
            <w:tcW w:w="1124" w:type="dxa"/>
          </w:tcPr>
          <w:p w14:paraId="7024EA61"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K</w:t>
            </w:r>
          </w:p>
        </w:tc>
        <w:tc>
          <w:tcPr>
            <w:tcW w:w="1126" w:type="dxa"/>
          </w:tcPr>
          <w:p w14:paraId="5340829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CDF0F0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4451865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069CAEC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43E9A79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75D0090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48F726F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4C9E87E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8D08F4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7415288C"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77A33EAB" w14:textId="77777777" w:rsidTr="003916ED">
        <w:trPr>
          <w:trHeight w:val="300"/>
          <w:jc w:val="center"/>
        </w:trPr>
        <w:tc>
          <w:tcPr>
            <w:tcW w:w="1124" w:type="dxa"/>
          </w:tcPr>
          <w:p w14:paraId="1D188B33"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Al</w:t>
            </w:r>
          </w:p>
        </w:tc>
        <w:tc>
          <w:tcPr>
            <w:tcW w:w="1126" w:type="dxa"/>
          </w:tcPr>
          <w:p w14:paraId="51A0E57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48FDA1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3DADEE8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4" w:type="dxa"/>
          </w:tcPr>
          <w:p w14:paraId="54A5ADC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5" w:type="dxa"/>
          </w:tcPr>
          <w:p w14:paraId="73079BB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05EE2DE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1D62B53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6ECF5D8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4437CE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081" w:type="dxa"/>
          </w:tcPr>
          <w:p w14:paraId="4C1C6032"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6D0BBC88" w14:textId="77777777" w:rsidTr="003916ED">
        <w:trPr>
          <w:trHeight w:val="300"/>
          <w:jc w:val="center"/>
        </w:trPr>
        <w:tc>
          <w:tcPr>
            <w:tcW w:w="1124" w:type="dxa"/>
            <w:tcBorders>
              <w:bottom w:val="single" w:sz="6" w:space="0" w:color="000000"/>
            </w:tcBorders>
          </w:tcPr>
          <w:p w14:paraId="4CA82486"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Mn</w:t>
            </w:r>
          </w:p>
        </w:tc>
        <w:tc>
          <w:tcPr>
            <w:tcW w:w="1126" w:type="dxa"/>
            <w:tcBorders>
              <w:bottom w:val="single" w:sz="6" w:space="0" w:color="000000"/>
            </w:tcBorders>
          </w:tcPr>
          <w:p w14:paraId="698E130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4" w:type="dxa"/>
            <w:tcBorders>
              <w:bottom w:val="single" w:sz="6" w:space="0" w:color="000000"/>
            </w:tcBorders>
          </w:tcPr>
          <w:p w14:paraId="0A7BDD8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6" w:type="dxa"/>
            <w:tcBorders>
              <w:bottom w:val="single" w:sz="6" w:space="0" w:color="000000"/>
            </w:tcBorders>
          </w:tcPr>
          <w:p w14:paraId="4CEEB83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0.04 </w:t>
            </w:r>
          </w:p>
        </w:tc>
        <w:tc>
          <w:tcPr>
            <w:tcW w:w="1124" w:type="dxa"/>
            <w:tcBorders>
              <w:bottom w:val="single" w:sz="6" w:space="0" w:color="000000"/>
            </w:tcBorders>
          </w:tcPr>
          <w:p w14:paraId="7D1F1CC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0.05 </w:t>
            </w:r>
          </w:p>
        </w:tc>
        <w:tc>
          <w:tcPr>
            <w:tcW w:w="1125" w:type="dxa"/>
            <w:tcBorders>
              <w:bottom w:val="single" w:sz="6" w:space="0" w:color="000000"/>
            </w:tcBorders>
          </w:tcPr>
          <w:p w14:paraId="2DA0F57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0.09 </w:t>
            </w:r>
          </w:p>
        </w:tc>
        <w:tc>
          <w:tcPr>
            <w:tcW w:w="1126" w:type="dxa"/>
            <w:tcBorders>
              <w:bottom w:val="single" w:sz="6" w:space="0" w:color="000000"/>
            </w:tcBorders>
          </w:tcPr>
          <w:p w14:paraId="12F575A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0.22 </w:t>
            </w:r>
          </w:p>
        </w:tc>
        <w:tc>
          <w:tcPr>
            <w:tcW w:w="1124" w:type="dxa"/>
            <w:tcBorders>
              <w:bottom w:val="single" w:sz="6" w:space="0" w:color="000000"/>
            </w:tcBorders>
          </w:tcPr>
          <w:p w14:paraId="6DAE591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0.14 </w:t>
            </w:r>
          </w:p>
        </w:tc>
        <w:tc>
          <w:tcPr>
            <w:tcW w:w="1126" w:type="dxa"/>
            <w:tcBorders>
              <w:bottom w:val="single" w:sz="6" w:space="0" w:color="000000"/>
            </w:tcBorders>
          </w:tcPr>
          <w:p w14:paraId="549C724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0.09 </w:t>
            </w:r>
          </w:p>
        </w:tc>
        <w:tc>
          <w:tcPr>
            <w:tcW w:w="1124" w:type="dxa"/>
            <w:tcBorders>
              <w:bottom w:val="single" w:sz="6" w:space="0" w:color="000000"/>
            </w:tcBorders>
          </w:tcPr>
          <w:p w14:paraId="10D95DD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0.06 </w:t>
            </w:r>
          </w:p>
        </w:tc>
        <w:tc>
          <w:tcPr>
            <w:tcW w:w="1081" w:type="dxa"/>
            <w:tcBorders>
              <w:bottom w:val="single" w:sz="6" w:space="0" w:color="000000"/>
            </w:tcBorders>
          </w:tcPr>
          <w:p w14:paraId="7DF2F772"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0.08 </w:t>
            </w:r>
          </w:p>
        </w:tc>
      </w:tr>
    </w:tbl>
    <w:p w14:paraId="0ABB3FC3" w14:textId="61362FDE" w:rsidR="00F81E30" w:rsidRDefault="00F81E30"/>
    <w:p w14:paraId="6043BAB5" w14:textId="77777777" w:rsidR="00276289" w:rsidRDefault="00276289"/>
    <w:p w14:paraId="45180121" w14:textId="44F02BF9" w:rsidR="00276289" w:rsidRDefault="00276289">
      <w:r>
        <w:br w:type="page"/>
      </w:r>
    </w:p>
    <w:p w14:paraId="5ADA69FA" w14:textId="75FE06D5" w:rsidR="009210CF" w:rsidRPr="00E240BA" w:rsidRDefault="009210CF" w:rsidP="009210CF">
      <w:pPr>
        <w:pStyle w:val="Caption"/>
        <w:keepNext/>
        <w:rPr>
          <w:rFonts w:ascii="Times New Roman" w:hAnsi="Times New Roman" w:cs="Times New Roman"/>
          <w:color w:val="auto"/>
          <w:sz w:val="20"/>
          <w:szCs w:val="20"/>
        </w:rPr>
      </w:pPr>
      <w:r w:rsidRPr="00E240BA">
        <w:rPr>
          <w:rFonts w:ascii="Times New Roman" w:hAnsi="Times New Roman" w:cs="Times New Roman"/>
          <w:color w:val="auto"/>
          <w:sz w:val="20"/>
          <w:szCs w:val="20"/>
        </w:rPr>
        <w:t xml:space="preserve">Supplementary Tables </w:t>
      </w:r>
      <w:r w:rsidR="00C92215">
        <w:rPr>
          <w:rFonts w:ascii="Times New Roman" w:hAnsi="Times New Roman" w:cs="Times New Roman"/>
          <w:color w:val="auto"/>
          <w:sz w:val="20"/>
          <w:szCs w:val="20"/>
        </w:rPr>
        <w:t>4</w:t>
      </w:r>
      <w:r w:rsidRPr="00E240BA">
        <w:rPr>
          <w:rFonts w:ascii="Times New Roman" w:hAnsi="Times New Roman" w:cs="Times New Roman"/>
          <w:color w:val="auto"/>
          <w:sz w:val="20"/>
          <w:szCs w:val="20"/>
        </w:rPr>
        <w:t xml:space="preserve">. </w:t>
      </w:r>
      <w:r w:rsidRPr="00E240BA">
        <w:rPr>
          <w:rFonts w:ascii="Times New Roman" w:hAnsi="Times New Roman" w:cs="Times New Roman"/>
          <w:b/>
          <w:bCs/>
          <w:color w:val="auto"/>
          <w:sz w:val="20"/>
          <w:szCs w:val="20"/>
        </w:rPr>
        <w:t>(continue)</w:t>
      </w:r>
      <w:r w:rsidRPr="00E240BA">
        <w:rPr>
          <w:rFonts w:ascii="Times New Roman" w:hAnsi="Times New Roman" w:cs="Times New Roman"/>
          <w:color w:val="auto"/>
          <w:sz w:val="20"/>
          <w:szCs w:val="20"/>
        </w:rPr>
        <w:t xml:space="preserve"> </w:t>
      </w:r>
    </w:p>
    <w:tbl>
      <w:tblPr>
        <w:tblW w:w="12330" w:type="dxa"/>
        <w:jc w:val="center"/>
        <w:tblLayout w:type="fixed"/>
        <w:tblCellMar>
          <w:left w:w="30" w:type="dxa"/>
          <w:right w:w="30" w:type="dxa"/>
        </w:tblCellMar>
        <w:tblLook w:val="04A0" w:firstRow="1" w:lastRow="0" w:firstColumn="1" w:lastColumn="0" w:noHBand="0" w:noVBand="1"/>
      </w:tblPr>
      <w:tblGrid>
        <w:gridCol w:w="1124"/>
        <w:gridCol w:w="1126"/>
        <w:gridCol w:w="1124"/>
        <w:gridCol w:w="1126"/>
        <w:gridCol w:w="1124"/>
        <w:gridCol w:w="1125"/>
        <w:gridCol w:w="1126"/>
        <w:gridCol w:w="1124"/>
        <w:gridCol w:w="1126"/>
        <w:gridCol w:w="1124"/>
        <w:gridCol w:w="1081"/>
      </w:tblGrid>
      <w:tr w:rsidR="00276289" w:rsidRPr="00276289" w14:paraId="7167FC4E" w14:textId="77777777" w:rsidTr="003916ED">
        <w:trPr>
          <w:trHeight w:val="300"/>
          <w:jc w:val="center"/>
        </w:trPr>
        <w:tc>
          <w:tcPr>
            <w:tcW w:w="1124" w:type="dxa"/>
            <w:tcBorders>
              <w:top w:val="single" w:sz="4" w:space="0" w:color="auto"/>
              <w:bottom w:val="single" w:sz="6" w:space="0" w:color="000000"/>
            </w:tcBorders>
          </w:tcPr>
          <w:p w14:paraId="4E9D1565" w14:textId="77777777" w:rsidR="00276289" w:rsidRPr="00276289" w:rsidRDefault="00276289" w:rsidP="00276289">
            <w:pPr>
              <w:suppressAutoHyphens/>
              <w:spacing w:after="0" w:line="240" w:lineRule="auto"/>
              <w:jc w:val="right"/>
              <w:rPr>
                <w:rFonts w:ascii="Times New Roman" w:eastAsia="Noto Sans CJK JP" w:hAnsi="Times New Roman" w:cs="Tahoma"/>
                <w:color w:val="000000"/>
                <w:sz w:val="20"/>
                <w:szCs w:val="24"/>
                <w14:ligatures w14:val="none"/>
              </w:rPr>
            </w:pPr>
          </w:p>
        </w:tc>
        <w:tc>
          <w:tcPr>
            <w:tcW w:w="1126" w:type="dxa"/>
            <w:tcBorders>
              <w:top w:val="single" w:sz="4" w:space="0" w:color="auto"/>
              <w:bottom w:val="single" w:sz="6" w:space="0" w:color="000000"/>
            </w:tcBorders>
          </w:tcPr>
          <w:p w14:paraId="7B4A982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dol11</w:t>
            </w:r>
          </w:p>
        </w:tc>
        <w:tc>
          <w:tcPr>
            <w:tcW w:w="1124" w:type="dxa"/>
            <w:tcBorders>
              <w:top w:val="single" w:sz="4" w:space="0" w:color="auto"/>
              <w:bottom w:val="single" w:sz="6" w:space="0" w:color="000000"/>
            </w:tcBorders>
          </w:tcPr>
          <w:p w14:paraId="77BB456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dol12</w:t>
            </w:r>
          </w:p>
        </w:tc>
        <w:tc>
          <w:tcPr>
            <w:tcW w:w="1126" w:type="dxa"/>
            <w:tcBorders>
              <w:top w:val="single" w:sz="4" w:space="0" w:color="auto"/>
              <w:bottom w:val="single" w:sz="6" w:space="0" w:color="000000"/>
            </w:tcBorders>
          </w:tcPr>
          <w:p w14:paraId="6661DCA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dol13</w:t>
            </w:r>
          </w:p>
        </w:tc>
        <w:tc>
          <w:tcPr>
            <w:tcW w:w="1124" w:type="dxa"/>
            <w:tcBorders>
              <w:top w:val="single" w:sz="4" w:space="0" w:color="auto"/>
              <w:bottom w:val="single" w:sz="6" w:space="0" w:color="000000"/>
            </w:tcBorders>
          </w:tcPr>
          <w:p w14:paraId="535BC07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dol14</w:t>
            </w:r>
          </w:p>
        </w:tc>
        <w:tc>
          <w:tcPr>
            <w:tcW w:w="1125" w:type="dxa"/>
            <w:tcBorders>
              <w:top w:val="single" w:sz="4" w:space="0" w:color="auto"/>
              <w:bottom w:val="single" w:sz="6" w:space="0" w:color="000000"/>
            </w:tcBorders>
          </w:tcPr>
          <w:p w14:paraId="01F3C3D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dol15</w:t>
            </w:r>
          </w:p>
        </w:tc>
        <w:tc>
          <w:tcPr>
            <w:tcW w:w="1126" w:type="dxa"/>
            <w:tcBorders>
              <w:top w:val="single" w:sz="4" w:space="0" w:color="auto"/>
              <w:bottom w:val="single" w:sz="6" w:space="0" w:color="000000"/>
            </w:tcBorders>
          </w:tcPr>
          <w:p w14:paraId="7FABE4F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dol16</w:t>
            </w:r>
          </w:p>
        </w:tc>
        <w:tc>
          <w:tcPr>
            <w:tcW w:w="1124" w:type="dxa"/>
            <w:tcBorders>
              <w:top w:val="single" w:sz="4" w:space="0" w:color="auto"/>
              <w:bottom w:val="single" w:sz="6" w:space="0" w:color="000000"/>
            </w:tcBorders>
          </w:tcPr>
          <w:p w14:paraId="007ADE5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dol17</w:t>
            </w:r>
          </w:p>
        </w:tc>
        <w:tc>
          <w:tcPr>
            <w:tcW w:w="1126" w:type="dxa"/>
            <w:tcBorders>
              <w:top w:val="single" w:sz="4" w:space="0" w:color="auto"/>
              <w:bottom w:val="single" w:sz="6" w:space="0" w:color="000000"/>
            </w:tcBorders>
          </w:tcPr>
          <w:p w14:paraId="04B0E35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dol18</w:t>
            </w:r>
          </w:p>
        </w:tc>
        <w:tc>
          <w:tcPr>
            <w:tcW w:w="1124" w:type="dxa"/>
            <w:tcBorders>
              <w:top w:val="single" w:sz="4" w:space="0" w:color="auto"/>
              <w:bottom w:val="single" w:sz="6" w:space="0" w:color="000000"/>
            </w:tcBorders>
          </w:tcPr>
          <w:p w14:paraId="110F10E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dol19</w:t>
            </w:r>
          </w:p>
        </w:tc>
        <w:tc>
          <w:tcPr>
            <w:tcW w:w="1081" w:type="dxa"/>
            <w:tcBorders>
              <w:top w:val="single" w:sz="4" w:space="0" w:color="auto"/>
              <w:bottom w:val="single" w:sz="6" w:space="0" w:color="000000"/>
            </w:tcBorders>
          </w:tcPr>
          <w:p w14:paraId="0A0809AE"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dol20</w:t>
            </w:r>
          </w:p>
        </w:tc>
      </w:tr>
      <w:tr w:rsidR="00276289" w:rsidRPr="00276289" w14:paraId="21D83FD4" w14:textId="77777777" w:rsidTr="003916ED">
        <w:trPr>
          <w:trHeight w:val="300"/>
          <w:jc w:val="center"/>
        </w:trPr>
        <w:tc>
          <w:tcPr>
            <w:tcW w:w="1124" w:type="dxa"/>
          </w:tcPr>
          <w:p w14:paraId="3D473327"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proofErr w:type="spellStart"/>
            <w:r w:rsidRPr="00276289">
              <w:rPr>
                <w:rFonts w:ascii="Times New Roman" w:eastAsia="Noto Sans CJK JP" w:hAnsi="Times New Roman" w:cs="Tahoma"/>
                <w:color w:val="000000"/>
                <w:sz w:val="20"/>
                <w:szCs w:val="24"/>
                <w14:ligatures w14:val="none"/>
              </w:rPr>
              <w:t>CaO</w:t>
            </w:r>
            <w:proofErr w:type="spellEnd"/>
            <w:r w:rsidRPr="00276289">
              <w:rPr>
                <w:rFonts w:ascii="Times New Roman" w:eastAsia="Noto Sans CJK JP" w:hAnsi="Times New Roman" w:cs="Tahoma"/>
                <w:color w:val="000000"/>
                <w:sz w:val="20"/>
                <w:szCs w:val="24"/>
                <w14:ligatures w14:val="none"/>
              </w:rPr>
              <w:t xml:space="preserve">   </w:t>
            </w:r>
          </w:p>
        </w:tc>
        <w:tc>
          <w:tcPr>
            <w:tcW w:w="1126" w:type="dxa"/>
          </w:tcPr>
          <w:p w14:paraId="6F82441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30.64 </w:t>
            </w:r>
          </w:p>
        </w:tc>
        <w:tc>
          <w:tcPr>
            <w:tcW w:w="1124" w:type="dxa"/>
          </w:tcPr>
          <w:p w14:paraId="737B404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31.13 </w:t>
            </w:r>
          </w:p>
        </w:tc>
        <w:tc>
          <w:tcPr>
            <w:tcW w:w="1126" w:type="dxa"/>
          </w:tcPr>
          <w:p w14:paraId="5A5D016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31.14 </w:t>
            </w:r>
          </w:p>
        </w:tc>
        <w:tc>
          <w:tcPr>
            <w:tcW w:w="1124" w:type="dxa"/>
          </w:tcPr>
          <w:p w14:paraId="3D0C067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31.08 </w:t>
            </w:r>
          </w:p>
        </w:tc>
        <w:tc>
          <w:tcPr>
            <w:tcW w:w="1125" w:type="dxa"/>
          </w:tcPr>
          <w:p w14:paraId="1160DD9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31.40 </w:t>
            </w:r>
          </w:p>
        </w:tc>
        <w:tc>
          <w:tcPr>
            <w:tcW w:w="1126" w:type="dxa"/>
          </w:tcPr>
          <w:p w14:paraId="4C21EC4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31.47 </w:t>
            </w:r>
          </w:p>
        </w:tc>
        <w:tc>
          <w:tcPr>
            <w:tcW w:w="1124" w:type="dxa"/>
          </w:tcPr>
          <w:p w14:paraId="4C734F3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31.31 </w:t>
            </w:r>
          </w:p>
        </w:tc>
        <w:tc>
          <w:tcPr>
            <w:tcW w:w="1126" w:type="dxa"/>
          </w:tcPr>
          <w:p w14:paraId="7EB3CE5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30.90 </w:t>
            </w:r>
          </w:p>
        </w:tc>
        <w:tc>
          <w:tcPr>
            <w:tcW w:w="1124" w:type="dxa"/>
          </w:tcPr>
          <w:p w14:paraId="5300EBF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31.71 </w:t>
            </w:r>
          </w:p>
        </w:tc>
        <w:tc>
          <w:tcPr>
            <w:tcW w:w="1081" w:type="dxa"/>
          </w:tcPr>
          <w:p w14:paraId="6569AB29"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32.73 </w:t>
            </w:r>
          </w:p>
        </w:tc>
      </w:tr>
      <w:tr w:rsidR="00276289" w:rsidRPr="00276289" w14:paraId="750FC191" w14:textId="77777777" w:rsidTr="003916ED">
        <w:trPr>
          <w:trHeight w:val="300"/>
          <w:jc w:val="center"/>
        </w:trPr>
        <w:tc>
          <w:tcPr>
            <w:tcW w:w="1124" w:type="dxa"/>
          </w:tcPr>
          <w:p w14:paraId="00156C21"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MgO   </w:t>
            </w:r>
          </w:p>
        </w:tc>
        <w:tc>
          <w:tcPr>
            <w:tcW w:w="1126" w:type="dxa"/>
          </w:tcPr>
          <w:p w14:paraId="50E1E5B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6.51 </w:t>
            </w:r>
          </w:p>
        </w:tc>
        <w:tc>
          <w:tcPr>
            <w:tcW w:w="1124" w:type="dxa"/>
          </w:tcPr>
          <w:p w14:paraId="05373C8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6.56 </w:t>
            </w:r>
          </w:p>
        </w:tc>
        <w:tc>
          <w:tcPr>
            <w:tcW w:w="1126" w:type="dxa"/>
          </w:tcPr>
          <w:p w14:paraId="331A0FB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6.70 </w:t>
            </w:r>
          </w:p>
        </w:tc>
        <w:tc>
          <w:tcPr>
            <w:tcW w:w="1124" w:type="dxa"/>
          </w:tcPr>
          <w:p w14:paraId="09D99EF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7.57 </w:t>
            </w:r>
          </w:p>
        </w:tc>
        <w:tc>
          <w:tcPr>
            <w:tcW w:w="1125" w:type="dxa"/>
          </w:tcPr>
          <w:p w14:paraId="7CB37DF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8.06 </w:t>
            </w:r>
          </w:p>
        </w:tc>
        <w:tc>
          <w:tcPr>
            <w:tcW w:w="1126" w:type="dxa"/>
          </w:tcPr>
          <w:p w14:paraId="0CF4FEB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8.33 </w:t>
            </w:r>
          </w:p>
        </w:tc>
        <w:tc>
          <w:tcPr>
            <w:tcW w:w="1124" w:type="dxa"/>
          </w:tcPr>
          <w:p w14:paraId="2DDDA2E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8.38 </w:t>
            </w:r>
          </w:p>
        </w:tc>
        <w:tc>
          <w:tcPr>
            <w:tcW w:w="1126" w:type="dxa"/>
          </w:tcPr>
          <w:p w14:paraId="2ABF56A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9.15 </w:t>
            </w:r>
          </w:p>
        </w:tc>
        <w:tc>
          <w:tcPr>
            <w:tcW w:w="1124" w:type="dxa"/>
          </w:tcPr>
          <w:p w14:paraId="096B28B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9.22 </w:t>
            </w:r>
          </w:p>
        </w:tc>
        <w:tc>
          <w:tcPr>
            <w:tcW w:w="1081" w:type="dxa"/>
          </w:tcPr>
          <w:p w14:paraId="6F06DB16"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8.81 </w:t>
            </w:r>
          </w:p>
        </w:tc>
      </w:tr>
      <w:tr w:rsidR="00276289" w:rsidRPr="00276289" w14:paraId="50254F7E" w14:textId="77777777" w:rsidTr="003916ED">
        <w:trPr>
          <w:trHeight w:val="300"/>
          <w:jc w:val="center"/>
        </w:trPr>
        <w:tc>
          <w:tcPr>
            <w:tcW w:w="1124" w:type="dxa"/>
          </w:tcPr>
          <w:p w14:paraId="7881CB23"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FeO   </w:t>
            </w:r>
          </w:p>
        </w:tc>
        <w:tc>
          <w:tcPr>
            <w:tcW w:w="1126" w:type="dxa"/>
          </w:tcPr>
          <w:p w14:paraId="265AFA7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16.05 </w:t>
            </w:r>
          </w:p>
        </w:tc>
        <w:tc>
          <w:tcPr>
            <w:tcW w:w="1124" w:type="dxa"/>
          </w:tcPr>
          <w:p w14:paraId="0B47B81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16.31 </w:t>
            </w:r>
          </w:p>
        </w:tc>
        <w:tc>
          <w:tcPr>
            <w:tcW w:w="1126" w:type="dxa"/>
          </w:tcPr>
          <w:p w14:paraId="596D424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15.61 </w:t>
            </w:r>
          </w:p>
        </w:tc>
        <w:tc>
          <w:tcPr>
            <w:tcW w:w="1124" w:type="dxa"/>
          </w:tcPr>
          <w:p w14:paraId="4F94C9C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13.39 </w:t>
            </w:r>
          </w:p>
        </w:tc>
        <w:tc>
          <w:tcPr>
            <w:tcW w:w="1125" w:type="dxa"/>
          </w:tcPr>
          <w:p w14:paraId="1A0CC5C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13.12 </w:t>
            </w:r>
          </w:p>
        </w:tc>
        <w:tc>
          <w:tcPr>
            <w:tcW w:w="1126" w:type="dxa"/>
          </w:tcPr>
          <w:p w14:paraId="770C6D3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12.56 </w:t>
            </w:r>
          </w:p>
        </w:tc>
        <w:tc>
          <w:tcPr>
            <w:tcW w:w="1124" w:type="dxa"/>
          </w:tcPr>
          <w:p w14:paraId="32C77FF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11.97 </w:t>
            </w:r>
          </w:p>
        </w:tc>
        <w:tc>
          <w:tcPr>
            <w:tcW w:w="1126" w:type="dxa"/>
          </w:tcPr>
          <w:p w14:paraId="2A86346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12.75 </w:t>
            </w:r>
          </w:p>
        </w:tc>
        <w:tc>
          <w:tcPr>
            <w:tcW w:w="1124" w:type="dxa"/>
          </w:tcPr>
          <w:p w14:paraId="79941F7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11.66 </w:t>
            </w:r>
          </w:p>
        </w:tc>
        <w:tc>
          <w:tcPr>
            <w:tcW w:w="1081" w:type="dxa"/>
          </w:tcPr>
          <w:p w14:paraId="4287005A"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13.32 </w:t>
            </w:r>
          </w:p>
        </w:tc>
      </w:tr>
      <w:tr w:rsidR="00276289" w:rsidRPr="00276289" w14:paraId="29053282" w14:textId="77777777" w:rsidTr="003916ED">
        <w:trPr>
          <w:trHeight w:val="300"/>
          <w:jc w:val="center"/>
        </w:trPr>
        <w:tc>
          <w:tcPr>
            <w:tcW w:w="1124" w:type="dxa"/>
          </w:tcPr>
          <w:p w14:paraId="42676399"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Na2O  </w:t>
            </w:r>
          </w:p>
        </w:tc>
        <w:tc>
          <w:tcPr>
            <w:tcW w:w="1126" w:type="dxa"/>
          </w:tcPr>
          <w:p w14:paraId="1364C1B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1B68813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1331FED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000B1CA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45563D1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18730EE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0.30 </w:t>
            </w:r>
          </w:p>
        </w:tc>
        <w:tc>
          <w:tcPr>
            <w:tcW w:w="1124" w:type="dxa"/>
          </w:tcPr>
          <w:p w14:paraId="110E753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0.03 </w:t>
            </w:r>
          </w:p>
        </w:tc>
        <w:tc>
          <w:tcPr>
            <w:tcW w:w="1126" w:type="dxa"/>
          </w:tcPr>
          <w:p w14:paraId="72B4015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EA46D8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050B9950"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5F3C76C1" w14:textId="77777777" w:rsidTr="003916ED">
        <w:trPr>
          <w:trHeight w:val="300"/>
          <w:jc w:val="center"/>
        </w:trPr>
        <w:tc>
          <w:tcPr>
            <w:tcW w:w="1124" w:type="dxa"/>
          </w:tcPr>
          <w:p w14:paraId="476F71A7"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K2O   </w:t>
            </w:r>
          </w:p>
        </w:tc>
        <w:tc>
          <w:tcPr>
            <w:tcW w:w="1126" w:type="dxa"/>
          </w:tcPr>
          <w:p w14:paraId="1967F80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44A1D3C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0F46EAA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EA44B8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5" w:type="dxa"/>
          </w:tcPr>
          <w:p w14:paraId="6FF24B7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3D46E54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3D5EFB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215A180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4" w:type="dxa"/>
          </w:tcPr>
          <w:p w14:paraId="185952A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35C4F01E"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0.02 </w:t>
            </w:r>
          </w:p>
        </w:tc>
      </w:tr>
      <w:tr w:rsidR="00276289" w:rsidRPr="00276289" w14:paraId="60DFAAD7" w14:textId="77777777" w:rsidTr="003916ED">
        <w:trPr>
          <w:trHeight w:val="300"/>
          <w:jc w:val="center"/>
        </w:trPr>
        <w:tc>
          <w:tcPr>
            <w:tcW w:w="1124" w:type="dxa"/>
          </w:tcPr>
          <w:p w14:paraId="2DA4AB5F"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Al2O3 </w:t>
            </w:r>
          </w:p>
        </w:tc>
        <w:tc>
          <w:tcPr>
            <w:tcW w:w="1126" w:type="dxa"/>
          </w:tcPr>
          <w:p w14:paraId="214F2C8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56B5EA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331A137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0A689E8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6A95AD8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0B2E044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4" w:type="dxa"/>
          </w:tcPr>
          <w:p w14:paraId="7F661C0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0B4D763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0.04 </w:t>
            </w:r>
          </w:p>
        </w:tc>
        <w:tc>
          <w:tcPr>
            <w:tcW w:w="1124" w:type="dxa"/>
          </w:tcPr>
          <w:p w14:paraId="35BD98D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459E318C"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1343C43D" w14:textId="77777777" w:rsidTr="003916ED">
        <w:trPr>
          <w:trHeight w:val="300"/>
          <w:jc w:val="center"/>
        </w:trPr>
        <w:tc>
          <w:tcPr>
            <w:tcW w:w="1124" w:type="dxa"/>
          </w:tcPr>
          <w:p w14:paraId="7FA9D1EB"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proofErr w:type="spellStart"/>
            <w:r w:rsidRPr="00276289">
              <w:rPr>
                <w:rFonts w:ascii="Times New Roman" w:eastAsia="Noto Sans CJK JP" w:hAnsi="Times New Roman" w:cs="Tahoma"/>
                <w:color w:val="000000"/>
                <w:sz w:val="20"/>
                <w:szCs w:val="24"/>
                <w14:ligatures w14:val="none"/>
              </w:rPr>
              <w:t>MnO</w:t>
            </w:r>
            <w:proofErr w:type="spellEnd"/>
            <w:r w:rsidRPr="00276289">
              <w:rPr>
                <w:rFonts w:ascii="Times New Roman" w:eastAsia="Noto Sans CJK JP" w:hAnsi="Times New Roman" w:cs="Tahoma"/>
                <w:color w:val="000000"/>
                <w:sz w:val="20"/>
                <w:szCs w:val="24"/>
                <w14:ligatures w14:val="none"/>
              </w:rPr>
              <w:t xml:space="preserve">   </w:t>
            </w:r>
          </w:p>
        </w:tc>
        <w:tc>
          <w:tcPr>
            <w:tcW w:w="1126" w:type="dxa"/>
          </w:tcPr>
          <w:p w14:paraId="30E7201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1.07 </w:t>
            </w:r>
          </w:p>
        </w:tc>
        <w:tc>
          <w:tcPr>
            <w:tcW w:w="1124" w:type="dxa"/>
          </w:tcPr>
          <w:p w14:paraId="2DC674E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1.44 </w:t>
            </w:r>
          </w:p>
        </w:tc>
        <w:tc>
          <w:tcPr>
            <w:tcW w:w="1126" w:type="dxa"/>
          </w:tcPr>
          <w:p w14:paraId="317FD9B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1.46 </w:t>
            </w:r>
          </w:p>
        </w:tc>
        <w:tc>
          <w:tcPr>
            <w:tcW w:w="1124" w:type="dxa"/>
          </w:tcPr>
          <w:p w14:paraId="10D0683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1.57 </w:t>
            </w:r>
          </w:p>
        </w:tc>
        <w:tc>
          <w:tcPr>
            <w:tcW w:w="1125" w:type="dxa"/>
          </w:tcPr>
          <w:p w14:paraId="263A25C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1.36 </w:t>
            </w:r>
          </w:p>
        </w:tc>
        <w:tc>
          <w:tcPr>
            <w:tcW w:w="1126" w:type="dxa"/>
          </w:tcPr>
          <w:p w14:paraId="1FC7EE1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1.68 </w:t>
            </w:r>
          </w:p>
        </w:tc>
        <w:tc>
          <w:tcPr>
            <w:tcW w:w="1124" w:type="dxa"/>
          </w:tcPr>
          <w:p w14:paraId="5405443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1.62 </w:t>
            </w:r>
          </w:p>
        </w:tc>
        <w:tc>
          <w:tcPr>
            <w:tcW w:w="1126" w:type="dxa"/>
          </w:tcPr>
          <w:p w14:paraId="6917C33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1.73 </w:t>
            </w:r>
          </w:p>
        </w:tc>
        <w:tc>
          <w:tcPr>
            <w:tcW w:w="1124" w:type="dxa"/>
          </w:tcPr>
          <w:p w14:paraId="4FA99DE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1.46 </w:t>
            </w:r>
          </w:p>
        </w:tc>
        <w:tc>
          <w:tcPr>
            <w:tcW w:w="1081" w:type="dxa"/>
          </w:tcPr>
          <w:p w14:paraId="391C71BA"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1.55 </w:t>
            </w:r>
          </w:p>
        </w:tc>
      </w:tr>
      <w:tr w:rsidR="00276289" w:rsidRPr="00276289" w14:paraId="7C4E209D" w14:textId="77777777" w:rsidTr="003916ED">
        <w:trPr>
          <w:trHeight w:val="300"/>
          <w:jc w:val="center"/>
        </w:trPr>
        <w:tc>
          <w:tcPr>
            <w:tcW w:w="1124" w:type="dxa"/>
          </w:tcPr>
          <w:p w14:paraId="29CC1F92"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TiO2  </w:t>
            </w:r>
          </w:p>
        </w:tc>
        <w:tc>
          <w:tcPr>
            <w:tcW w:w="1126" w:type="dxa"/>
          </w:tcPr>
          <w:p w14:paraId="16E3DB7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124" w:type="dxa"/>
          </w:tcPr>
          <w:p w14:paraId="3E680DC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38E523B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49982BE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6DD9F40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5D73443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A0E1C6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7A64440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392AB9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0.02 </w:t>
            </w:r>
          </w:p>
        </w:tc>
        <w:tc>
          <w:tcPr>
            <w:tcW w:w="1081" w:type="dxa"/>
          </w:tcPr>
          <w:p w14:paraId="5CCE959A"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0.02 </w:t>
            </w:r>
          </w:p>
        </w:tc>
      </w:tr>
      <w:tr w:rsidR="00276289" w:rsidRPr="00276289" w14:paraId="45287D66" w14:textId="77777777" w:rsidTr="003916ED">
        <w:trPr>
          <w:trHeight w:val="300"/>
          <w:jc w:val="center"/>
        </w:trPr>
        <w:tc>
          <w:tcPr>
            <w:tcW w:w="1124" w:type="dxa"/>
          </w:tcPr>
          <w:p w14:paraId="5C4627E9"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Total</w:t>
            </w:r>
          </w:p>
        </w:tc>
        <w:tc>
          <w:tcPr>
            <w:tcW w:w="1126" w:type="dxa"/>
          </w:tcPr>
          <w:p w14:paraId="0A75FFA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54.28 </w:t>
            </w:r>
          </w:p>
        </w:tc>
        <w:tc>
          <w:tcPr>
            <w:tcW w:w="1124" w:type="dxa"/>
          </w:tcPr>
          <w:p w14:paraId="6BDE1DC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55.44 </w:t>
            </w:r>
          </w:p>
        </w:tc>
        <w:tc>
          <w:tcPr>
            <w:tcW w:w="1126" w:type="dxa"/>
          </w:tcPr>
          <w:p w14:paraId="4329799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54.90 </w:t>
            </w:r>
          </w:p>
        </w:tc>
        <w:tc>
          <w:tcPr>
            <w:tcW w:w="1124" w:type="dxa"/>
          </w:tcPr>
          <w:p w14:paraId="292B74E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53.62 </w:t>
            </w:r>
          </w:p>
        </w:tc>
        <w:tc>
          <w:tcPr>
            <w:tcW w:w="1125" w:type="dxa"/>
          </w:tcPr>
          <w:p w14:paraId="03304E8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53.95 </w:t>
            </w:r>
          </w:p>
        </w:tc>
        <w:tc>
          <w:tcPr>
            <w:tcW w:w="1126" w:type="dxa"/>
          </w:tcPr>
          <w:p w14:paraId="6F40987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54.35 </w:t>
            </w:r>
          </w:p>
        </w:tc>
        <w:tc>
          <w:tcPr>
            <w:tcW w:w="1124" w:type="dxa"/>
          </w:tcPr>
          <w:p w14:paraId="1C269CE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53.31 </w:t>
            </w:r>
          </w:p>
        </w:tc>
        <w:tc>
          <w:tcPr>
            <w:tcW w:w="1126" w:type="dxa"/>
          </w:tcPr>
          <w:p w14:paraId="105EEC6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54.57 </w:t>
            </w:r>
          </w:p>
        </w:tc>
        <w:tc>
          <w:tcPr>
            <w:tcW w:w="1124" w:type="dxa"/>
          </w:tcPr>
          <w:p w14:paraId="24A080D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54.08 </w:t>
            </w:r>
          </w:p>
        </w:tc>
        <w:tc>
          <w:tcPr>
            <w:tcW w:w="1081" w:type="dxa"/>
          </w:tcPr>
          <w:p w14:paraId="3C7A9164"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56.45 </w:t>
            </w:r>
          </w:p>
        </w:tc>
      </w:tr>
      <w:tr w:rsidR="00276289" w:rsidRPr="00276289" w14:paraId="26CBB3BF" w14:textId="77777777" w:rsidTr="003916ED">
        <w:trPr>
          <w:trHeight w:val="300"/>
          <w:jc w:val="center"/>
        </w:trPr>
        <w:tc>
          <w:tcPr>
            <w:tcW w:w="1124" w:type="dxa"/>
          </w:tcPr>
          <w:p w14:paraId="3D5F8440"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Ca</w:t>
            </w:r>
          </w:p>
        </w:tc>
        <w:tc>
          <w:tcPr>
            <w:tcW w:w="1126" w:type="dxa"/>
          </w:tcPr>
          <w:p w14:paraId="14616F0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3.46 </w:t>
            </w:r>
          </w:p>
        </w:tc>
        <w:tc>
          <w:tcPr>
            <w:tcW w:w="1124" w:type="dxa"/>
          </w:tcPr>
          <w:p w14:paraId="78EE43D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3.45 </w:t>
            </w:r>
          </w:p>
        </w:tc>
        <w:tc>
          <w:tcPr>
            <w:tcW w:w="1126" w:type="dxa"/>
          </w:tcPr>
          <w:p w14:paraId="67ACEA6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3.47 </w:t>
            </w:r>
          </w:p>
        </w:tc>
        <w:tc>
          <w:tcPr>
            <w:tcW w:w="1124" w:type="dxa"/>
          </w:tcPr>
          <w:p w14:paraId="6FA8D82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3.50 </w:t>
            </w:r>
          </w:p>
        </w:tc>
        <w:tc>
          <w:tcPr>
            <w:tcW w:w="1125" w:type="dxa"/>
          </w:tcPr>
          <w:p w14:paraId="3B79BB4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3.49 </w:t>
            </w:r>
          </w:p>
        </w:tc>
        <w:tc>
          <w:tcPr>
            <w:tcW w:w="1126" w:type="dxa"/>
          </w:tcPr>
          <w:p w14:paraId="481305C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3.47 </w:t>
            </w:r>
          </w:p>
        </w:tc>
        <w:tc>
          <w:tcPr>
            <w:tcW w:w="1124" w:type="dxa"/>
          </w:tcPr>
          <w:p w14:paraId="1CD1CC2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3.50 </w:t>
            </w:r>
          </w:p>
        </w:tc>
        <w:tc>
          <w:tcPr>
            <w:tcW w:w="1126" w:type="dxa"/>
          </w:tcPr>
          <w:p w14:paraId="3792EA9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3.37 </w:t>
            </w:r>
          </w:p>
        </w:tc>
        <w:tc>
          <w:tcPr>
            <w:tcW w:w="1124" w:type="dxa"/>
          </w:tcPr>
          <w:p w14:paraId="1A3E493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3.47 </w:t>
            </w:r>
          </w:p>
        </w:tc>
        <w:tc>
          <w:tcPr>
            <w:tcW w:w="1081" w:type="dxa"/>
          </w:tcPr>
          <w:p w14:paraId="628BC32E"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3.47 </w:t>
            </w:r>
          </w:p>
        </w:tc>
      </w:tr>
      <w:tr w:rsidR="00276289" w:rsidRPr="00276289" w14:paraId="6F37A1D4" w14:textId="77777777" w:rsidTr="003916ED">
        <w:trPr>
          <w:trHeight w:val="300"/>
          <w:jc w:val="center"/>
        </w:trPr>
        <w:tc>
          <w:tcPr>
            <w:tcW w:w="1124" w:type="dxa"/>
          </w:tcPr>
          <w:p w14:paraId="6FBB7FC6"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Mg</w:t>
            </w:r>
          </w:p>
        </w:tc>
        <w:tc>
          <w:tcPr>
            <w:tcW w:w="1126" w:type="dxa"/>
          </w:tcPr>
          <w:p w14:paraId="0721C38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1.02 </w:t>
            </w:r>
          </w:p>
        </w:tc>
        <w:tc>
          <w:tcPr>
            <w:tcW w:w="1124" w:type="dxa"/>
          </w:tcPr>
          <w:p w14:paraId="3556911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1.01 </w:t>
            </w:r>
          </w:p>
        </w:tc>
        <w:tc>
          <w:tcPr>
            <w:tcW w:w="1126" w:type="dxa"/>
          </w:tcPr>
          <w:p w14:paraId="55082B84"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1.04 </w:t>
            </w:r>
          </w:p>
        </w:tc>
        <w:tc>
          <w:tcPr>
            <w:tcW w:w="1124" w:type="dxa"/>
          </w:tcPr>
          <w:p w14:paraId="357A47D6"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1.19 </w:t>
            </w:r>
          </w:p>
        </w:tc>
        <w:tc>
          <w:tcPr>
            <w:tcW w:w="1125" w:type="dxa"/>
          </w:tcPr>
          <w:p w14:paraId="2F22B14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1.25 </w:t>
            </w:r>
          </w:p>
        </w:tc>
        <w:tc>
          <w:tcPr>
            <w:tcW w:w="1126" w:type="dxa"/>
          </w:tcPr>
          <w:p w14:paraId="60F72CF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1.28 </w:t>
            </w:r>
          </w:p>
        </w:tc>
        <w:tc>
          <w:tcPr>
            <w:tcW w:w="1124" w:type="dxa"/>
          </w:tcPr>
          <w:p w14:paraId="05858AA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1.31 </w:t>
            </w:r>
          </w:p>
        </w:tc>
        <w:tc>
          <w:tcPr>
            <w:tcW w:w="1126" w:type="dxa"/>
          </w:tcPr>
          <w:p w14:paraId="6F23F61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1.39 </w:t>
            </w:r>
          </w:p>
        </w:tc>
        <w:tc>
          <w:tcPr>
            <w:tcW w:w="1124" w:type="dxa"/>
          </w:tcPr>
          <w:p w14:paraId="51A5962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1.40 </w:t>
            </w:r>
          </w:p>
        </w:tc>
        <w:tc>
          <w:tcPr>
            <w:tcW w:w="1081" w:type="dxa"/>
          </w:tcPr>
          <w:p w14:paraId="587DDA96"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1.30 </w:t>
            </w:r>
          </w:p>
        </w:tc>
      </w:tr>
      <w:tr w:rsidR="00276289" w:rsidRPr="00276289" w14:paraId="6CC452FA" w14:textId="77777777" w:rsidTr="003916ED">
        <w:trPr>
          <w:trHeight w:val="300"/>
          <w:jc w:val="center"/>
        </w:trPr>
        <w:tc>
          <w:tcPr>
            <w:tcW w:w="1124" w:type="dxa"/>
          </w:tcPr>
          <w:p w14:paraId="44482D17"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Fe</w:t>
            </w:r>
          </w:p>
        </w:tc>
        <w:tc>
          <w:tcPr>
            <w:tcW w:w="1126" w:type="dxa"/>
          </w:tcPr>
          <w:p w14:paraId="1FF6949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1.42 </w:t>
            </w:r>
          </w:p>
        </w:tc>
        <w:tc>
          <w:tcPr>
            <w:tcW w:w="1124" w:type="dxa"/>
          </w:tcPr>
          <w:p w14:paraId="51AE1D8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1.41 </w:t>
            </w:r>
          </w:p>
        </w:tc>
        <w:tc>
          <w:tcPr>
            <w:tcW w:w="1126" w:type="dxa"/>
          </w:tcPr>
          <w:p w14:paraId="1FB0576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1.36 </w:t>
            </w:r>
          </w:p>
        </w:tc>
        <w:tc>
          <w:tcPr>
            <w:tcW w:w="1124" w:type="dxa"/>
          </w:tcPr>
          <w:p w14:paraId="4B15F89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1.18 </w:t>
            </w:r>
          </w:p>
        </w:tc>
        <w:tc>
          <w:tcPr>
            <w:tcW w:w="1125" w:type="dxa"/>
          </w:tcPr>
          <w:p w14:paraId="24ED869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1.14 </w:t>
            </w:r>
          </w:p>
        </w:tc>
        <w:tc>
          <w:tcPr>
            <w:tcW w:w="1126" w:type="dxa"/>
          </w:tcPr>
          <w:p w14:paraId="4751971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1.08 </w:t>
            </w:r>
          </w:p>
        </w:tc>
        <w:tc>
          <w:tcPr>
            <w:tcW w:w="1124" w:type="dxa"/>
          </w:tcPr>
          <w:p w14:paraId="201D27D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1.05 </w:t>
            </w:r>
          </w:p>
        </w:tc>
        <w:tc>
          <w:tcPr>
            <w:tcW w:w="1126" w:type="dxa"/>
          </w:tcPr>
          <w:p w14:paraId="198E339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1.09 </w:t>
            </w:r>
          </w:p>
        </w:tc>
        <w:tc>
          <w:tcPr>
            <w:tcW w:w="1124" w:type="dxa"/>
          </w:tcPr>
          <w:p w14:paraId="7F5D91C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1.00 </w:t>
            </w:r>
          </w:p>
        </w:tc>
        <w:tc>
          <w:tcPr>
            <w:tcW w:w="1081" w:type="dxa"/>
          </w:tcPr>
          <w:p w14:paraId="43AD5C8D"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1.10 </w:t>
            </w:r>
          </w:p>
        </w:tc>
      </w:tr>
      <w:tr w:rsidR="00276289" w:rsidRPr="00276289" w14:paraId="43EA517A" w14:textId="77777777" w:rsidTr="003916ED">
        <w:trPr>
          <w:trHeight w:val="300"/>
          <w:jc w:val="center"/>
        </w:trPr>
        <w:tc>
          <w:tcPr>
            <w:tcW w:w="1124" w:type="dxa"/>
          </w:tcPr>
          <w:p w14:paraId="42B04525"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Na</w:t>
            </w:r>
          </w:p>
        </w:tc>
        <w:tc>
          <w:tcPr>
            <w:tcW w:w="1126" w:type="dxa"/>
          </w:tcPr>
          <w:p w14:paraId="7F596DE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4D9885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484F3FC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34F740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3A2371E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7CD6B08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0.06 </w:t>
            </w:r>
          </w:p>
        </w:tc>
        <w:tc>
          <w:tcPr>
            <w:tcW w:w="1124" w:type="dxa"/>
          </w:tcPr>
          <w:p w14:paraId="533FB2B7"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6" w:type="dxa"/>
          </w:tcPr>
          <w:p w14:paraId="4DB7F7D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25AABE8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225C2453"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7246A19E" w14:textId="77777777" w:rsidTr="003916ED">
        <w:trPr>
          <w:trHeight w:val="300"/>
          <w:jc w:val="center"/>
        </w:trPr>
        <w:tc>
          <w:tcPr>
            <w:tcW w:w="1124" w:type="dxa"/>
          </w:tcPr>
          <w:p w14:paraId="0F44A08C"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K</w:t>
            </w:r>
          </w:p>
        </w:tc>
        <w:tc>
          <w:tcPr>
            <w:tcW w:w="1126" w:type="dxa"/>
          </w:tcPr>
          <w:p w14:paraId="56CFCB9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7CC12FB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1A4FBE7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0049DBC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2C813C4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74F17715"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6E72575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338C8D7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321C4D1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02C59DE2"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584791F9" w14:textId="77777777" w:rsidTr="003916ED">
        <w:trPr>
          <w:trHeight w:val="300"/>
          <w:jc w:val="center"/>
        </w:trPr>
        <w:tc>
          <w:tcPr>
            <w:tcW w:w="1124" w:type="dxa"/>
          </w:tcPr>
          <w:p w14:paraId="1AB32549"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Al</w:t>
            </w:r>
          </w:p>
        </w:tc>
        <w:tc>
          <w:tcPr>
            <w:tcW w:w="1126" w:type="dxa"/>
          </w:tcPr>
          <w:p w14:paraId="65AA27E0"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4BC8ABB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6C70888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3432CFA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5" w:type="dxa"/>
          </w:tcPr>
          <w:p w14:paraId="1C560CDF"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2C38858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4" w:type="dxa"/>
          </w:tcPr>
          <w:p w14:paraId="0F666C1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126" w:type="dxa"/>
          </w:tcPr>
          <w:p w14:paraId="674CCFF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0.01 </w:t>
            </w:r>
          </w:p>
        </w:tc>
        <w:tc>
          <w:tcPr>
            <w:tcW w:w="1124" w:type="dxa"/>
          </w:tcPr>
          <w:p w14:paraId="08D255DA"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0.00 </w:t>
            </w:r>
          </w:p>
        </w:tc>
        <w:tc>
          <w:tcPr>
            <w:tcW w:w="1081" w:type="dxa"/>
          </w:tcPr>
          <w:p w14:paraId="083444FF"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0.00 </w:t>
            </w:r>
          </w:p>
        </w:tc>
      </w:tr>
      <w:tr w:rsidR="00276289" w:rsidRPr="00276289" w14:paraId="548BB8E6" w14:textId="77777777" w:rsidTr="003916ED">
        <w:trPr>
          <w:trHeight w:val="300"/>
          <w:jc w:val="center"/>
        </w:trPr>
        <w:tc>
          <w:tcPr>
            <w:tcW w:w="1124" w:type="dxa"/>
            <w:tcBorders>
              <w:bottom w:val="single" w:sz="6" w:space="0" w:color="000000"/>
            </w:tcBorders>
          </w:tcPr>
          <w:p w14:paraId="4CB7E528" w14:textId="77777777" w:rsidR="00276289" w:rsidRPr="00276289" w:rsidRDefault="00276289" w:rsidP="00276289">
            <w:pPr>
              <w:suppressAutoHyphens/>
              <w:spacing w:after="0" w:line="240" w:lineRule="auto"/>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Mn</w:t>
            </w:r>
          </w:p>
        </w:tc>
        <w:tc>
          <w:tcPr>
            <w:tcW w:w="1126" w:type="dxa"/>
            <w:tcBorders>
              <w:bottom w:val="single" w:sz="6" w:space="0" w:color="000000"/>
            </w:tcBorders>
          </w:tcPr>
          <w:p w14:paraId="45DF185B"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0.10 </w:t>
            </w:r>
          </w:p>
        </w:tc>
        <w:tc>
          <w:tcPr>
            <w:tcW w:w="1124" w:type="dxa"/>
            <w:tcBorders>
              <w:bottom w:val="single" w:sz="6" w:space="0" w:color="000000"/>
            </w:tcBorders>
          </w:tcPr>
          <w:p w14:paraId="1AB63952"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0.13 </w:t>
            </w:r>
          </w:p>
        </w:tc>
        <w:tc>
          <w:tcPr>
            <w:tcW w:w="1126" w:type="dxa"/>
            <w:tcBorders>
              <w:bottom w:val="single" w:sz="6" w:space="0" w:color="000000"/>
            </w:tcBorders>
          </w:tcPr>
          <w:p w14:paraId="5BC1C598"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0.13 </w:t>
            </w:r>
          </w:p>
        </w:tc>
        <w:tc>
          <w:tcPr>
            <w:tcW w:w="1124" w:type="dxa"/>
            <w:tcBorders>
              <w:bottom w:val="single" w:sz="6" w:space="0" w:color="000000"/>
            </w:tcBorders>
          </w:tcPr>
          <w:p w14:paraId="33C64B03"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0.14 </w:t>
            </w:r>
          </w:p>
        </w:tc>
        <w:tc>
          <w:tcPr>
            <w:tcW w:w="1125" w:type="dxa"/>
            <w:tcBorders>
              <w:bottom w:val="single" w:sz="6" w:space="0" w:color="000000"/>
            </w:tcBorders>
          </w:tcPr>
          <w:p w14:paraId="5938700E"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0.12 </w:t>
            </w:r>
          </w:p>
        </w:tc>
        <w:tc>
          <w:tcPr>
            <w:tcW w:w="1126" w:type="dxa"/>
            <w:tcBorders>
              <w:bottom w:val="single" w:sz="6" w:space="0" w:color="000000"/>
            </w:tcBorders>
          </w:tcPr>
          <w:p w14:paraId="652FAB3D"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0.15 </w:t>
            </w:r>
          </w:p>
        </w:tc>
        <w:tc>
          <w:tcPr>
            <w:tcW w:w="1124" w:type="dxa"/>
            <w:tcBorders>
              <w:bottom w:val="single" w:sz="6" w:space="0" w:color="000000"/>
            </w:tcBorders>
          </w:tcPr>
          <w:p w14:paraId="70C94169"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0.14 </w:t>
            </w:r>
          </w:p>
        </w:tc>
        <w:tc>
          <w:tcPr>
            <w:tcW w:w="1126" w:type="dxa"/>
            <w:tcBorders>
              <w:bottom w:val="single" w:sz="6" w:space="0" w:color="000000"/>
            </w:tcBorders>
          </w:tcPr>
          <w:p w14:paraId="73DF5BD1"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0.15 </w:t>
            </w:r>
          </w:p>
        </w:tc>
        <w:tc>
          <w:tcPr>
            <w:tcW w:w="1124" w:type="dxa"/>
            <w:tcBorders>
              <w:bottom w:val="single" w:sz="6" w:space="0" w:color="000000"/>
            </w:tcBorders>
          </w:tcPr>
          <w:p w14:paraId="5AD258BC" w14:textId="77777777" w:rsidR="00276289" w:rsidRPr="00276289" w:rsidRDefault="00276289" w:rsidP="00276289">
            <w:pPr>
              <w:suppressAutoHyphens/>
              <w:spacing w:after="0" w:line="240" w:lineRule="auto"/>
              <w:jc w:val="center"/>
              <w:rPr>
                <w:rFonts w:ascii="Times New Roman" w:eastAsia="Noto Sans CJK JP" w:hAnsi="Times New Roman" w:cs="Tahoma"/>
                <w:color w:val="000000"/>
                <w:sz w:val="20"/>
                <w:szCs w:val="24"/>
                <w14:ligatures w14:val="none"/>
              </w:rPr>
            </w:pPr>
            <w:r w:rsidRPr="00276289">
              <w:rPr>
                <w:rFonts w:ascii="Times New Roman" w:eastAsia="Noto Sans CJK JP" w:hAnsi="Times New Roman" w:cs="Tahoma"/>
                <w:color w:val="000000"/>
                <w:sz w:val="20"/>
                <w:szCs w:val="24"/>
                <w14:ligatures w14:val="none"/>
              </w:rPr>
              <w:t xml:space="preserve">0.13 </w:t>
            </w:r>
          </w:p>
        </w:tc>
        <w:tc>
          <w:tcPr>
            <w:tcW w:w="1081" w:type="dxa"/>
            <w:tcBorders>
              <w:bottom w:val="single" w:sz="6" w:space="0" w:color="000000"/>
            </w:tcBorders>
          </w:tcPr>
          <w:p w14:paraId="52A30F38" w14:textId="77777777" w:rsidR="00276289" w:rsidRPr="00276289" w:rsidRDefault="00276289" w:rsidP="00276289">
            <w:pPr>
              <w:suppressAutoHyphens/>
              <w:spacing w:after="0" w:line="240" w:lineRule="auto"/>
              <w:jc w:val="center"/>
              <w:rPr>
                <w:rFonts w:ascii="Arial" w:eastAsia="Noto Sans CJK JP" w:hAnsi="Arial" w:cs="Tahoma"/>
                <w:color w:val="000000"/>
                <w:sz w:val="20"/>
                <w:szCs w:val="24"/>
                <w14:ligatures w14:val="none"/>
              </w:rPr>
            </w:pPr>
            <w:r w:rsidRPr="00276289">
              <w:rPr>
                <w:rFonts w:ascii="Arial" w:eastAsia="Noto Sans CJK JP" w:hAnsi="Arial" w:cs="Tahoma"/>
                <w:color w:val="000000"/>
                <w:sz w:val="20"/>
                <w:szCs w:val="24"/>
                <w14:ligatures w14:val="none"/>
              </w:rPr>
              <w:t xml:space="preserve">0.13 </w:t>
            </w:r>
          </w:p>
        </w:tc>
      </w:tr>
    </w:tbl>
    <w:p w14:paraId="4CD3D941" w14:textId="77777777" w:rsidR="00276289" w:rsidRDefault="00276289"/>
    <w:p w14:paraId="23F5CDA4" w14:textId="77777777" w:rsidR="00276289" w:rsidRDefault="00276289"/>
    <w:p w14:paraId="0695D9F6" w14:textId="19FB7CDE" w:rsidR="00276289" w:rsidRDefault="00276289">
      <w:r>
        <w:br w:type="page"/>
      </w:r>
    </w:p>
    <w:p w14:paraId="1AB51749" w14:textId="77777777" w:rsidR="00401A0A" w:rsidRDefault="00401A0A">
      <w:pPr>
        <w:sectPr w:rsidR="00401A0A" w:rsidSect="00276289">
          <w:pgSz w:w="15840" w:h="12240" w:orient="landscape"/>
          <w:pgMar w:top="1138" w:right="1138" w:bottom="1138" w:left="1138" w:header="720" w:footer="720" w:gutter="0"/>
          <w:cols w:space="720"/>
          <w:docGrid w:linePitch="360"/>
        </w:sectPr>
      </w:pPr>
    </w:p>
    <w:p w14:paraId="5B74301C" w14:textId="313CBFF3" w:rsidR="00276289" w:rsidRDefault="00276289" w:rsidP="00276289">
      <w:pPr>
        <w:pStyle w:val="Heading1"/>
        <w:rPr>
          <w:sz w:val="28"/>
          <w:szCs w:val="28"/>
        </w:rPr>
      </w:pPr>
      <w:r w:rsidRPr="00276289">
        <w:rPr>
          <w:sz w:val="28"/>
          <w:szCs w:val="28"/>
        </w:rPr>
        <w:t>References</w:t>
      </w:r>
    </w:p>
    <w:p w14:paraId="312B0063" w14:textId="77777777" w:rsidR="004B59EA" w:rsidRPr="004B59EA" w:rsidRDefault="004E2872" w:rsidP="004B59EA">
      <w:pPr>
        <w:pStyle w:val="Bibliography"/>
        <w:rPr>
          <w:rFonts w:ascii="Times New Roman" w:hAnsi="Times New Roman" w:cs="Times New Roman"/>
          <w:sz w:val="24"/>
        </w:rPr>
      </w:pPr>
      <w:r>
        <w:fldChar w:fldCharType="begin"/>
      </w:r>
      <w:r w:rsidR="004B59EA">
        <w:instrText xml:space="preserve"> ADDIN ZOTERO_BIBL {"uncited":[],"omitted":[],"custom":[]} CSL_BIBLIOGRAPHY </w:instrText>
      </w:r>
      <w:r>
        <w:fldChar w:fldCharType="separate"/>
      </w:r>
      <w:r w:rsidR="004B59EA" w:rsidRPr="004B59EA">
        <w:rPr>
          <w:rFonts w:ascii="Times New Roman" w:hAnsi="Times New Roman" w:cs="Times New Roman"/>
          <w:sz w:val="24"/>
        </w:rPr>
        <w:t>1.</w:t>
      </w:r>
      <w:r w:rsidR="004B59EA" w:rsidRPr="004B59EA">
        <w:rPr>
          <w:rFonts w:ascii="Times New Roman" w:hAnsi="Times New Roman" w:cs="Times New Roman"/>
          <w:sz w:val="24"/>
        </w:rPr>
        <w:tab/>
        <w:t xml:space="preserve">Okamoto, A. &amp; Sekine, K. Textures of syntaxial quartz veins synthesized by hydrothermal experiments. </w:t>
      </w:r>
      <w:r w:rsidR="004B59EA" w:rsidRPr="004B59EA">
        <w:rPr>
          <w:rFonts w:ascii="Times New Roman" w:hAnsi="Times New Roman" w:cs="Times New Roman"/>
          <w:i/>
          <w:iCs/>
          <w:sz w:val="24"/>
        </w:rPr>
        <w:t>J. Struct. Geol.</w:t>
      </w:r>
      <w:r w:rsidR="004B59EA" w:rsidRPr="004B59EA">
        <w:rPr>
          <w:rFonts w:ascii="Times New Roman" w:hAnsi="Times New Roman" w:cs="Times New Roman"/>
          <w:sz w:val="24"/>
        </w:rPr>
        <w:t xml:space="preserve"> </w:t>
      </w:r>
      <w:r w:rsidR="004B59EA" w:rsidRPr="004B59EA">
        <w:rPr>
          <w:rFonts w:ascii="Times New Roman" w:hAnsi="Times New Roman" w:cs="Times New Roman"/>
          <w:b/>
          <w:bCs/>
          <w:sz w:val="24"/>
        </w:rPr>
        <w:t>33</w:t>
      </w:r>
      <w:r w:rsidR="004B59EA" w:rsidRPr="004B59EA">
        <w:rPr>
          <w:rFonts w:ascii="Times New Roman" w:hAnsi="Times New Roman" w:cs="Times New Roman"/>
          <w:sz w:val="24"/>
        </w:rPr>
        <w:t>, 1764–1775 (2011).</w:t>
      </w:r>
    </w:p>
    <w:p w14:paraId="59BA9FD8"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w:t>
      </w:r>
      <w:r w:rsidRPr="004B59EA">
        <w:rPr>
          <w:rFonts w:ascii="Times New Roman" w:hAnsi="Times New Roman" w:cs="Times New Roman"/>
          <w:sz w:val="24"/>
        </w:rPr>
        <w:tab/>
        <w:t xml:space="preserve">Watt, G. R., Wright, P., Galloway, S. &amp; McLean, C. Cathodoluminescence and trace element zoning in quartz phenocrysts and xenocrysts. </w:t>
      </w:r>
      <w:r w:rsidRPr="004B59EA">
        <w:rPr>
          <w:rFonts w:ascii="Times New Roman" w:hAnsi="Times New Roman" w:cs="Times New Roman"/>
          <w:i/>
          <w:iCs/>
          <w:sz w:val="24"/>
        </w:rPr>
        <w:t>Geochim. Cosmochim. Acta</w:t>
      </w:r>
      <w:r w:rsidRPr="004B59EA">
        <w:rPr>
          <w:rFonts w:ascii="Times New Roman" w:hAnsi="Times New Roman" w:cs="Times New Roman"/>
          <w:sz w:val="24"/>
        </w:rPr>
        <w:t xml:space="preserve"> </w:t>
      </w:r>
      <w:r w:rsidRPr="004B59EA">
        <w:rPr>
          <w:rFonts w:ascii="Times New Roman" w:hAnsi="Times New Roman" w:cs="Times New Roman"/>
          <w:b/>
          <w:bCs/>
          <w:sz w:val="24"/>
        </w:rPr>
        <w:t>61</w:t>
      </w:r>
      <w:r w:rsidRPr="004B59EA">
        <w:rPr>
          <w:rFonts w:ascii="Times New Roman" w:hAnsi="Times New Roman" w:cs="Times New Roman"/>
          <w:sz w:val="24"/>
        </w:rPr>
        <w:t>, 4337–4348 (1997).</w:t>
      </w:r>
    </w:p>
    <w:p w14:paraId="6792FF0D"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3.</w:t>
      </w:r>
      <w:r w:rsidRPr="004B59EA">
        <w:rPr>
          <w:rFonts w:ascii="Times New Roman" w:hAnsi="Times New Roman" w:cs="Times New Roman"/>
          <w:sz w:val="24"/>
        </w:rPr>
        <w:tab/>
        <w:t xml:space="preserve">Okamoto, A., Saishu, H., Hirano, N. &amp; Tsuchiya, N. Mineralogical and textural variation of silica minerals in hydrothermal flow-through experiments: Implications for quartz vein formation. </w:t>
      </w:r>
      <w:r w:rsidRPr="004B59EA">
        <w:rPr>
          <w:rFonts w:ascii="Times New Roman" w:hAnsi="Times New Roman" w:cs="Times New Roman"/>
          <w:i/>
          <w:iCs/>
          <w:sz w:val="24"/>
        </w:rPr>
        <w:t>Geochim. Cosmochim. Acta</w:t>
      </w:r>
      <w:r w:rsidRPr="004B59EA">
        <w:rPr>
          <w:rFonts w:ascii="Times New Roman" w:hAnsi="Times New Roman" w:cs="Times New Roman"/>
          <w:sz w:val="24"/>
        </w:rPr>
        <w:t xml:space="preserve"> </w:t>
      </w:r>
      <w:r w:rsidRPr="004B59EA">
        <w:rPr>
          <w:rFonts w:ascii="Times New Roman" w:hAnsi="Times New Roman" w:cs="Times New Roman"/>
          <w:b/>
          <w:bCs/>
          <w:sz w:val="24"/>
        </w:rPr>
        <w:t>74</w:t>
      </w:r>
      <w:r w:rsidRPr="004B59EA">
        <w:rPr>
          <w:rFonts w:ascii="Times New Roman" w:hAnsi="Times New Roman" w:cs="Times New Roman"/>
          <w:sz w:val="24"/>
        </w:rPr>
        <w:t>, 3692–3706 (2010).</w:t>
      </w:r>
    </w:p>
    <w:p w14:paraId="0D4F90E8"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4.</w:t>
      </w:r>
      <w:r w:rsidRPr="004B59EA">
        <w:rPr>
          <w:rFonts w:ascii="Times New Roman" w:hAnsi="Times New Roman" w:cs="Times New Roman"/>
          <w:sz w:val="24"/>
        </w:rPr>
        <w:tab/>
        <w:t xml:space="preserve">Rusk, B. &amp; Reed, M. Scanning electron microscope-cathodoluminescence analysis of quartz reveals complex growth histories in veins from the Butte porphyry copper deposit, Montana. </w:t>
      </w:r>
      <w:r w:rsidRPr="004B59EA">
        <w:rPr>
          <w:rFonts w:ascii="Times New Roman" w:hAnsi="Times New Roman" w:cs="Times New Roman"/>
          <w:i/>
          <w:iCs/>
          <w:sz w:val="24"/>
        </w:rPr>
        <w:t>Geology</w:t>
      </w:r>
      <w:r w:rsidRPr="004B59EA">
        <w:rPr>
          <w:rFonts w:ascii="Times New Roman" w:hAnsi="Times New Roman" w:cs="Times New Roman"/>
          <w:sz w:val="24"/>
        </w:rPr>
        <w:t xml:space="preserve"> </w:t>
      </w:r>
      <w:r w:rsidRPr="004B59EA">
        <w:rPr>
          <w:rFonts w:ascii="Times New Roman" w:hAnsi="Times New Roman" w:cs="Times New Roman"/>
          <w:b/>
          <w:bCs/>
          <w:sz w:val="24"/>
        </w:rPr>
        <w:t>30</w:t>
      </w:r>
      <w:r w:rsidRPr="004B59EA">
        <w:rPr>
          <w:rFonts w:ascii="Times New Roman" w:hAnsi="Times New Roman" w:cs="Times New Roman"/>
          <w:sz w:val="24"/>
        </w:rPr>
        <w:t>, 727–730 (2002).</w:t>
      </w:r>
    </w:p>
    <w:p w14:paraId="4076DF6F"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5.</w:t>
      </w:r>
      <w:r w:rsidRPr="004B59EA">
        <w:rPr>
          <w:rFonts w:ascii="Times New Roman" w:hAnsi="Times New Roman" w:cs="Times New Roman"/>
          <w:sz w:val="24"/>
        </w:rPr>
        <w:tab/>
        <w:t xml:space="preserve">Saishu, H., Okamoto, A. &amp; Tsuchiya, N. The significance of silica precipitation on the formation of the permeable-impermeable boundary within Earth’s crust. </w:t>
      </w:r>
      <w:r w:rsidRPr="004B59EA">
        <w:rPr>
          <w:rFonts w:ascii="Times New Roman" w:hAnsi="Times New Roman" w:cs="Times New Roman"/>
          <w:i/>
          <w:iCs/>
          <w:sz w:val="24"/>
        </w:rPr>
        <w:t>Terra Nova</w:t>
      </w:r>
      <w:r w:rsidRPr="004B59EA">
        <w:rPr>
          <w:rFonts w:ascii="Times New Roman" w:hAnsi="Times New Roman" w:cs="Times New Roman"/>
          <w:sz w:val="24"/>
        </w:rPr>
        <w:t xml:space="preserve"> </w:t>
      </w:r>
      <w:r w:rsidRPr="004B59EA">
        <w:rPr>
          <w:rFonts w:ascii="Times New Roman" w:hAnsi="Times New Roman" w:cs="Times New Roman"/>
          <w:b/>
          <w:bCs/>
          <w:sz w:val="24"/>
        </w:rPr>
        <w:t>26</w:t>
      </w:r>
      <w:r w:rsidRPr="004B59EA">
        <w:rPr>
          <w:rFonts w:ascii="Times New Roman" w:hAnsi="Times New Roman" w:cs="Times New Roman"/>
          <w:sz w:val="24"/>
        </w:rPr>
        <w:t>, 253–259 (2014).</w:t>
      </w:r>
    </w:p>
    <w:p w14:paraId="2B668648"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6.</w:t>
      </w:r>
      <w:r w:rsidRPr="004B59EA">
        <w:rPr>
          <w:rFonts w:ascii="Times New Roman" w:hAnsi="Times New Roman" w:cs="Times New Roman"/>
          <w:sz w:val="24"/>
        </w:rPr>
        <w:tab/>
        <w:t xml:space="preserve">Akçay, M., Özkan, H. M., Moon, C. J. &amp; Spiro, B. Geology, mineralogy and geochemistry of the gold-bearing stibnite and cinnabar deposits in the Emirli and Hali{dotless}köy areas (Ödemiş, İzmir, West Turkey). </w:t>
      </w:r>
      <w:r w:rsidRPr="004B59EA">
        <w:rPr>
          <w:rFonts w:ascii="Times New Roman" w:hAnsi="Times New Roman" w:cs="Times New Roman"/>
          <w:i/>
          <w:iCs/>
          <w:sz w:val="24"/>
        </w:rPr>
        <w:t>Ore Geol. Rev.</w:t>
      </w:r>
      <w:r w:rsidRPr="004B59EA">
        <w:rPr>
          <w:rFonts w:ascii="Times New Roman" w:hAnsi="Times New Roman" w:cs="Times New Roman"/>
          <w:sz w:val="24"/>
        </w:rPr>
        <w:t xml:space="preserve"> </w:t>
      </w:r>
      <w:r w:rsidRPr="004B59EA">
        <w:rPr>
          <w:rFonts w:ascii="Times New Roman" w:hAnsi="Times New Roman" w:cs="Times New Roman"/>
          <w:b/>
          <w:bCs/>
          <w:sz w:val="24"/>
        </w:rPr>
        <w:t>29</w:t>
      </w:r>
      <w:r w:rsidRPr="004B59EA">
        <w:rPr>
          <w:rFonts w:ascii="Times New Roman" w:hAnsi="Times New Roman" w:cs="Times New Roman"/>
          <w:sz w:val="24"/>
        </w:rPr>
        <w:t>, 19–51 (2006).</w:t>
      </w:r>
    </w:p>
    <w:p w14:paraId="173A53A6"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7.</w:t>
      </w:r>
      <w:r w:rsidRPr="004B59EA">
        <w:rPr>
          <w:rFonts w:ascii="Times New Roman" w:hAnsi="Times New Roman" w:cs="Times New Roman"/>
          <w:sz w:val="24"/>
        </w:rPr>
        <w:tab/>
        <w:t xml:space="preserve">Bellot, J. P., Lerouge, C., Bailly, L. &amp; Bouchot, V. The biards Sb-Au-bearing shear zone (Massif Central, France): An indicator of crustal-scale transcurrent tectonic guiding Late Variscan Collapse. </w:t>
      </w:r>
      <w:r w:rsidRPr="004B59EA">
        <w:rPr>
          <w:rFonts w:ascii="Times New Roman" w:hAnsi="Times New Roman" w:cs="Times New Roman"/>
          <w:i/>
          <w:iCs/>
          <w:sz w:val="24"/>
        </w:rPr>
        <w:t>Econ. Geol.</w:t>
      </w:r>
      <w:r w:rsidRPr="004B59EA">
        <w:rPr>
          <w:rFonts w:ascii="Times New Roman" w:hAnsi="Times New Roman" w:cs="Times New Roman"/>
          <w:sz w:val="24"/>
        </w:rPr>
        <w:t xml:space="preserve"> </w:t>
      </w:r>
      <w:r w:rsidRPr="004B59EA">
        <w:rPr>
          <w:rFonts w:ascii="Times New Roman" w:hAnsi="Times New Roman" w:cs="Times New Roman"/>
          <w:b/>
          <w:bCs/>
          <w:sz w:val="24"/>
        </w:rPr>
        <w:t>98</w:t>
      </w:r>
      <w:r w:rsidRPr="004B59EA">
        <w:rPr>
          <w:rFonts w:ascii="Times New Roman" w:hAnsi="Times New Roman" w:cs="Times New Roman"/>
          <w:sz w:val="24"/>
        </w:rPr>
        <w:t>, 1427–1447 (2003).</w:t>
      </w:r>
    </w:p>
    <w:p w14:paraId="33A7B277"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8.</w:t>
      </w:r>
      <w:r w:rsidRPr="004B59EA">
        <w:rPr>
          <w:rFonts w:ascii="Times New Roman" w:hAnsi="Times New Roman" w:cs="Times New Roman"/>
          <w:sz w:val="24"/>
        </w:rPr>
        <w:tab/>
        <w:t xml:space="preserve">Kretschmar, U. &amp; Scott, S. D. Phase relations involving arsenopyrite in the system Fe-As-S and their application. </w:t>
      </w:r>
      <w:r w:rsidRPr="004B59EA">
        <w:rPr>
          <w:rFonts w:ascii="Times New Roman" w:hAnsi="Times New Roman" w:cs="Times New Roman"/>
          <w:i/>
          <w:iCs/>
          <w:sz w:val="24"/>
        </w:rPr>
        <w:t>Iraduit Par J.</w:t>
      </w:r>
      <w:r w:rsidRPr="004B59EA">
        <w:rPr>
          <w:rFonts w:ascii="Times New Roman" w:hAnsi="Times New Roman" w:cs="Times New Roman"/>
          <w:sz w:val="24"/>
        </w:rPr>
        <w:t xml:space="preserve"> </w:t>
      </w:r>
      <w:r w:rsidRPr="004B59EA">
        <w:rPr>
          <w:rFonts w:ascii="Times New Roman" w:hAnsi="Times New Roman" w:cs="Times New Roman"/>
          <w:b/>
          <w:bCs/>
          <w:sz w:val="24"/>
        </w:rPr>
        <w:t>14</w:t>
      </w:r>
      <w:r w:rsidRPr="004B59EA">
        <w:rPr>
          <w:rFonts w:ascii="Times New Roman" w:hAnsi="Times New Roman" w:cs="Times New Roman"/>
          <w:sz w:val="24"/>
        </w:rPr>
        <w:t>, 364–386 (1976).</w:t>
      </w:r>
    </w:p>
    <w:p w14:paraId="43764AAF"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9.</w:t>
      </w:r>
      <w:r w:rsidRPr="004B59EA">
        <w:rPr>
          <w:rFonts w:ascii="Times New Roman" w:hAnsi="Times New Roman" w:cs="Times New Roman"/>
          <w:sz w:val="24"/>
        </w:rPr>
        <w:tab/>
        <w:t xml:space="preserve">Sharp, Z. D., Essene, E. J. &amp; Kelly, W. C. A reexamination of the arsenopyrite geothermometer/ geobarometer; pressure considerations and corrections. </w:t>
      </w:r>
      <w:r w:rsidRPr="004B59EA">
        <w:rPr>
          <w:rFonts w:ascii="Times New Roman" w:hAnsi="Times New Roman" w:cs="Times New Roman"/>
          <w:i/>
          <w:iCs/>
          <w:sz w:val="24"/>
        </w:rPr>
        <w:t>AGU 1984 Spring Meet.</w:t>
      </w:r>
      <w:r w:rsidRPr="004B59EA">
        <w:rPr>
          <w:rFonts w:ascii="Times New Roman" w:hAnsi="Times New Roman" w:cs="Times New Roman"/>
          <w:sz w:val="24"/>
        </w:rPr>
        <w:t xml:space="preserve"> </w:t>
      </w:r>
      <w:r w:rsidRPr="004B59EA">
        <w:rPr>
          <w:rFonts w:ascii="Times New Roman" w:hAnsi="Times New Roman" w:cs="Times New Roman"/>
          <w:b/>
          <w:bCs/>
          <w:sz w:val="24"/>
        </w:rPr>
        <w:t>23</w:t>
      </w:r>
      <w:r w:rsidRPr="004B59EA">
        <w:rPr>
          <w:rFonts w:ascii="Times New Roman" w:hAnsi="Times New Roman" w:cs="Times New Roman"/>
          <w:sz w:val="24"/>
        </w:rPr>
        <w:t>, 290 (1984).</w:t>
      </w:r>
    </w:p>
    <w:p w14:paraId="2C1BF20B"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10.</w:t>
      </w:r>
      <w:r w:rsidRPr="004B59EA">
        <w:rPr>
          <w:rFonts w:ascii="Times New Roman" w:hAnsi="Times New Roman" w:cs="Times New Roman"/>
          <w:sz w:val="24"/>
        </w:rPr>
        <w:tab/>
        <w:t xml:space="preserve">Agroli, G., Okamoto, A., Uno, M. &amp; Tsuchiya, N. Transport and evolution of supercritical fluids during the formation of the erdenet CU–MO deposit, Mongolia. </w:t>
      </w:r>
      <w:r w:rsidRPr="004B59EA">
        <w:rPr>
          <w:rFonts w:ascii="Times New Roman" w:hAnsi="Times New Roman" w:cs="Times New Roman"/>
          <w:i/>
          <w:iCs/>
          <w:sz w:val="24"/>
        </w:rPr>
        <w:t>Geosci. Switz.</w:t>
      </w:r>
      <w:r w:rsidRPr="004B59EA">
        <w:rPr>
          <w:rFonts w:ascii="Times New Roman" w:hAnsi="Times New Roman" w:cs="Times New Roman"/>
          <w:sz w:val="24"/>
        </w:rPr>
        <w:t xml:space="preserve"> </w:t>
      </w:r>
      <w:r w:rsidRPr="004B59EA">
        <w:rPr>
          <w:rFonts w:ascii="Times New Roman" w:hAnsi="Times New Roman" w:cs="Times New Roman"/>
          <w:b/>
          <w:bCs/>
          <w:sz w:val="24"/>
        </w:rPr>
        <w:t>10</w:t>
      </w:r>
      <w:r w:rsidRPr="004B59EA">
        <w:rPr>
          <w:rFonts w:ascii="Times New Roman" w:hAnsi="Times New Roman" w:cs="Times New Roman"/>
          <w:sz w:val="24"/>
        </w:rPr>
        <w:t>, (2020).</w:t>
      </w:r>
    </w:p>
    <w:p w14:paraId="47215B00"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11.</w:t>
      </w:r>
      <w:r w:rsidRPr="004B59EA">
        <w:rPr>
          <w:rFonts w:ascii="Times New Roman" w:hAnsi="Times New Roman" w:cs="Times New Roman"/>
          <w:sz w:val="24"/>
        </w:rPr>
        <w:tab/>
        <w:t xml:space="preserve">Wark, D. A. &amp; Watson, E. B. TitaniQ: A titanium-in-quartz geothermometer. </w:t>
      </w:r>
      <w:r w:rsidRPr="004B59EA">
        <w:rPr>
          <w:rFonts w:ascii="Times New Roman" w:hAnsi="Times New Roman" w:cs="Times New Roman"/>
          <w:i/>
          <w:iCs/>
          <w:sz w:val="24"/>
        </w:rPr>
        <w:t>Contrib. Mineral. Petrol.</w:t>
      </w:r>
      <w:r w:rsidRPr="004B59EA">
        <w:rPr>
          <w:rFonts w:ascii="Times New Roman" w:hAnsi="Times New Roman" w:cs="Times New Roman"/>
          <w:sz w:val="24"/>
        </w:rPr>
        <w:t xml:space="preserve"> </w:t>
      </w:r>
      <w:r w:rsidRPr="004B59EA">
        <w:rPr>
          <w:rFonts w:ascii="Times New Roman" w:hAnsi="Times New Roman" w:cs="Times New Roman"/>
          <w:b/>
          <w:bCs/>
          <w:sz w:val="24"/>
        </w:rPr>
        <w:t>152</w:t>
      </w:r>
      <w:r w:rsidRPr="004B59EA">
        <w:rPr>
          <w:rFonts w:ascii="Times New Roman" w:hAnsi="Times New Roman" w:cs="Times New Roman"/>
          <w:sz w:val="24"/>
        </w:rPr>
        <w:t>, 743–754 (2006).</w:t>
      </w:r>
    </w:p>
    <w:p w14:paraId="65ACE205"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12.</w:t>
      </w:r>
      <w:r w:rsidRPr="004B59EA">
        <w:rPr>
          <w:rFonts w:ascii="Times New Roman" w:hAnsi="Times New Roman" w:cs="Times New Roman"/>
          <w:sz w:val="24"/>
        </w:rPr>
        <w:tab/>
        <w:t xml:space="preserve">Dill, H. G. The ‘chessboard’ classification scheme of mineral deposits: Mineralogy and geology from aluminum to zirconium. </w:t>
      </w:r>
      <w:r w:rsidRPr="004B59EA">
        <w:rPr>
          <w:rFonts w:ascii="Times New Roman" w:hAnsi="Times New Roman" w:cs="Times New Roman"/>
          <w:i/>
          <w:iCs/>
          <w:sz w:val="24"/>
        </w:rPr>
        <w:t>Earth-Sci. Rev.</w:t>
      </w:r>
      <w:r w:rsidRPr="004B59EA">
        <w:rPr>
          <w:rFonts w:ascii="Times New Roman" w:hAnsi="Times New Roman" w:cs="Times New Roman"/>
          <w:sz w:val="24"/>
        </w:rPr>
        <w:t xml:space="preserve"> </w:t>
      </w:r>
      <w:r w:rsidRPr="004B59EA">
        <w:rPr>
          <w:rFonts w:ascii="Times New Roman" w:hAnsi="Times New Roman" w:cs="Times New Roman"/>
          <w:b/>
          <w:bCs/>
          <w:sz w:val="24"/>
        </w:rPr>
        <w:t>100</w:t>
      </w:r>
      <w:r w:rsidRPr="004B59EA">
        <w:rPr>
          <w:rFonts w:ascii="Times New Roman" w:hAnsi="Times New Roman" w:cs="Times New Roman"/>
          <w:sz w:val="24"/>
        </w:rPr>
        <w:t>, 1–420 (2010).</w:t>
      </w:r>
    </w:p>
    <w:p w14:paraId="3467BD8C"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13.</w:t>
      </w:r>
      <w:r w:rsidRPr="004B59EA">
        <w:rPr>
          <w:rFonts w:ascii="Times New Roman" w:hAnsi="Times New Roman" w:cs="Times New Roman"/>
          <w:sz w:val="24"/>
        </w:rPr>
        <w:tab/>
        <w:t xml:space="preserve">Sakakibara, M. &amp; Isono, Y. Middle Miocene thermal metamorphism due to the infiltration of high-temperature fluid in the Sanbagawa metamorphic belt, southwest Japan. </w:t>
      </w:r>
      <w:r w:rsidRPr="004B59EA">
        <w:rPr>
          <w:rFonts w:ascii="Times New Roman" w:hAnsi="Times New Roman" w:cs="Times New Roman"/>
          <w:i/>
          <w:iCs/>
          <w:sz w:val="24"/>
        </w:rPr>
        <w:t>Contrib. Mineral. Petrol.</w:t>
      </w:r>
      <w:r w:rsidRPr="004B59EA">
        <w:rPr>
          <w:rFonts w:ascii="Times New Roman" w:hAnsi="Times New Roman" w:cs="Times New Roman"/>
          <w:sz w:val="24"/>
        </w:rPr>
        <w:t xml:space="preserve"> </w:t>
      </w:r>
      <w:r w:rsidRPr="004B59EA">
        <w:rPr>
          <w:rFonts w:ascii="Times New Roman" w:hAnsi="Times New Roman" w:cs="Times New Roman"/>
          <w:b/>
          <w:bCs/>
          <w:sz w:val="24"/>
        </w:rPr>
        <w:t>125</w:t>
      </w:r>
      <w:r w:rsidRPr="004B59EA">
        <w:rPr>
          <w:rFonts w:ascii="Times New Roman" w:hAnsi="Times New Roman" w:cs="Times New Roman"/>
          <w:sz w:val="24"/>
        </w:rPr>
        <w:t>, 341–358 (1996).</w:t>
      </w:r>
    </w:p>
    <w:p w14:paraId="0ADF74A3"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14.</w:t>
      </w:r>
      <w:r w:rsidRPr="004B59EA">
        <w:rPr>
          <w:rFonts w:ascii="Times New Roman" w:hAnsi="Times New Roman" w:cs="Times New Roman"/>
          <w:sz w:val="24"/>
        </w:rPr>
        <w:tab/>
        <w:t xml:space="preserve">Cheval-Garabédian, F., Faure, M., Marcoux, E., Gouin, J. &amp; Picault, M. The La Bellière gold and antimony district (French Armorican Massif): A two-stage evolution model controlled by Variscan strike-slip tectonic. </w:t>
      </w:r>
      <w:r w:rsidRPr="004B59EA">
        <w:rPr>
          <w:rFonts w:ascii="Times New Roman" w:hAnsi="Times New Roman" w:cs="Times New Roman"/>
          <w:i/>
          <w:iCs/>
          <w:sz w:val="24"/>
        </w:rPr>
        <w:t>Ore Geol. Rev.</w:t>
      </w:r>
      <w:r w:rsidRPr="004B59EA">
        <w:rPr>
          <w:rFonts w:ascii="Times New Roman" w:hAnsi="Times New Roman" w:cs="Times New Roman"/>
          <w:sz w:val="24"/>
        </w:rPr>
        <w:t xml:space="preserve"> </w:t>
      </w:r>
      <w:r w:rsidRPr="004B59EA">
        <w:rPr>
          <w:rFonts w:ascii="Times New Roman" w:hAnsi="Times New Roman" w:cs="Times New Roman"/>
          <w:b/>
          <w:bCs/>
          <w:sz w:val="24"/>
        </w:rPr>
        <w:t>125</w:t>
      </w:r>
      <w:r w:rsidRPr="004B59EA">
        <w:rPr>
          <w:rFonts w:ascii="Times New Roman" w:hAnsi="Times New Roman" w:cs="Times New Roman"/>
          <w:sz w:val="24"/>
        </w:rPr>
        <w:t>, 103681 (2020).</w:t>
      </w:r>
    </w:p>
    <w:p w14:paraId="398A3D59"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15.</w:t>
      </w:r>
      <w:r w:rsidRPr="004B59EA">
        <w:rPr>
          <w:rFonts w:ascii="Times New Roman" w:hAnsi="Times New Roman" w:cs="Times New Roman"/>
          <w:sz w:val="24"/>
        </w:rPr>
        <w:tab/>
        <w:t xml:space="preserve">Sakakibara, M., Umeki, M. &amp; Cartwright, I. Isotopic evidence for channeled fluid flow in low-grade metamorphosed Jurassic accretionary complex in the Northern Chichibu belt, western Shikoku, Japan. </w:t>
      </w:r>
      <w:r w:rsidRPr="004B59EA">
        <w:rPr>
          <w:rFonts w:ascii="Times New Roman" w:hAnsi="Times New Roman" w:cs="Times New Roman"/>
          <w:i/>
          <w:iCs/>
          <w:sz w:val="24"/>
        </w:rPr>
        <w:t>J. Metamorph. Geol.</w:t>
      </w:r>
      <w:r w:rsidRPr="004B59EA">
        <w:rPr>
          <w:rFonts w:ascii="Times New Roman" w:hAnsi="Times New Roman" w:cs="Times New Roman"/>
          <w:sz w:val="24"/>
        </w:rPr>
        <w:t xml:space="preserve"> </w:t>
      </w:r>
      <w:r w:rsidRPr="004B59EA">
        <w:rPr>
          <w:rFonts w:ascii="Times New Roman" w:hAnsi="Times New Roman" w:cs="Times New Roman"/>
          <w:b/>
          <w:bCs/>
          <w:sz w:val="24"/>
        </w:rPr>
        <w:t>25</w:t>
      </w:r>
      <w:r w:rsidRPr="004B59EA">
        <w:rPr>
          <w:rFonts w:ascii="Times New Roman" w:hAnsi="Times New Roman" w:cs="Times New Roman"/>
          <w:sz w:val="24"/>
        </w:rPr>
        <w:t>, 383–400 (2007).</w:t>
      </w:r>
    </w:p>
    <w:p w14:paraId="076058A6"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16.</w:t>
      </w:r>
      <w:r w:rsidRPr="004B59EA">
        <w:rPr>
          <w:rFonts w:ascii="Times New Roman" w:hAnsi="Times New Roman" w:cs="Times New Roman"/>
          <w:sz w:val="24"/>
        </w:rPr>
        <w:tab/>
        <w:t xml:space="preserve">Bailly,  null, Bailly, L., Bouchot, V., Bény, C. &amp; Milési, J. P. Fluid inclusion study of stibnite using infrared microscopy: An example from the Brouzils antimony deposit (Vendee, Armorican massif, France). </w:t>
      </w:r>
      <w:r w:rsidRPr="004B59EA">
        <w:rPr>
          <w:rFonts w:ascii="Times New Roman" w:hAnsi="Times New Roman" w:cs="Times New Roman"/>
          <w:i/>
          <w:iCs/>
          <w:sz w:val="24"/>
        </w:rPr>
        <w:t>Econ Geol</w:t>
      </w:r>
      <w:r w:rsidRPr="004B59EA">
        <w:rPr>
          <w:rFonts w:ascii="Times New Roman" w:hAnsi="Times New Roman" w:cs="Times New Roman"/>
          <w:sz w:val="24"/>
        </w:rPr>
        <w:t xml:space="preserve"> </w:t>
      </w:r>
      <w:r w:rsidRPr="004B59EA">
        <w:rPr>
          <w:rFonts w:ascii="Times New Roman" w:hAnsi="Times New Roman" w:cs="Times New Roman"/>
          <w:b/>
          <w:bCs/>
          <w:sz w:val="24"/>
        </w:rPr>
        <w:t>95</w:t>
      </w:r>
      <w:r w:rsidRPr="004B59EA">
        <w:rPr>
          <w:rFonts w:ascii="Times New Roman" w:hAnsi="Times New Roman" w:cs="Times New Roman"/>
          <w:sz w:val="24"/>
        </w:rPr>
        <w:t>, 221–226 (2000).</w:t>
      </w:r>
    </w:p>
    <w:p w14:paraId="16359F90"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17.</w:t>
      </w:r>
      <w:r w:rsidRPr="004B59EA">
        <w:rPr>
          <w:rFonts w:ascii="Times New Roman" w:hAnsi="Times New Roman" w:cs="Times New Roman"/>
          <w:sz w:val="24"/>
        </w:rPr>
        <w:tab/>
        <w:t xml:space="preserve">Němec, M. &amp; Zachariáš, J. The Krásná Hora, Milešov, and Povy Sb-Au ore deposits, Bohemian Massif: mineralogy, fluid inclusions, and stable isotope constraints on the deposit formation. </w:t>
      </w:r>
      <w:r w:rsidRPr="004B59EA">
        <w:rPr>
          <w:rFonts w:ascii="Times New Roman" w:hAnsi="Times New Roman" w:cs="Times New Roman"/>
          <w:i/>
          <w:iCs/>
          <w:sz w:val="24"/>
        </w:rPr>
        <w:t>Miner. Deposita</w:t>
      </w:r>
      <w:r w:rsidRPr="004B59EA">
        <w:rPr>
          <w:rFonts w:ascii="Times New Roman" w:hAnsi="Times New Roman" w:cs="Times New Roman"/>
          <w:sz w:val="24"/>
        </w:rPr>
        <w:t xml:space="preserve"> </w:t>
      </w:r>
      <w:r w:rsidRPr="004B59EA">
        <w:rPr>
          <w:rFonts w:ascii="Times New Roman" w:hAnsi="Times New Roman" w:cs="Times New Roman"/>
          <w:b/>
          <w:bCs/>
          <w:sz w:val="24"/>
        </w:rPr>
        <w:t>53</w:t>
      </w:r>
      <w:r w:rsidRPr="004B59EA">
        <w:rPr>
          <w:rFonts w:ascii="Times New Roman" w:hAnsi="Times New Roman" w:cs="Times New Roman"/>
          <w:sz w:val="24"/>
        </w:rPr>
        <w:t>, 225–244 (2018).</w:t>
      </w:r>
    </w:p>
    <w:p w14:paraId="22372730"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18.</w:t>
      </w:r>
      <w:r w:rsidRPr="004B59EA">
        <w:rPr>
          <w:rFonts w:ascii="Times New Roman" w:hAnsi="Times New Roman" w:cs="Times New Roman"/>
          <w:sz w:val="24"/>
        </w:rPr>
        <w:tab/>
        <w:t xml:space="preserve">Krupp, R. E. Solubility of stibnite in hydrogen sulfide solutions, speciation, and equilibrium constants, from 25 to 350°C. </w:t>
      </w:r>
      <w:r w:rsidRPr="004B59EA">
        <w:rPr>
          <w:rFonts w:ascii="Times New Roman" w:hAnsi="Times New Roman" w:cs="Times New Roman"/>
          <w:i/>
          <w:iCs/>
          <w:sz w:val="24"/>
        </w:rPr>
        <w:t>Geochim. Cosmochim. Acta</w:t>
      </w:r>
      <w:r w:rsidRPr="004B59EA">
        <w:rPr>
          <w:rFonts w:ascii="Times New Roman" w:hAnsi="Times New Roman" w:cs="Times New Roman"/>
          <w:sz w:val="24"/>
        </w:rPr>
        <w:t xml:space="preserve"> </w:t>
      </w:r>
      <w:r w:rsidRPr="004B59EA">
        <w:rPr>
          <w:rFonts w:ascii="Times New Roman" w:hAnsi="Times New Roman" w:cs="Times New Roman"/>
          <w:b/>
          <w:bCs/>
          <w:sz w:val="24"/>
        </w:rPr>
        <w:t>52</w:t>
      </w:r>
      <w:r w:rsidRPr="004B59EA">
        <w:rPr>
          <w:rFonts w:ascii="Times New Roman" w:hAnsi="Times New Roman" w:cs="Times New Roman"/>
          <w:sz w:val="24"/>
        </w:rPr>
        <w:t>, 3005–3015 (1988).</w:t>
      </w:r>
    </w:p>
    <w:p w14:paraId="38E7280A"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19.</w:t>
      </w:r>
      <w:r w:rsidRPr="004B59EA">
        <w:rPr>
          <w:rFonts w:ascii="Times New Roman" w:hAnsi="Times New Roman" w:cs="Times New Roman"/>
          <w:sz w:val="24"/>
        </w:rPr>
        <w:tab/>
        <w:t xml:space="preserve">Li, W. </w:t>
      </w:r>
      <w:r w:rsidRPr="004B59EA">
        <w:rPr>
          <w:rFonts w:ascii="Times New Roman" w:hAnsi="Times New Roman" w:cs="Times New Roman"/>
          <w:i/>
          <w:iCs/>
          <w:sz w:val="24"/>
        </w:rPr>
        <w:t>et al.</w:t>
      </w:r>
      <w:r w:rsidRPr="004B59EA">
        <w:rPr>
          <w:rFonts w:ascii="Times New Roman" w:hAnsi="Times New Roman" w:cs="Times New Roman"/>
          <w:sz w:val="24"/>
        </w:rPr>
        <w:t xml:space="preserve"> Textures and trace element signatures of pyrite and arsenopyrite from the gutaishan Au–Sb deposit, south China. </w:t>
      </w:r>
      <w:r w:rsidRPr="004B59EA">
        <w:rPr>
          <w:rFonts w:ascii="Times New Roman" w:hAnsi="Times New Roman" w:cs="Times New Roman"/>
          <w:i/>
          <w:iCs/>
          <w:sz w:val="24"/>
        </w:rPr>
        <w:t>Miner. Deposita</w:t>
      </w:r>
      <w:r w:rsidRPr="004B59EA">
        <w:rPr>
          <w:rFonts w:ascii="Times New Roman" w:hAnsi="Times New Roman" w:cs="Times New Roman"/>
          <w:sz w:val="24"/>
        </w:rPr>
        <w:t xml:space="preserve"> </w:t>
      </w:r>
      <w:r w:rsidRPr="004B59EA">
        <w:rPr>
          <w:rFonts w:ascii="Times New Roman" w:hAnsi="Times New Roman" w:cs="Times New Roman"/>
          <w:b/>
          <w:bCs/>
          <w:sz w:val="24"/>
        </w:rPr>
        <w:t>54</w:t>
      </w:r>
      <w:r w:rsidRPr="004B59EA">
        <w:rPr>
          <w:rFonts w:ascii="Times New Roman" w:hAnsi="Times New Roman" w:cs="Times New Roman"/>
          <w:sz w:val="24"/>
        </w:rPr>
        <w:t>, 591–610 (2019).</w:t>
      </w:r>
    </w:p>
    <w:p w14:paraId="16F7EC0A"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20.</w:t>
      </w:r>
      <w:r w:rsidRPr="004B59EA">
        <w:rPr>
          <w:rFonts w:ascii="Times New Roman" w:hAnsi="Times New Roman" w:cs="Times New Roman"/>
          <w:sz w:val="24"/>
        </w:rPr>
        <w:tab/>
        <w:t xml:space="preserve">Shimizu, T. Fluid Inclusion Studies of Comb Quartz and Stibnite at the Hishikari Au–Ag Epithermal Deposit, Japan. </w:t>
      </w:r>
      <w:r w:rsidRPr="004B59EA">
        <w:rPr>
          <w:rFonts w:ascii="Times New Roman" w:hAnsi="Times New Roman" w:cs="Times New Roman"/>
          <w:i/>
          <w:iCs/>
          <w:sz w:val="24"/>
        </w:rPr>
        <w:t>Resour. Geol.</w:t>
      </w:r>
      <w:r w:rsidRPr="004B59EA">
        <w:rPr>
          <w:rFonts w:ascii="Times New Roman" w:hAnsi="Times New Roman" w:cs="Times New Roman"/>
          <w:sz w:val="24"/>
        </w:rPr>
        <w:t xml:space="preserve"> </w:t>
      </w:r>
      <w:r w:rsidRPr="004B59EA">
        <w:rPr>
          <w:rFonts w:ascii="Times New Roman" w:hAnsi="Times New Roman" w:cs="Times New Roman"/>
          <w:b/>
          <w:bCs/>
          <w:sz w:val="24"/>
        </w:rPr>
        <w:t>68</w:t>
      </w:r>
      <w:r w:rsidRPr="004B59EA">
        <w:rPr>
          <w:rFonts w:ascii="Times New Roman" w:hAnsi="Times New Roman" w:cs="Times New Roman"/>
          <w:sz w:val="24"/>
        </w:rPr>
        <w:t>, 326–335 (2018).</w:t>
      </w:r>
    </w:p>
    <w:p w14:paraId="4026FE65"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21.</w:t>
      </w:r>
      <w:r w:rsidRPr="004B59EA">
        <w:rPr>
          <w:rFonts w:ascii="Times New Roman" w:hAnsi="Times New Roman" w:cs="Times New Roman"/>
          <w:sz w:val="24"/>
        </w:rPr>
        <w:tab/>
        <w:t xml:space="preserve">Wagner, T. &amp; Cook, N. J. Late-Variscan antimony mineralisation in the Rheinisches Schiefergebirge, NW Germany: Evidence for stibnite precipitation by drastic cooling of high-temperature fluid systems. </w:t>
      </w:r>
      <w:r w:rsidRPr="004B59EA">
        <w:rPr>
          <w:rFonts w:ascii="Times New Roman" w:hAnsi="Times New Roman" w:cs="Times New Roman"/>
          <w:i/>
          <w:iCs/>
          <w:sz w:val="24"/>
        </w:rPr>
        <w:t>Miner. Deposita</w:t>
      </w:r>
      <w:r w:rsidRPr="004B59EA">
        <w:rPr>
          <w:rFonts w:ascii="Times New Roman" w:hAnsi="Times New Roman" w:cs="Times New Roman"/>
          <w:sz w:val="24"/>
        </w:rPr>
        <w:t xml:space="preserve"> </w:t>
      </w:r>
      <w:r w:rsidRPr="004B59EA">
        <w:rPr>
          <w:rFonts w:ascii="Times New Roman" w:hAnsi="Times New Roman" w:cs="Times New Roman"/>
          <w:b/>
          <w:bCs/>
          <w:sz w:val="24"/>
        </w:rPr>
        <w:t>35</w:t>
      </w:r>
      <w:r w:rsidRPr="004B59EA">
        <w:rPr>
          <w:rFonts w:ascii="Times New Roman" w:hAnsi="Times New Roman" w:cs="Times New Roman"/>
          <w:sz w:val="24"/>
        </w:rPr>
        <w:t>, 206–222 (2000).</w:t>
      </w:r>
    </w:p>
    <w:p w14:paraId="32FA3C76"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22.</w:t>
      </w:r>
      <w:r w:rsidRPr="004B59EA">
        <w:rPr>
          <w:rFonts w:ascii="Times New Roman" w:hAnsi="Times New Roman" w:cs="Times New Roman"/>
          <w:sz w:val="24"/>
        </w:rPr>
        <w:tab/>
        <w:t xml:space="preserve">Bakker, R. J. AqSo_NaCl: Computer program to calculate p-T-V-x properties in the H2O-NaCl fluid system applied to fluid inclusion research and pore fluid calculation. </w:t>
      </w:r>
      <w:r w:rsidRPr="004B59EA">
        <w:rPr>
          <w:rFonts w:ascii="Times New Roman" w:hAnsi="Times New Roman" w:cs="Times New Roman"/>
          <w:i/>
          <w:iCs/>
          <w:sz w:val="24"/>
        </w:rPr>
        <w:t>Comput. Geosci.</w:t>
      </w:r>
      <w:r w:rsidRPr="004B59EA">
        <w:rPr>
          <w:rFonts w:ascii="Times New Roman" w:hAnsi="Times New Roman" w:cs="Times New Roman"/>
          <w:sz w:val="24"/>
        </w:rPr>
        <w:t xml:space="preserve"> </w:t>
      </w:r>
      <w:r w:rsidRPr="004B59EA">
        <w:rPr>
          <w:rFonts w:ascii="Times New Roman" w:hAnsi="Times New Roman" w:cs="Times New Roman"/>
          <w:b/>
          <w:bCs/>
          <w:sz w:val="24"/>
        </w:rPr>
        <w:t>115</w:t>
      </w:r>
      <w:r w:rsidRPr="004B59EA">
        <w:rPr>
          <w:rFonts w:ascii="Times New Roman" w:hAnsi="Times New Roman" w:cs="Times New Roman"/>
          <w:sz w:val="24"/>
        </w:rPr>
        <w:t>, 122–133 (2018).</w:t>
      </w:r>
    </w:p>
    <w:p w14:paraId="44EE578E"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23.</w:t>
      </w:r>
      <w:r w:rsidRPr="004B59EA">
        <w:rPr>
          <w:rFonts w:ascii="Times New Roman" w:hAnsi="Times New Roman" w:cs="Times New Roman"/>
          <w:sz w:val="24"/>
        </w:rPr>
        <w:tab/>
        <w:t xml:space="preserve">A’xiang, H. &amp; Jiantang, P. Fluid inclusions and ore precipitation mechanism in the giant Xikuangshan mesothermal antimony deposit, South China: Conventional and infrared microthermometric constraints. </w:t>
      </w:r>
      <w:r w:rsidRPr="004B59EA">
        <w:rPr>
          <w:rFonts w:ascii="Times New Roman" w:hAnsi="Times New Roman" w:cs="Times New Roman"/>
          <w:i/>
          <w:iCs/>
          <w:sz w:val="24"/>
        </w:rPr>
        <w:t>Ore Geol. Rev.</w:t>
      </w:r>
      <w:r w:rsidRPr="004B59EA">
        <w:rPr>
          <w:rFonts w:ascii="Times New Roman" w:hAnsi="Times New Roman" w:cs="Times New Roman"/>
          <w:sz w:val="24"/>
        </w:rPr>
        <w:t xml:space="preserve"> </w:t>
      </w:r>
      <w:r w:rsidRPr="004B59EA">
        <w:rPr>
          <w:rFonts w:ascii="Times New Roman" w:hAnsi="Times New Roman" w:cs="Times New Roman"/>
          <w:b/>
          <w:bCs/>
          <w:sz w:val="24"/>
        </w:rPr>
        <w:t>95</w:t>
      </w:r>
      <w:r w:rsidRPr="004B59EA">
        <w:rPr>
          <w:rFonts w:ascii="Times New Roman" w:hAnsi="Times New Roman" w:cs="Times New Roman"/>
          <w:sz w:val="24"/>
        </w:rPr>
        <w:t>, 49–64 (2018).</w:t>
      </w:r>
    </w:p>
    <w:p w14:paraId="06A1B084"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24.</w:t>
      </w:r>
      <w:r w:rsidRPr="004B59EA">
        <w:rPr>
          <w:rFonts w:ascii="Times New Roman" w:hAnsi="Times New Roman" w:cs="Times New Roman"/>
          <w:sz w:val="24"/>
        </w:rPr>
        <w:tab/>
        <w:t xml:space="preserve">Wilkinson, J. J. Fluid inclusions in hydrothermal ore deposits. </w:t>
      </w:r>
      <w:r w:rsidRPr="004B59EA">
        <w:rPr>
          <w:rFonts w:ascii="Times New Roman" w:hAnsi="Times New Roman" w:cs="Times New Roman"/>
          <w:i/>
          <w:iCs/>
          <w:sz w:val="24"/>
        </w:rPr>
        <w:t>Lithos</w:t>
      </w:r>
      <w:r w:rsidRPr="004B59EA">
        <w:rPr>
          <w:rFonts w:ascii="Times New Roman" w:hAnsi="Times New Roman" w:cs="Times New Roman"/>
          <w:sz w:val="24"/>
        </w:rPr>
        <w:t xml:space="preserve"> </w:t>
      </w:r>
      <w:r w:rsidRPr="004B59EA">
        <w:rPr>
          <w:rFonts w:ascii="Times New Roman" w:hAnsi="Times New Roman" w:cs="Times New Roman"/>
          <w:b/>
          <w:bCs/>
          <w:sz w:val="24"/>
        </w:rPr>
        <w:t>55</w:t>
      </w:r>
      <w:r w:rsidRPr="004B59EA">
        <w:rPr>
          <w:rFonts w:ascii="Times New Roman" w:hAnsi="Times New Roman" w:cs="Times New Roman"/>
          <w:sz w:val="24"/>
        </w:rPr>
        <w:t>, 229–272 (2001).</w:t>
      </w:r>
    </w:p>
    <w:p w14:paraId="03FD67D6"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25.</w:t>
      </w:r>
      <w:r w:rsidRPr="004B59EA">
        <w:rPr>
          <w:rFonts w:ascii="Times New Roman" w:hAnsi="Times New Roman" w:cs="Times New Roman"/>
          <w:sz w:val="24"/>
        </w:rPr>
        <w:tab/>
        <w:t xml:space="preserve">Amagai, T. </w:t>
      </w:r>
      <w:r w:rsidRPr="004B59EA">
        <w:rPr>
          <w:rFonts w:ascii="Times New Roman" w:hAnsi="Times New Roman" w:cs="Times New Roman"/>
          <w:i/>
          <w:iCs/>
          <w:sz w:val="24"/>
        </w:rPr>
        <w:t>et al.</w:t>
      </w:r>
      <w:r w:rsidRPr="004B59EA">
        <w:rPr>
          <w:rFonts w:ascii="Times New Roman" w:hAnsi="Times New Roman" w:cs="Times New Roman"/>
          <w:sz w:val="24"/>
        </w:rPr>
        <w:t xml:space="preserve"> Silica nanoparticles produced by explosive flash vaporization during earthquakes. </w:t>
      </w:r>
      <w:r w:rsidRPr="004B59EA">
        <w:rPr>
          <w:rFonts w:ascii="Times New Roman" w:hAnsi="Times New Roman" w:cs="Times New Roman"/>
          <w:i/>
          <w:iCs/>
          <w:sz w:val="24"/>
        </w:rPr>
        <w:t>Sci. Rep.</w:t>
      </w:r>
      <w:r w:rsidRPr="004B59EA">
        <w:rPr>
          <w:rFonts w:ascii="Times New Roman" w:hAnsi="Times New Roman" w:cs="Times New Roman"/>
          <w:sz w:val="24"/>
        </w:rPr>
        <w:t xml:space="preserve"> </w:t>
      </w:r>
      <w:r w:rsidRPr="004B59EA">
        <w:rPr>
          <w:rFonts w:ascii="Times New Roman" w:hAnsi="Times New Roman" w:cs="Times New Roman"/>
          <w:b/>
          <w:bCs/>
          <w:sz w:val="24"/>
        </w:rPr>
        <w:t>9</w:t>
      </w:r>
      <w:r w:rsidRPr="004B59EA">
        <w:rPr>
          <w:rFonts w:ascii="Times New Roman" w:hAnsi="Times New Roman" w:cs="Times New Roman"/>
          <w:sz w:val="24"/>
        </w:rPr>
        <w:t>, 1–9 (2019).</w:t>
      </w:r>
    </w:p>
    <w:p w14:paraId="2B8532D8"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26.</w:t>
      </w:r>
      <w:r w:rsidRPr="004B59EA">
        <w:rPr>
          <w:rFonts w:ascii="Times New Roman" w:hAnsi="Times New Roman" w:cs="Times New Roman"/>
          <w:sz w:val="24"/>
        </w:rPr>
        <w:tab/>
        <w:t xml:space="preserve">Weatherley, D. K. &amp; Henley, R. W. Flash vaporization during earthquakes evidenced by gold depositsWeatherley, D. K., &amp; Henley, R. W. (2013). Flash vaporization during earthquakes evidenced by gold deposits. Nature Geoscience, 6(4), 294–298. https://doi.org/10.1038/ngeo1759. </w:t>
      </w:r>
      <w:r w:rsidRPr="004B59EA">
        <w:rPr>
          <w:rFonts w:ascii="Times New Roman" w:hAnsi="Times New Roman" w:cs="Times New Roman"/>
          <w:i/>
          <w:iCs/>
          <w:sz w:val="24"/>
        </w:rPr>
        <w:t>Nat. Geosci.</w:t>
      </w:r>
      <w:r w:rsidRPr="004B59EA">
        <w:rPr>
          <w:rFonts w:ascii="Times New Roman" w:hAnsi="Times New Roman" w:cs="Times New Roman"/>
          <w:sz w:val="24"/>
        </w:rPr>
        <w:t xml:space="preserve"> </w:t>
      </w:r>
      <w:r w:rsidRPr="004B59EA">
        <w:rPr>
          <w:rFonts w:ascii="Times New Roman" w:hAnsi="Times New Roman" w:cs="Times New Roman"/>
          <w:b/>
          <w:bCs/>
          <w:sz w:val="24"/>
        </w:rPr>
        <w:t>6</w:t>
      </w:r>
      <w:r w:rsidRPr="004B59EA">
        <w:rPr>
          <w:rFonts w:ascii="Times New Roman" w:hAnsi="Times New Roman" w:cs="Times New Roman"/>
          <w:sz w:val="24"/>
        </w:rPr>
        <w:t>, 294–298 (2013).</w:t>
      </w:r>
    </w:p>
    <w:p w14:paraId="2FFC417E"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27.</w:t>
      </w:r>
      <w:r w:rsidRPr="004B59EA">
        <w:rPr>
          <w:rFonts w:ascii="Times New Roman" w:hAnsi="Times New Roman" w:cs="Times New Roman"/>
          <w:sz w:val="24"/>
        </w:rPr>
        <w:tab/>
        <w:t xml:space="preserve">Johnson, S. E., Song, W. J., Vel, S. S., Song, B. R. &amp; Gerbi, C. C. Energy Partitioning, Dynamic Fragmentation, and Off-Fault Damage in the Earthquake Source Volume. </w:t>
      </w:r>
      <w:r w:rsidRPr="004B59EA">
        <w:rPr>
          <w:rFonts w:ascii="Times New Roman" w:hAnsi="Times New Roman" w:cs="Times New Roman"/>
          <w:i/>
          <w:iCs/>
          <w:sz w:val="24"/>
        </w:rPr>
        <w:t>J. Geophys. Res. Solid Earth</w:t>
      </w:r>
      <w:r w:rsidRPr="004B59EA">
        <w:rPr>
          <w:rFonts w:ascii="Times New Roman" w:hAnsi="Times New Roman" w:cs="Times New Roman"/>
          <w:sz w:val="24"/>
        </w:rPr>
        <w:t xml:space="preserve"> </w:t>
      </w:r>
      <w:r w:rsidRPr="004B59EA">
        <w:rPr>
          <w:rFonts w:ascii="Times New Roman" w:hAnsi="Times New Roman" w:cs="Times New Roman"/>
          <w:b/>
          <w:bCs/>
          <w:sz w:val="24"/>
        </w:rPr>
        <w:t>126</w:t>
      </w:r>
      <w:r w:rsidRPr="004B59EA">
        <w:rPr>
          <w:rFonts w:ascii="Times New Roman" w:hAnsi="Times New Roman" w:cs="Times New Roman"/>
          <w:sz w:val="24"/>
        </w:rPr>
        <w:t>, e2021JB022616 (2021).</w:t>
      </w:r>
    </w:p>
    <w:p w14:paraId="7B693B03" w14:textId="77777777" w:rsidR="004B59EA" w:rsidRPr="004B59EA" w:rsidRDefault="004B59EA" w:rsidP="004B59EA">
      <w:pPr>
        <w:pStyle w:val="Bibliography"/>
        <w:rPr>
          <w:rFonts w:ascii="Times New Roman" w:hAnsi="Times New Roman" w:cs="Times New Roman"/>
          <w:sz w:val="24"/>
        </w:rPr>
      </w:pPr>
      <w:r w:rsidRPr="004B59EA">
        <w:rPr>
          <w:rFonts w:ascii="Times New Roman" w:hAnsi="Times New Roman" w:cs="Times New Roman"/>
          <w:sz w:val="24"/>
        </w:rPr>
        <w:t>28.</w:t>
      </w:r>
      <w:r w:rsidRPr="004B59EA">
        <w:rPr>
          <w:rFonts w:ascii="Times New Roman" w:hAnsi="Times New Roman" w:cs="Times New Roman"/>
          <w:sz w:val="24"/>
        </w:rPr>
        <w:tab/>
        <w:t xml:space="preserve">Kanamori, H. &amp; Brodsky, E. E. The physics of earthquakes. </w:t>
      </w:r>
      <w:r w:rsidRPr="004B59EA">
        <w:rPr>
          <w:rFonts w:ascii="Times New Roman" w:hAnsi="Times New Roman" w:cs="Times New Roman"/>
          <w:i/>
          <w:iCs/>
          <w:sz w:val="24"/>
        </w:rPr>
        <w:t>Rep. Prog. Phys.</w:t>
      </w:r>
      <w:r w:rsidRPr="004B59EA">
        <w:rPr>
          <w:rFonts w:ascii="Times New Roman" w:hAnsi="Times New Roman" w:cs="Times New Roman"/>
          <w:sz w:val="24"/>
        </w:rPr>
        <w:t xml:space="preserve"> </w:t>
      </w:r>
      <w:r w:rsidRPr="004B59EA">
        <w:rPr>
          <w:rFonts w:ascii="Times New Roman" w:hAnsi="Times New Roman" w:cs="Times New Roman"/>
          <w:b/>
          <w:bCs/>
          <w:sz w:val="24"/>
        </w:rPr>
        <w:t>67</w:t>
      </w:r>
      <w:r w:rsidRPr="004B59EA">
        <w:rPr>
          <w:rFonts w:ascii="Times New Roman" w:hAnsi="Times New Roman" w:cs="Times New Roman"/>
          <w:sz w:val="24"/>
        </w:rPr>
        <w:t>, 1429 (2004).</w:t>
      </w:r>
    </w:p>
    <w:p w14:paraId="532E7287" w14:textId="0974A669" w:rsidR="00276289" w:rsidRPr="00276289" w:rsidRDefault="004E2872" w:rsidP="002E4DDE">
      <w:pPr>
        <w:pStyle w:val="BodyText"/>
        <w:jc w:val="both"/>
      </w:pPr>
      <w:r>
        <w:fldChar w:fldCharType="end"/>
      </w:r>
    </w:p>
    <w:sectPr w:rsidR="00276289" w:rsidRPr="00276289" w:rsidSect="00276289">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5AEE5" w14:textId="77777777" w:rsidR="000F4DB6" w:rsidRDefault="000F4DB6" w:rsidP="00C92215">
      <w:pPr>
        <w:spacing w:after="0" w:line="240" w:lineRule="auto"/>
      </w:pPr>
      <w:r>
        <w:separator/>
      </w:r>
    </w:p>
  </w:endnote>
  <w:endnote w:type="continuationSeparator" w:id="0">
    <w:p w14:paraId="74F2ED9A" w14:textId="77777777" w:rsidR="000F4DB6" w:rsidRDefault="000F4DB6" w:rsidP="00C9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Noto Sans CJK JP">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DE339" w14:textId="77777777" w:rsidR="000F4DB6" w:rsidRDefault="000F4DB6" w:rsidP="00C92215">
      <w:pPr>
        <w:spacing w:after="0" w:line="240" w:lineRule="auto"/>
      </w:pPr>
      <w:r>
        <w:separator/>
      </w:r>
    </w:p>
  </w:footnote>
  <w:footnote w:type="continuationSeparator" w:id="0">
    <w:p w14:paraId="66B3F2FF" w14:textId="77777777" w:rsidR="000F4DB6" w:rsidRDefault="000F4DB6" w:rsidP="00C92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76C9"/>
    <w:multiLevelType w:val="multilevel"/>
    <w:tmpl w:val="89F63E18"/>
    <w:lvl w:ilvl="0">
      <w:start w:val="1"/>
      <w:numFmt w:val="none"/>
      <w:pStyle w:val="Heading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3B7A0247"/>
    <w:multiLevelType w:val="hybridMultilevel"/>
    <w:tmpl w:val="2DC2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629464">
    <w:abstractNumId w:val="0"/>
  </w:num>
  <w:num w:numId="2" w16cid:durableId="418602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NTE1N7YwMrM0NDFX0lEKTi0uzszPAykwMqwFAI1JB5MtAAAA"/>
  </w:docVars>
  <w:rsids>
    <w:rsidRoot w:val="00F81E30"/>
    <w:rsid w:val="00001ABF"/>
    <w:rsid w:val="000229E8"/>
    <w:rsid w:val="00043B25"/>
    <w:rsid w:val="00046D3B"/>
    <w:rsid w:val="000502F6"/>
    <w:rsid w:val="00051930"/>
    <w:rsid w:val="00056F46"/>
    <w:rsid w:val="000661D2"/>
    <w:rsid w:val="00095EB7"/>
    <w:rsid w:val="000C719A"/>
    <w:rsid w:val="000E539F"/>
    <w:rsid w:val="000F4DB6"/>
    <w:rsid w:val="000F5769"/>
    <w:rsid w:val="00105BBF"/>
    <w:rsid w:val="00126A58"/>
    <w:rsid w:val="001341F5"/>
    <w:rsid w:val="00141E06"/>
    <w:rsid w:val="00151A50"/>
    <w:rsid w:val="00165F3D"/>
    <w:rsid w:val="00166291"/>
    <w:rsid w:val="00180C7A"/>
    <w:rsid w:val="00185D2D"/>
    <w:rsid w:val="00194796"/>
    <w:rsid w:val="00196F31"/>
    <w:rsid w:val="001A02C7"/>
    <w:rsid w:val="001A1AF1"/>
    <w:rsid w:val="001B3E4B"/>
    <w:rsid w:val="001C0FA8"/>
    <w:rsid w:val="001C4003"/>
    <w:rsid w:val="001C60DE"/>
    <w:rsid w:val="001D4898"/>
    <w:rsid w:val="001D5FE4"/>
    <w:rsid w:val="001D6A53"/>
    <w:rsid w:val="001F3EBB"/>
    <w:rsid w:val="001F59C4"/>
    <w:rsid w:val="0020084D"/>
    <w:rsid w:val="00202EAF"/>
    <w:rsid w:val="00203E61"/>
    <w:rsid w:val="00205B81"/>
    <w:rsid w:val="0022113F"/>
    <w:rsid w:val="00227235"/>
    <w:rsid w:val="002331D5"/>
    <w:rsid w:val="00235BAF"/>
    <w:rsid w:val="00243BD0"/>
    <w:rsid w:val="00244DD0"/>
    <w:rsid w:val="00265CB4"/>
    <w:rsid w:val="00276289"/>
    <w:rsid w:val="0027754E"/>
    <w:rsid w:val="002862CC"/>
    <w:rsid w:val="002877E5"/>
    <w:rsid w:val="002901C4"/>
    <w:rsid w:val="00290C50"/>
    <w:rsid w:val="002A0283"/>
    <w:rsid w:val="002A05DC"/>
    <w:rsid w:val="002A0AD7"/>
    <w:rsid w:val="002B3E77"/>
    <w:rsid w:val="002C10B3"/>
    <w:rsid w:val="002D3213"/>
    <w:rsid w:val="002E4DDE"/>
    <w:rsid w:val="002E4DFD"/>
    <w:rsid w:val="002F531D"/>
    <w:rsid w:val="00320833"/>
    <w:rsid w:val="00326122"/>
    <w:rsid w:val="00333518"/>
    <w:rsid w:val="003477F6"/>
    <w:rsid w:val="00353652"/>
    <w:rsid w:val="0035416E"/>
    <w:rsid w:val="00354D69"/>
    <w:rsid w:val="003631E0"/>
    <w:rsid w:val="00363B5E"/>
    <w:rsid w:val="0037701D"/>
    <w:rsid w:val="00391427"/>
    <w:rsid w:val="00395376"/>
    <w:rsid w:val="003968AD"/>
    <w:rsid w:val="003C4F84"/>
    <w:rsid w:val="003D1F2C"/>
    <w:rsid w:val="003E37F7"/>
    <w:rsid w:val="003F6FBC"/>
    <w:rsid w:val="00401A0A"/>
    <w:rsid w:val="0041424C"/>
    <w:rsid w:val="00416E92"/>
    <w:rsid w:val="00420C5E"/>
    <w:rsid w:val="00422FD1"/>
    <w:rsid w:val="0042778D"/>
    <w:rsid w:val="0043012C"/>
    <w:rsid w:val="00447EA2"/>
    <w:rsid w:val="004549E4"/>
    <w:rsid w:val="0046461A"/>
    <w:rsid w:val="004B59EA"/>
    <w:rsid w:val="004D3BD6"/>
    <w:rsid w:val="004E2872"/>
    <w:rsid w:val="004F001B"/>
    <w:rsid w:val="004F3E21"/>
    <w:rsid w:val="00527500"/>
    <w:rsid w:val="00532491"/>
    <w:rsid w:val="00566081"/>
    <w:rsid w:val="0057224A"/>
    <w:rsid w:val="00575A21"/>
    <w:rsid w:val="00576784"/>
    <w:rsid w:val="005825D1"/>
    <w:rsid w:val="00585562"/>
    <w:rsid w:val="00593117"/>
    <w:rsid w:val="00593CF9"/>
    <w:rsid w:val="005A147E"/>
    <w:rsid w:val="005A4F91"/>
    <w:rsid w:val="005B57E2"/>
    <w:rsid w:val="005B70D4"/>
    <w:rsid w:val="005C5470"/>
    <w:rsid w:val="005F1099"/>
    <w:rsid w:val="005F4C34"/>
    <w:rsid w:val="00614893"/>
    <w:rsid w:val="0061582C"/>
    <w:rsid w:val="00634483"/>
    <w:rsid w:val="00642D9F"/>
    <w:rsid w:val="00661BE8"/>
    <w:rsid w:val="00675082"/>
    <w:rsid w:val="00683917"/>
    <w:rsid w:val="006944C9"/>
    <w:rsid w:val="006A3EFD"/>
    <w:rsid w:val="006A5F71"/>
    <w:rsid w:val="006A792C"/>
    <w:rsid w:val="006A7DE8"/>
    <w:rsid w:val="006C5519"/>
    <w:rsid w:val="006D1DD2"/>
    <w:rsid w:val="006D21C5"/>
    <w:rsid w:val="006D768B"/>
    <w:rsid w:val="006E180A"/>
    <w:rsid w:val="006F17E5"/>
    <w:rsid w:val="00721A01"/>
    <w:rsid w:val="00746198"/>
    <w:rsid w:val="00765C36"/>
    <w:rsid w:val="00765EE4"/>
    <w:rsid w:val="00767E55"/>
    <w:rsid w:val="0077074F"/>
    <w:rsid w:val="00781C74"/>
    <w:rsid w:val="00785AAE"/>
    <w:rsid w:val="007B2244"/>
    <w:rsid w:val="007C3CE8"/>
    <w:rsid w:val="007D7150"/>
    <w:rsid w:val="007F0EF4"/>
    <w:rsid w:val="008030A2"/>
    <w:rsid w:val="00820C1A"/>
    <w:rsid w:val="008258DC"/>
    <w:rsid w:val="00870107"/>
    <w:rsid w:val="00883243"/>
    <w:rsid w:val="00886A00"/>
    <w:rsid w:val="008A28FE"/>
    <w:rsid w:val="008A2CBF"/>
    <w:rsid w:val="008A6FFD"/>
    <w:rsid w:val="008B3777"/>
    <w:rsid w:val="008D0181"/>
    <w:rsid w:val="008D2622"/>
    <w:rsid w:val="008E0B11"/>
    <w:rsid w:val="008E39F3"/>
    <w:rsid w:val="009100F0"/>
    <w:rsid w:val="00913785"/>
    <w:rsid w:val="00915B95"/>
    <w:rsid w:val="009210CF"/>
    <w:rsid w:val="00944044"/>
    <w:rsid w:val="00977380"/>
    <w:rsid w:val="009A3472"/>
    <w:rsid w:val="009B5CA5"/>
    <w:rsid w:val="009C3A5A"/>
    <w:rsid w:val="009C58E0"/>
    <w:rsid w:val="009C67FD"/>
    <w:rsid w:val="009C6F15"/>
    <w:rsid w:val="009E0501"/>
    <w:rsid w:val="00A1044A"/>
    <w:rsid w:val="00A21241"/>
    <w:rsid w:val="00A212F9"/>
    <w:rsid w:val="00A31F25"/>
    <w:rsid w:val="00A33417"/>
    <w:rsid w:val="00A407F2"/>
    <w:rsid w:val="00A4383A"/>
    <w:rsid w:val="00A65CFA"/>
    <w:rsid w:val="00A73D43"/>
    <w:rsid w:val="00A8438E"/>
    <w:rsid w:val="00A85237"/>
    <w:rsid w:val="00A93416"/>
    <w:rsid w:val="00AA1463"/>
    <w:rsid w:val="00AB4800"/>
    <w:rsid w:val="00AC2F30"/>
    <w:rsid w:val="00AE385B"/>
    <w:rsid w:val="00AF0659"/>
    <w:rsid w:val="00AF5A4B"/>
    <w:rsid w:val="00AF6E5B"/>
    <w:rsid w:val="00B00228"/>
    <w:rsid w:val="00B46872"/>
    <w:rsid w:val="00B51AF8"/>
    <w:rsid w:val="00B7338A"/>
    <w:rsid w:val="00B87845"/>
    <w:rsid w:val="00B92B4D"/>
    <w:rsid w:val="00B954F8"/>
    <w:rsid w:val="00BA20E9"/>
    <w:rsid w:val="00BB0BF5"/>
    <w:rsid w:val="00BC06CF"/>
    <w:rsid w:val="00BE286B"/>
    <w:rsid w:val="00BE404F"/>
    <w:rsid w:val="00BF63AB"/>
    <w:rsid w:val="00C03CC4"/>
    <w:rsid w:val="00C41CC3"/>
    <w:rsid w:val="00C45334"/>
    <w:rsid w:val="00C47B7A"/>
    <w:rsid w:val="00C51A97"/>
    <w:rsid w:val="00C52C3C"/>
    <w:rsid w:val="00C53759"/>
    <w:rsid w:val="00C673F8"/>
    <w:rsid w:val="00C75F19"/>
    <w:rsid w:val="00C92215"/>
    <w:rsid w:val="00C93710"/>
    <w:rsid w:val="00C9431F"/>
    <w:rsid w:val="00CE31AD"/>
    <w:rsid w:val="00CE4C2E"/>
    <w:rsid w:val="00CF32A6"/>
    <w:rsid w:val="00CF3303"/>
    <w:rsid w:val="00D02199"/>
    <w:rsid w:val="00D0223B"/>
    <w:rsid w:val="00D17F6A"/>
    <w:rsid w:val="00D22C9A"/>
    <w:rsid w:val="00D24EC1"/>
    <w:rsid w:val="00D262C4"/>
    <w:rsid w:val="00D307B7"/>
    <w:rsid w:val="00D31F70"/>
    <w:rsid w:val="00D45FAC"/>
    <w:rsid w:val="00D56D7C"/>
    <w:rsid w:val="00D7540B"/>
    <w:rsid w:val="00D812D7"/>
    <w:rsid w:val="00D84095"/>
    <w:rsid w:val="00DB5A69"/>
    <w:rsid w:val="00E05F3E"/>
    <w:rsid w:val="00E240BA"/>
    <w:rsid w:val="00E351E4"/>
    <w:rsid w:val="00E3523F"/>
    <w:rsid w:val="00E471AD"/>
    <w:rsid w:val="00E568B0"/>
    <w:rsid w:val="00E57576"/>
    <w:rsid w:val="00E57ACE"/>
    <w:rsid w:val="00E61D6D"/>
    <w:rsid w:val="00E658A5"/>
    <w:rsid w:val="00E72682"/>
    <w:rsid w:val="00E85E3F"/>
    <w:rsid w:val="00EB1936"/>
    <w:rsid w:val="00ED1848"/>
    <w:rsid w:val="00ED2250"/>
    <w:rsid w:val="00ED407A"/>
    <w:rsid w:val="00F21B17"/>
    <w:rsid w:val="00F31877"/>
    <w:rsid w:val="00F70B0F"/>
    <w:rsid w:val="00F81E30"/>
    <w:rsid w:val="00FA10BA"/>
    <w:rsid w:val="00FA72DF"/>
    <w:rsid w:val="00FB5DD9"/>
    <w:rsid w:val="00FB784E"/>
    <w:rsid w:val="00FC4646"/>
    <w:rsid w:val="00FF2317"/>
    <w:rsid w:val="00FF6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9FD5D"/>
  <w15:chartTrackingRefBased/>
  <w15:docId w15:val="{A7FE7F31-C303-4653-845A-2AA49C30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F81E30"/>
    <w:pPr>
      <w:keepNext/>
      <w:numPr>
        <w:numId w:val="1"/>
      </w:numPr>
      <w:suppressAutoHyphens/>
      <w:spacing w:before="240" w:after="120" w:line="240" w:lineRule="auto"/>
      <w:outlineLvl w:val="0"/>
    </w:pPr>
    <w:rPr>
      <w:rFonts w:ascii="Times New Roman" w:eastAsia="Noto Sans CJK JP" w:hAnsi="Times New Roman" w:cs="Tahoma"/>
      <w:b/>
      <w:bCs/>
      <w:sz w:val="36"/>
      <w:szCs w:val="36"/>
      <w14:ligatures w14:val="none"/>
    </w:rPr>
  </w:style>
  <w:style w:type="paragraph" w:styleId="Heading2">
    <w:name w:val="heading 2"/>
    <w:basedOn w:val="Normal"/>
    <w:next w:val="Normal"/>
    <w:link w:val="Heading2Char"/>
    <w:uiPriority w:val="9"/>
    <w:unhideWhenUsed/>
    <w:qFormat/>
    <w:rsid w:val="001A02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81E30"/>
    <w:pPr>
      <w:suppressAutoHyphens/>
      <w:spacing w:after="140" w:line="276" w:lineRule="auto"/>
    </w:pPr>
    <w:rPr>
      <w:rFonts w:ascii="Times New Roman" w:eastAsia="Noto Sans CJK JP" w:hAnsi="Times New Roman" w:cs="Tahoma"/>
      <w:sz w:val="24"/>
      <w:szCs w:val="24"/>
      <w14:ligatures w14:val="none"/>
    </w:rPr>
  </w:style>
  <w:style w:type="character" w:customStyle="1" w:styleId="BodyTextChar">
    <w:name w:val="Body Text Char"/>
    <w:basedOn w:val="DefaultParagraphFont"/>
    <w:link w:val="BodyText"/>
    <w:rsid w:val="00F81E30"/>
    <w:rPr>
      <w:rFonts w:ascii="Times New Roman" w:eastAsia="Noto Sans CJK JP" w:hAnsi="Times New Roman" w:cs="Tahoma"/>
      <w:sz w:val="24"/>
      <w:szCs w:val="24"/>
      <w14:ligatures w14:val="none"/>
    </w:rPr>
  </w:style>
  <w:style w:type="paragraph" w:styleId="Title">
    <w:name w:val="Title"/>
    <w:basedOn w:val="Normal"/>
    <w:next w:val="BodyText"/>
    <w:link w:val="TitleChar"/>
    <w:uiPriority w:val="10"/>
    <w:qFormat/>
    <w:rsid w:val="00F81E30"/>
    <w:pPr>
      <w:keepNext/>
      <w:suppressAutoHyphens/>
      <w:spacing w:before="240" w:after="120" w:line="240" w:lineRule="auto"/>
      <w:jc w:val="center"/>
    </w:pPr>
    <w:rPr>
      <w:rFonts w:ascii="Times New Roman" w:eastAsia="Noto Sans CJK JP" w:hAnsi="Times New Roman" w:cs="Tahoma"/>
      <w:b/>
      <w:bCs/>
      <w:sz w:val="56"/>
      <w:szCs w:val="56"/>
      <w14:ligatures w14:val="none"/>
    </w:rPr>
  </w:style>
  <w:style w:type="character" w:customStyle="1" w:styleId="TitleChar">
    <w:name w:val="Title Char"/>
    <w:basedOn w:val="DefaultParagraphFont"/>
    <w:link w:val="Title"/>
    <w:uiPriority w:val="10"/>
    <w:rsid w:val="00F81E30"/>
    <w:rPr>
      <w:rFonts w:ascii="Times New Roman" w:eastAsia="Noto Sans CJK JP" w:hAnsi="Times New Roman" w:cs="Tahoma"/>
      <w:b/>
      <w:bCs/>
      <w:sz w:val="56"/>
      <w:szCs w:val="56"/>
      <w14:ligatures w14:val="none"/>
    </w:rPr>
  </w:style>
  <w:style w:type="character" w:customStyle="1" w:styleId="Heading1Char">
    <w:name w:val="Heading 1 Char"/>
    <w:basedOn w:val="DefaultParagraphFont"/>
    <w:link w:val="Heading1"/>
    <w:uiPriority w:val="9"/>
    <w:rsid w:val="00F81E30"/>
    <w:rPr>
      <w:rFonts w:ascii="Times New Roman" w:eastAsia="Noto Sans CJK JP" w:hAnsi="Times New Roman" w:cs="Tahoma"/>
      <w:b/>
      <w:bCs/>
      <w:sz w:val="36"/>
      <w:szCs w:val="36"/>
      <w14:ligatures w14:val="none"/>
    </w:rPr>
  </w:style>
  <w:style w:type="paragraph" w:styleId="Caption">
    <w:name w:val="caption"/>
    <w:basedOn w:val="Normal"/>
    <w:next w:val="Normal"/>
    <w:unhideWhenUsed/>
    <w:qFormat/>
    <w:rsid w:val="003631E0"/>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4E2872"/>
    <w:pPr>
      <w:tabs>
        <w:tab w:val="left" w:pos="384"/>
      </w:tabs>
      <w:spacing w:after="0" w:line="480" w:lineRule="auto"/>
      <w:ind w:left="384" w:hanging="384"/>
    </w:pPr>
  </w:style>
  <w:style w:type="character" w:customStyle="1" w:styleId="Heading2Char">
    <w:name w:val="Heading 2 Char"/>
    <w:basedOn w:val="DefaultParagraphFont"/>
    <w:link w:val="Heading2"/>
    <w:uiPriority w:val="9"/>
    <w:rsid w:val="001A02C7"/>
    <w:rPr>
      <w:rFonts w:asciiTheme="majorHAnsi" w:eastAsiaTheme="majorEastAsia" w:hAnsiTheme="majorHAnsi" w:cstheme="majorBidi"/>
      <w:color w:val="2F5496" w:themeColor="accent1" w:themeShade="BF"/>
      <w:sz w:val="26"/>
      <w:szCs w:val="26"/>
    </w:rPr>
  </w:style>
  <w:style w:type="character" w:styleId="LineNumber">
    <w:name w:val="line number"/>
    <w:rsid w:val="00B46872"/>
  </w:style>
  <w:style w:type="paragraph" w:styleId="Header">
    <w:name w:val="header"/>
    <w:basedOn w:val="Normal"/>
    <w:link w:val="HeaderChar"/>
    <w:uiPriority w:val="99"/>
    <w:unhideWhenUsed/>
    <w:rsid w:val="00C92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15"/>
  </w:style>
  <w:style w:type="paragraph" w:styleId="Footer">
    <w:name w:val="footer"/>
    <w:basedOn w:val="Normal"/>
    <w:link w:val="FooterChar"/>
    <w:uiPriority w:val="99"/>
    <w:unhideWhenUsed/>
    <w:rsid w:val="00C92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15"/>
  </w:style>
  <w:style w:type="character" w:styleId="CommentReference">
    <w:name w:val="annotation reference"/>
    <w:basedOn w:val="DefaultParagraphFont"/>
    <w:uiPriority w:val="99"/>
    <w:semiHidden/>
    <w:unhideWhenUsed/>
    <w:rsid w:val="005B70D4"/>
    <w:rPr>
      <w:sz w:val="16"/>
      <w:szCs w:val="16"/>
    </w:rPr>
  </w:style>
  <w:style w:type="paragraph" w:styleId="CommentText">
    <w:name w:val="annotation text"/>
    <w:basedOn w:val="Normal"/>
    <w:link w:val="CommentTextChar"/>
    <w:uiPriority w:val="99"/>
    <w:unhideWhenUsed/>
    <w:rsid w:val="005B70D4"/>
    <w:pPr>
      <w:suppressAutoHyphens/>
      <w:spacing w:after="0" w:line="240" w:lineRule="auto"/>
    </w:pPr>
    <w:rPr>
      <w:rFonts w:ascii="Times New Roman" w:eastAsia="MS Mincho" w:hAnsi="Times New Roman" w:cs="Mangal"/>
      <w:sz w:val="20"/>
      <w:szCs w:val="18"/>
      <w:lang w:eastAsia="zh-CN" w:bidi="hi-IN"/>
      <w14:ligatures w14:val="none"/>
    </w:rPr>
  </w:style>
  <w:style w:type="character" w:customStyle="1" w:styleId="CommentTextChar">
    <w:name w:val="Comment Text Char"/>
    <w:basedOn w:val="DefaultParagraphFont"/>
    <w:link w:val="CommentText"/>
    <w:uiPriority w:val="99"/>
    <w:rsid w:val="005B70D4"/>
    <w:rPr>
      <w:rFonts w:ascii="Times New Roman" w:eastAsia="MS Mincho" w:hAnsi="Times New Roman" w:cs="Mangal"/>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94656">
      <w:bodyDiv w:val="1"/>
      <w:marLeft w:val="0"/>
      <w:marRight w:val="0"/>
      <w:marTop w:val="0"/>
      <w:marBottom w:val="0"/>
      <w:divBdr>
        <w:top w:val="none" w:sz="0" w:space="0" w:color="auto"/>
        <w:left w:val="none" w:sz="0" w:space="0" w:color="auto"/>
        <w:bottom w:val="none" w:sz="0" w:space="0" w:color="auto"/>
        <w:right w:val="none" w:sz="0" w:space="0" w:color="auto"/>
      </w:divBdr>
    </w:div>
    <w:div w:id="471486989">
      <w:bodyDiv w:val="1"/>
      <w:marLeft w:val="0"/>
      <w:marRight w:val="0"/>
      <w:marTop w:val="0"/>
      <w:marBottom w:val="0"/>
      <w:divBdr>
        <w:top w:val="none" w:sz="0" w:space="0" w:color="auto"/>
        <w:left w:val="none" w:sz="0" w:space="0" w:color="auto"/>
        <w:bottom w:val="none" w:sz="0" w:space="0" w:color="auto"/>
        <w:right w:val="none" w:sz="0" w:space="0" w:color="auto"/>
      </w:divBdr>
    </w:div>
    <w:div w:id="161601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34BBE-981B-46AD-8288-3196BB71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31</Pages>
  <Words>16445</Words>
  <Characters>93741</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 Agroli</dc:creator>
  <cp:keywords/>
  <dc:description/>
  <cp:lastModifiedBy>Geri Agroli</cp:lastModifiedBy>
  <cp:revision>247</cp:revision>
  <cp:lastPrinted>2024-02-13T00:45:00Z</cp:lastPrinted>
  <dcterms:created xsi:type="dcterms:W3CDTF">2023-09-05T02:29:00Z</dcterms:created>
  <dcterms:modified xsi:type="dcterms:W3CDTF">2024-02-13T00:45:00Z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id="FIk9kfWQ"/&gt;&lt;style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name="delayCitationUpdates" value="true"/&gt;&lt;/prefs&gt;&lt;/data&gt;</vt:lpwstr>
  </property>
  <property fmtid="{D5CDD505-2E9C-101B-9397-08002B2CF9AE}" pid="4" name="GrammarlyDocumentId">
    <vt:lpwstr>6fc69cd32de0102b670df7f6324e75bd15a13264282ed7ef40df172ecd955e7b</vt:lpwstr>
  </property>
</Properties>
</file>