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63F55" w14:textId="02A6F6B9" w:rsidR="000C510D" w:rsidRPr="00F57442" w:rsidRDefault="000C510D" w:rsidP="000C510D">
      <w:pPr>
        <w:widowControl w:val="0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autoSpaceDE w:val="0"/>
        <w:autoSpaceDN w:val="0"/>
        <w:spacing w:after="0" w:line="480" w:lineRule="auto"/>
        <w:textAlignment w:val="center"/>
        <w:rPr>
          <w:rFonts w:eastAsia="Times New Roman" w:cstheme="minorHAnsi"/>
          <w:b/>
          <w:color w:val="000000"/>
          <w:kern w:val="1"/>
          <w:sz w:val="24"/>
          <w:szCs w:val="24"/>
          <w:lang w:val="en-US" w:eastAsia="ko-KR"/>
        </w:rPr>
      </w:pPr>
      <w:bookmarkStart w:id="0" w:name="_GoBack"/>
      <w:bookmarkEnd w:id="0"/>
      <w:r w:rsidRPr="00F57442">
        <w:rPr>
          <w:rFonts w:eastAsia="Times New Roman" w:cstheme="minorHAnsi"/>
          <w:b/>
          <w:color w:val="000000"/>
          <w:kern w:val="1"/>
          <w:sz w:val="24"/>
          <w:szCs w:val="24"/>
          <w:lang w:val="en-US" w:eastAsia="ko-KR"/>
        </w:rPr>
        <w:t>Table S1. Comparison of clinical findings</w:t>
      </w:r>
      <w:r w:rsidR="006B3F63" w:rsidRPr="00F57442">
        <w:rPr>
          <w:rFonts w:eastAsia="Times New Roman" w:cstheme="minorHAnsi"/>
          <w:b/>
          <w:color w:val="000000"/>
          <w:kern w:val="1"/>
          <w:sz w:val="24"/>
          <w:szCs w:val="24"/>
          <w:lang w:val="en-US" w:eastAsia="ko-KR"/>
        </w:rPr>
        <w:t xml:space="preserve"> at intensive care unit admission</w:t>
      </w:r>
      <w:r w:rsidRPr="00F57442">
        <w:rPr>
          <w:rFonts w:eastAsia="Times New Roman" w:cstheme="minorHAnsi"/>
          <w:color w:val="000000"/>
          <w:kern w:val="2"/>
          <w:sz w:val="24"/>
          <w:szCs w:val="24"/>
          <w:lang w:val="en-US" w:eastAsia="ko-KR"/>
        </w:rPr>
        <w:t xml:space="preserve"> </w:t>
      </w:r>
      <w:r w:rsidRPr="00F57442">
        <w:rPr>
          <w:rFonts w:eastAsia="Times New Roman" w:cstheme="minorHAnsi"/>
          <w:b/>
          <w:bCs/>
          <w:color w:val="000000"/>
          <w:kern w:val="1"/>
          <w:sz w:val="24"/>
          <w:szCs w:val="24"/>
          <w:lang w:val="en-US" w:eastAsia="ko-KR"/>
        </w:rPr>
        <w:t>between</w:t>
      </w:r>
      <w:r w:rsidRPr="00F57442">
        <w:rPr>
          <w:rFonts w:eastAsia="Times New Roman" w:cstheme="minorHAnsi"/>
          <w:b/>
          <w:color w:val="000000"/>
          <w:kern w:val="1"/>
          <w:sz w:val="24"/>
          <w:szCs w:val="24"/>
          <w:lang w:val="en-US" w:eastAsia="ko-KR"/>
        </w:rPr>
        <w:t xml:space="preserve"> </w:t>
      </w:r>
      <w:r w:rsidR="000647CF" w:rsidRPr="00F57442">
        <w:rPr>
          <w:rFonts w:eastAsia="Times New Roman" w:cstheme="minorHAnsi"/>
          <w:b/>
          <w:color w:val="000000"/>
          <w:kern w:val="1"/>
          <w:sz w:val="24"/>
          <w:szCs w:val="24"/>
          <w:lang w:val="en-US" w:eastAsia="ko-KR"/>
        </w:rPr>
        <w:t xml:space="preserve">the </w:t>
      </w:r>
      <w:r w:rsidRPr="00F57442">
        <w:rPr>
          <w:rFonts w:eastAsia="Times New Roman" w:cstheme="minorHAnsi"/>
          <w:b/>
          <w:color w:val="000000"/>
          <w:kern w:val="1"/>
          <w:sz w:val="24"/>
          <w:szCs w:val="24"/>
          <w:lang w:val="en-US" w:eastAsia="ko-KR"/>
        </w:rPr>
        <w:t xml:space="preserve">pulmonary fibrosis and no pulmonary fibrosis groups </w:t>
      </w:r>
    </w:p>
    <w:tbl>
      <w:tblPr>
        <w:tblOverlap w:val="never"/>
        <w:tblW w:w="8431" w:type="dxa"/>
        <w:tblBorders>
          <w:top w:val="single" w:sz="4" w:space="0" w:color="000000"/>
          <w:bottom w:val="single" w:sz="4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423"/>
        <w:gridCol w:w="1695"/>
        <w:gridCol w:w="1695"/>
        <w:gridCol w:w="1695"/>
        <w:gridCol w:w="923"/>
      </w:tblGrid>
      <w:tr w:rsidR="000C510D" w:rsidRPr="00BA65D6" w14:paraId="1CF04662" w14:textId="77777777" w:rsidTr="003B2361">
        <w:tc>
          <w:tcPr>
            <w:tcW w:w="2423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589285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F9CEB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DengXi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All patients</w:t>
            </w: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7BE027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DengXi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PF group</w:t>
            </w: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530F4F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No PF group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F7F2D0F" w14:textId="5AA1F81C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i/>
                <w:iCs/>
                <w:color w:val="000000"/>
                <w:kern w:val="2"/>
                <w:lang w:val="en-US" w:eastAsia="ko-KR"/>
              </w:rPr>
              <w:t>P</w:t>
            </w:r>
            <w:r w:rsidR="006B3F63" w:rsidRPr="00F57442">
              <w:rPr>
                <w:rFonts w:eastAsia="Times New Roman" w:cstheme="minorHAnsi"/>
                <w:i/>
                <w:iCs/>
                <w:color w:val="000000"/>
                <w:kern w:val="2"/>
                <w:lang w:val="en-US" w:eastAsia="ko-KR"/>
              </w:rPr>
              <w:t xml:space="preserve"> 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value</w:t>
            </w:r>
          </w:p>
        </w:tc>
      </w:tr>
      <w:tr w:rsidR="000C510D" w:rsidRPr="00BA65D6" w14:paraId="771C76F5" w14:textId="77777777" w:rsidTr="003B2361">
        <w:tc>
          <w:tcPr>
            <w:tcW w:w="2423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C8DE57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DengXian" w:cstheme="minorHAnsi"/>
                <w:color w:val="000000"/>
                <w:kern w:val="2"/>
                <w:lang w:val="en-US" w:eastAsia="ko-KR"/>
              </w:rPr>
              <w:t>Number of patients</w:t>
            </w: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6870C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DengXian" w:cstheme="minorHAnsi"/>
                <w:color w:val="000000"/>
                <w:kern w:val="2"/>
                <w:lang w:val="en-US" w:eastAsia="ko-KR"/>
              </w:rPr>
              <w:t xml:space="preserve">125 </w:t>
            </w: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B039" w14:textId="40CE1048" w:rsidR="000C510D" w:rsidRPr="00F57442" w:rsidRDefault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DengXian" w:cstheme="minorHAnsi"/>
                <w:color w:val="000000"/>
                <w:kern w:val="2"/>
                <w:lang w:val="en-US" w:eastAsia="ko-KR"/>
              </w:rPr>
              <w:t>94</w:t>
            </w: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064E2" w14:textId="3C538202" w:rsidR="000C510D" w:rsidRPr="00F57442" w:rsidRDefault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DengXian" w:cstheme="minorHAnsi"/>
                <w:color w:val="000000"/>
                <w:kern w:val="2"/>
                <w:lang w:val="en-US" w:eastAsia="ko-KR"/>
              </w:rPr>
              <w:t xml:space="preserve">31 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A1AF45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</w:p>
        </w:tc>
      </w:tr>
      <w:tr w:rsidR="000C510D" w:rsidRPr="00BA65D6" w14:paraId="17A1AE9B" w14:textId="77777777" w:rsidTr="003B2361">
        <w:tc>
          <w:tcPr>
            <w:tcW w:w="2423" w:type="dxa"/>
            <w:tcBorders>
              <w:top w:val="nil"/>
              <w:right w:val="none" w:sz="2" w:space="0" w:color="000000"/>
            </w:tcBorders>
            <w:shd w:val="clear" w:color="auto" w:fill="auto"/>
            <w:vAlign w:val="center"/>
          </w:tcPr>
          <w:p w14:paraId="1A0C8E9D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Systolic BP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mmHg</w:t>
            </w:r>
          </w:p>
        </w:tc>
        <w:tc>
          <w:tcPr>
            <w:tcW w:w="1695" w:type="dxa"/>
            <w:tcBorders>
              <w:top w:val="nil"/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6EC7EF61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130.8 ± 26.1</w:t>
            </w:r>
          </w:p>
        </w:tc>
        <w:tc>
          <w:tcPr>
            <w:tcW w:w="1695" w:type="dxa"/>
            <w:tcBorders>
              <w:top w:val="nil"/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07374DFC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132.4 ± 24.1</w:t>
            </w:r>
          </w:p>
        </w:tc>
        <w:tc>
          <w:tcPr>
            <w:tcW w:w="1695" w:type="dxa"/>
            <w:tcBorders>
              <w:top w:val="nil"/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6FB765D4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125.7 ± 31.1</w:t>
            </w:r>
          </w:p>
        </w:tc>
        <w:tc>
          <w:tcPr>
            <w:tcW w:w="923" w:type="dxa"/>
            <w:tcBorders>
              <w:top w:val="nil"/>
              <w:left w:val="none" w:sz="2" w:space="0" w:color="000000"/>
            </w:tcBorders>
            <w:shd w:val="clear" w:color="auto" w:fill="auto"/>
            <w:vAlign w:val="center"/>
          </w:tcPr>
          <w:p w14:paraId="69CA7970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0.214</w:t>
            </w:r>
          </w:p>
        </w:tc>
      </w:tr>
      <w:tr w:rsidR="000C510D" w:rsidRPr="00BA65D6" w14:paraId="27D2B401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30B43FE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Diastolic BP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mmHg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0E039733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72.4 ± 17.7 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3ACC27B1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71.2 ± 16.7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451B7290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70.2 ± 20.4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4906E02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0.418</w:t>
            </w:r>
          </w:p>
        </w:tc>
      </w:tr>
      <w:tr w:rsidR="000C510D" w:rsidRPr="00BA65D6" w14:paraId="02CE0C2A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595050C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Heart rate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/min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7938720E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88.4 ± 18.8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057C7C0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85.6 ± 18.5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13AEAC41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97.5 ± 17.2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2F12E453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0.001</w:t>
            </w:r>
          </w:p>
        </w:tc>
      </w:tr>
      <w:tr w:rsidR="000C510D" w:rsidRPr="00BA65D6" w14:paraId="6E81DF89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</w:tcPr>
          <w:p w14:paraId="35B549BA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Respiratory rate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/min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06DA2D55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24.6 ± 6.6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7B09C84D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23.1 ± 6.5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41563B8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25.1 ± 7.0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</w:tcPr>
          <w:p w14:paraId="243709D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0.739</w:t>
            </w:r>
          </w:p>
        </w:tc>
      </w:tr>
      <w:tr w:rsidR="000C510D" w:rsidRPr="00BA65D6" w14:paraId="103856D3" w14:textId="77777777" w:rsidTr="003B2361">
        <w:tc>
          <w:tcPr>
            <w:tcW w:w="2423" w:type="dxa"/>
            <w:tcBorders>
              <w:bottom w:val="nil"/>
              <w:right w:val="none" w:sz="2" w:space="0" w:color="000000"/>
            </w:tcBorders>
            <w:shd w:val="clear" w:color="auto" w:fill="auto"/>
            <w:vAlign w:val="center"/>
          </w:tcPr>
          <w:p w14:paraId="076987D4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P/F ratio</w:t>
            </w:r>
          </w:p>
        </w:tc>
        <w:tc>
          <w:tcPr>
            <w:tcW w:w="1695" w:type="dxa"/>
            <w:tcBorders>
              <w:left w:val="none" w:sz="2" w:space="0" w:color="000000"/>
              <w:bottom w:val="nil"/>
              <w:right w:val="none" w:sz="2" w:space="0" w:color="000000"/>
            </w:tcBorders>
            <w:shd w:val="clear" w:color="auto" w:fill="auto"/>
            <w:vAlign w:val="center"/>
          </w:tcPr>
          <w:p w14:paraId="768C89A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113.0 ± 54.6</w:t>
            </w:r>
          </w:p>
        </w:tc>
        <w:tc>
          <w:tcPr>
            <w:tcW w:w="1695" w:type="dxa"/>
            <w:tcBorders>
              <w:left w:val="none" w:sz="2" w:space="0" w:color="000000"/>
              <w:bottom w:val="nil"/>
              <w:right w:val="none" w:sz="2" w:space="0" w:color="000000"/>
            </w:tcBorders>
            <w:shd w:val="clear" w:color="auto" w:fill="auto"/>
            <w:vAlign w:val="center"/>
          </w:tcPr>
          <w:p w14:paraId="0888FFD8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112.8 ± 53.2</w:t>
            </w:r>
          </w:p>
        </w:tc>
        <w:tc>
          <w:tcPr>
            <w:tcW w:w="1695" w:type="dxa"/>
            <w:tcBorders>
              <w:left w:val="none" w:sz="2" w:space="0" w:color="000000"/>
              <w:bottom w:val="nil"/>
              <w:right w:val="none" w:sz="2" w:space="0" w:color="000000"/>
            </w:tcBorders>
            <w:shd w:val="clear" w:color="auto" w:fill="auto"/>
            <w:vAlign w:val="center"/>
          </w:tcPr>
          <w:p w14:paraId="0ACBBBD7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113.8 ± 59.7</w:t>
            </w:r>
          </w:p>
        </w:tc>
        <w:tc>
          <w:tcPr>
            <w:tcW w:w="923" w:type="dxa"/>
            <w:tcBorders>
              <w:left w:val="none" w:sz="2" w:space="0" w:color="000000"/>
              <w:bottom w:val="nil"/>
            </w:tcBorders>
            <w:shd w:val="clear" w:color="auto" w:fill="auto"/>
            <w:vAlign w:val="center"/>
          </w:tcPr>
          <w:p w14:paraId="44F1EDB0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0.699</w:t>
            </w:r>
          </w:p>
        </w:tc>
      </w:tr>
      <w:tr w:rsidR="000C510D" w:rsidRPr="00BA65D6" w14:paraId="10585606" w14:textId="77777777" w:rsidTr="003B2361">
        <w:tc>
          <w:tcPr>
            <w:tcW w:w="24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C67A6F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SOFA score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F7DCC38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5.0 ± 2.8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8103C6F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4.2 ± 2.7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EB621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5.9 ± 3.1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E1ED82F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0.048</w:t>
            </w:r>
          </w:p>
        </w:tc>
      </w:tr>
      <w:tr w:rsidR="000C510D" w:rsidRPr="00BA65D6" w14:paraId="120F2CE4" w14:textId="77777777" w:rsidTr="003B2361">
        <w:tc>
          <w:tcPr>
            <w:tcW w:w="2423" w:type="dxa"/>
            <w:tcBorders>
              <w:top w:val="nil"/>
              <w:right w:val="none" w:sz="2" w:space="0" w:color="000000"/>
            </w:tcBorders>
            <w:shd w:val="clear" w:color="auto" w:fill="auto"/>
            <w:vAlign w:val="center"/>
          </w:tcPr>
          <w:p w14:paraId="27E8DA94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APACHE score</w:t>
            </w:r>
          </w:p>
        </w:tc>
        <w:tc>
          <w:tcPr>
            <w:tcW w:w="1695" w:type="dxa"/>
            <w:tcBorders>
              <w:top w:val="nil"/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2B1634A9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14.8 ± 7.9</w:t>
            </w:r>
          </w:p>
        </w:tc>
        <w:tc>
          <w:tcPr>
            <w:tcW w:w="1695" w:type="dxa"/>
            <w:tcBorders>
              <w:top w:val="nil"/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0DEF0985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13.1 ± 7.6</w:t>
            </w:r>
          </w:p>
        </w:tc>
        <w:tc>
          <w:tcPr>
            <w:tcW w:w="1695" w:type="dxa"/>
            <w:tcBorders>
              <w:top w:val="nil"/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264CE9C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15.0 ± 8.7</w:t>
            </w:r>
          </w:p>
        </w:tc>
        <w:tc>
          <w:tcPr>
            <w:tcW w:w="923" w:type="dxa"/>
            <w:tcBorders>
              <w:top w:val="nil"/>
              <w:left w:val="none" w:sz="2" w:space="0" w:color="000000"/>
            </w:tcBorders>
            <w:shd w:val="clear" w:color="auto" w:fill="auto"/>
            <w:vAlign w:val="center"/>
          </w:tcPr>
          <w:p w14:paraId="6FB1C63E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0.997</w:t>
            </w:r>
          </w:p>
        </w:tc>
      </w:tr>
      <w:tr w:rsidR="000C510D" w:rsidRPr="00BA65D6" w14:paraId="4FA61CA7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6B39DDC0" w14:textId="6AAF571F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Leukocyte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×10</w:t>
            </w:r>
            <w:r w:rsidRPr="00F57442">
              <w:rPr>
                <w:rFonts w:eastAsia="Times New Roman" w:cstheme="minorHAnsi"/>
                <w:color w:val="000000"/>
                <w:kern w:val="2"/>
                <w:vertAlign w:val="superscript"/>
                <w:lang w:val="en-US" w:eastAsia="ko-KR"/>
              </w:rPr>
              <w:t>3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/Ul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25FCEE10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10.4 ± 6.5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73459115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8.9 ± 6.7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4EDBD873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11.1 ± 6.1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630B9D80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0.237</w:t>
            </w:r>
          </w:p>
        </w:tc>
      </w:tr>
      <w:tr w:rsidR="000C510D" w:rsidRPr="00BA65D6" w14:paraId="509780CE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32A614C0" w14:textId="77777777" w:rsidR="000C510D" w:rsidRPr="00F57442" w:rsidRDefault="000C510D" w:rsidP="00F5744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Lymphocyte %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2876DAAD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9.8 ± 8.8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72AFD8EA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10.0 ± 9.5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5F218071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9.1 ± 6.3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23495D9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0.991</w:t>
            </w:r>
          </w:p>
        </w:tc>
      </w:tr>
      <w:tr w:rsidR="000C510D" w:rsidRPr="00BA65D6" w14:paraId="3F5DB2A1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5F3545B6" w14:textId="77777777" w:rsidR="000C510D" w:rsidRPr="00F57442" w:rsidRDefault="000C510D" w:rsidP="00F5744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Neutrophil %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19C04005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84.2 ± 11.1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7F64BEAD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84.5 ± 11.3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56F4024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83.2 ± 10.3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6A07914A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0.339</w:t>
            </w:r>
          </w:p>
        </w:tc>
      </w:tr>
      <w:tr w:rsidR="000C510D" w:rsidRPr="00BA65D6" w14:paraId="6CDDEA25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089A8FCD" w14:textId="77777777" w:rsidR="000C510D" w:rsidRPr="00F57442" w:rsidRDefault="000C510D" w:rsidP="00F5744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NLR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2C8B5FA0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16.9 ± 19.2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79E040C8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15.9 ± 14.0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2B2239AF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19.9 ± 30.2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5B0BC05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0.825</w:t>
            </w:r>
          </w:p>
        </w:tc>
      </w:tr>
      <w:tr w:rsidR="000C510D" w:rsidRPr="00BA65D6" w14:paraId="7FC437C5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186C7DE9" w14:textId="77777777" w:rsidR="000C510D" w:rsidRPr="00F57442" w:rsidRDefault="000C510D" w:rsidP="00F5744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ANC /uL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15271FD9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9136.2 ± 6205.7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18FD974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9017.2 ± 6417.7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53A0872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9493.3 ± 5604.9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506CFA1E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0.345</w:t>
            </w:r>
          </w:p>
        </w:tc>
      </w:tr>
      <w:tr w:rsidR="000C510D" w:rsidRPr="00BA65D6" w14:paraId="0472D7E1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259C8FD5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Hemoglobin g/dL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02469D3F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12.4 ± 1.9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6A0B3C9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12.4 ± 1.9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4C1FA035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12.5 ± 2.2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7451E2B3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0.771</w:t>
            </w:r>
          </w:p>
        </w:tc>
      </w:tr>
      <w:tr w:rsidR="000C510D" w:rsidRPr="00BA65D6" w14:paraId="4A25BCE0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44D0871D" w14:textId="63AE3CA4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Platelet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×10</w:t>
            </w:r>
            <w:r w:rsidRPr="00F57442">
              <w:rPr>
                <w:rFonts w:eastAsia="Times New Roman" w:cstheme="minorHAnsi"/>
                <w:color w:val="000000"/>
                <w:kern w:val="2"/>
                <w:vertAlign w:val="superscript"/>
                <w:lang w:val="en-US" w:eastAsia="ko-KR"/>
              </w:rPr>
              <w:t>3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/uL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0EDC3C1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202.3 ± 103.3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31FA7FBF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200.6 ± 88.3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7203951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207.6 ± 140.8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0E7C1B08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0.806</w:t>
            </w:r>
          </w:p>
        </w:tc>
      </w:tr>
      <w:tr w:rsidR="000C510D" w:rsidRPr="00BA65D6" w14:paraId="74E66E69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24CBB558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AST IU/L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35F8ADE3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54.7 ± 33.9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2033AAC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51.9 ± 34.0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792BF29A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63.0 ± 32.4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2606FB61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0.023</w:t>
            </w:r>
          </w:p>
        </w:tc>
      </w:tr>
      <w:tr w:rsidR="000C510D" w:rsidRPr="00BA65D6" w14:paraId="741AD148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4726987F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ALT IU/L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2EB51EC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41.4 ± 32.5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756A553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39.4 ± 30.3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0B53FD2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47.3 ± 38.3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30241A89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0.464</w:t>
            </w:r>
          </w:p>
        </w:tc>
      </w:tr>
      <w:tr w:rsidR="000C510D" w:rsidRPr="00BA65D6" w14:paraId="2D8A0510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43DBBD5A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Total bilirubin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mg/dL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5FFC0BD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0.6 ± 0.4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635E673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0.6 ± 0.3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37AB2A83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0.7 ± 0.4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3C8AA288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0.089</w:t>
            </w:r>
          </w:p>
        </w:tc>
      </w:tr>
      <w:tr w:rsidR="000C510D" w:rsidRPr="00BA65D6" w14:paraId="33CB2A30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22F0FF7F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lastRenderedPageBreak/>
              <w:t>Total protein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g/dL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128665F5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5.9 ± 0.7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49023208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5.9 ± 0.6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7446486D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6.0 ± 1.0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4755708A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0.838</w:t>
            </w:r>
          </w:p>
        </w:tc>
      </w:tr>
      <w:tr w:rsidR="000C510D" w:rsidRPr="00BA65D6" w14:paraId="6198B324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141E34EE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Albumin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g/dL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65E1387E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3.0 ± 0.4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0C413628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3.0 ± 0.4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3CC76417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3.0 ± 0.5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48578BBD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0.746</w:t>
            </w:r>
          </w:p>
        </w:tc>
      </w:tr>
      <w:tr w:rsidR="000C510D" w:rsidRPr="00BA65D6" w14:paraId="62D85780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3A1D51F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BUN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mg/dL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11DEE53A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25.3 ± 17.3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2F0C89C9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24.2 ± 17.7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0F0EA1D7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28.6 ± 15.9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3F6362F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0.083</w:t>
            </w:r>
          </w:p>
        </w:tc>
      </w:tr>
      <w:tr w:rsidR="000C510D" w:rsidRPr="00BA65D6" w14:paraId="64461365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20A1A511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Creatinine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mg/dL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74462F4D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1.1 ± 0.9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43918AA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1.1 ± 1.0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418198F7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1.2 ± 0.7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23D60337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0.104</w:t>
            </w:r>
          </w:p>
        </w:tc>
      </w:tr>
      <w:tr w:rsidR="000C510D" w:rsidRPr="00BA65D6" w14:paraId="3373D26D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  <w:vAlign w:val="center"/>
          </w:tcPr>
          <w:p w14:paraId="6F62EF4B" w14:textId="2E594D80" w:rsidR="000C510D" w:rsidRPr="00F57442" w:rsidRDefault="000C510D" w:rsidP="006B3F63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Sodium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m</w:t>
            </w:r>
            <w:r w:rsidR="00B6457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mol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/L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4182F5C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137.1 ± 4.8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581B8B90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136.9 ± 4.1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  <w:vAlign w:val="center"/>
          </w:tcPr>
          <w:p w14:paraId="33C5FCF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137.9 ± 6.4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  <w:vAlign w:val="center"/>
          </w:tcPr>
          <w:p w14:paraId="4D86478D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0.390</w:t>
            </w:r>
          </w:p>
        </w:tc>
      </w:tr>
      <w:tr w:rsidR="000C510D" w:rsidRPr="00BA65D6" w14:paraId="4456D9B3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</w:tcPr>
          <w:p w14:paraId="7D5C7024" w14:textId="32FEECE2" w:rsidR="000C510D" w:rsidRPr="00F57442" w:rsidRDefault="000C510D" w:rsidP="006B3F63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Potassium m</w:t>
            </w:r>
            <w:r w:rsidR="00B6457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mol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/L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5E471F65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4.0 ± 0.7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698C4B84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4.0 ± 0.6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463A0163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4.0 ± 0.7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</w:tcPr>
          <w:p w14:paraId="3A540529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0.557</w:t>
            </w:r>
          </w:p>
        </w:tc>
      </w:tr>
      <w:tr w:rsidR="000C510D" w:rsidRPr="00BA65D6" w14:paraId="0F89E627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</w:tcPr>
          <w:p w14:paraId="52EA7FC4" w14:textId="78D27B95" w:rsidR="000C510D" w:rsidRPr="00F57442" w:rsidRDefault="000C510D" w:rsidP="006B3F63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Total CO2 m</w:t>
            </w:r>
            <w:r w:rsidR="00B6457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mol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/L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093476F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22.9 ± 8.6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3CC3D53E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22.0 ± 4.0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3FD86F4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25.6 ± 15.6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</w:tcPr>
          <w:p w14:paraId="6D31189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0.340</w:t>
            </w:r>
          </w:p>
        </w:tc>
      </w:tr>
      <w:tr w:rsidR="000C510D" w:rsidRPr="00BA65D6" w14:paraId="63D1D370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</w:tcPr>
          <w:p w14:paraId="384F12C0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LDH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IU/L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4C8F2C83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586.6 ± 271.1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2BAB727C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559.9 ± 230.9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6B53D12A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663.8 ± 357.3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</w:tcPr>
          <w:p w14:paraId="098C3B7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0.159</w:t>
            </w:r>
          </w:p>
        </w:tc>
      </w:tr>
      <w:tr w:rsidR="000C510D" w:rsidRPr="00BA65D6" w14:paraId="3E64FE2A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</w:tcPr>
          <w:p w14:paraId="03A96B0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CRP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mg/dL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157B77E9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11.1 ± 7.9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3CB3D7FF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11.1 ± 8.9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5A722DDF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11.2 ± 6.7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</w:tcPr>
          <w:p w14:paraId="6956B4DA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0.621</w:t>
            </w:r>
          </w:p>
        </w:tc>
      </w:tr>
      <w:tr w:rsidR="000C510D" w:rsidRPr="00BA65D6" w14:paraId="138DC5AF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</w:tcPr>
          <w:p w14:paraId="43776B79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Procalcitonin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ng/mL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5762CF1B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0.8 ± 2.0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04B029F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0.8 ± 2.2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75466C19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0.7 ± 1.0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</w:tcPr>
          <w:p w14:paraId="29AE01F4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0.171</w:t>
            </w:r>
          </w:p>
        </w:tc>
      </w:tr>
      <w:tr w:rsidR="000C510D" w:rsidRPr="00BA65D6" w14:paraId="63B46F8C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</w:tcPr>
          <w:p w14:paraId="40E58E76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PT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sec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41970E13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14.1 ± 3.9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5B03B42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14.1 ± 4.3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38227643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14.1 ± 2.2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</w:tcPr>
          <w:p w14:paraId="1D1FB020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0.439</w:t>
            </w:r>
          </w:p>
        </w:tc>
      </w:tr>
      <w:tr w:rsidR="000C510D" w:rsidRPr="00BA65D6" w14:paraId="55B582B6" w14:textId="77777777" w:rsidTr="003B2361">
        <w:tc>
          <w:tcPr>
            <w:tcW w:w="2423" w:type="dxa"/>
            <w:tcBorders>
              <w:right w:val="none" w:sz="2" w:space="0" w:color="000000"/>
            </w:tcBorders>
            <w:shd w:val="clear" w:color="auto" w:fill="auto"/>
          </w:tcPr>
          <w:p w14:paraId="1C284958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aPTT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sec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509275A2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40.6 ± 34.9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1DB79854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39.9 ± 37.0</w:t>
            </w:r>
          </w:p>
        </w:tc>
        <w:tc>
          <w:tcPr>
            <w:tcW w:w="1695" w:type="dxa"/>
            <w:tcBorders>
              <w:left w:val="none" w:sz="2" w:space="0" w:color="000000"/>
              <w:right w:val="none" w:sz="2" w:space="0" w:color="000000"/>
            </w:tcBorders>
            <w:shd w:val="clear" w:color="auto" w:fill="auto"/>
          </w:tcPr>
          <w:p w14:paraId="275B8524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42.9 ± 28.0</w:t>
            </w:r>
          </w:p>
        </w:tc>
        <w:tc>
          <w:tcPr>
            <w:tcW w:w="923" w:type="dxa"/>
            <w:tcBorders>
              <w:left w:val="none" w:sz="2" w:space="0" w:color="000000"/>
            </w:tcBorders>
            <w:shd w:val="clear" w:color="auto" w:fill="auto"/>
          </w:tcPr>
          <w:p w14:paraId="7D0F7983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0.081</w:t>
            </w:r>
          </w:p>
        </w:tc>
      </w:tr>
      <w:tr w:rsidR="000C510D" w:rsidRPr="00BA65D6" w14:paraId="1F37CB96" w14:textId="77777777" w:rsidTr="003B2361">
        <w:tc>
          <w:tcPr>
            <w:tcW w:w="2423" w:type="dxa"/>
            <w:tcBorders>
              <w:bottom w:val="nil"/>
              <w:right w:val="none" w:sz="2" w:space="0" w:color="000000"/>
            </w:tcBorders>
            <w:shd w:val="clear" w:color="auto" w:fill="auto"/>
          </w:tcPr>
          <w:p w14:paraId="2F645E27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Fibrinogen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mg/dL</w:t>
            </w:r>
          </w:p>
        </w:tc>
        <w:tc>
          <w:tcPr>
            <w:tcW w:w="1695" w:type="dxa"/>
            <w:tcBorders>
              <w:left w:val="none" w:sz="2" w:space="0" w:color="000000"/>
              <w:bottom w:val="nil"/>
              <w:right w:val="none" w:sz="2" w:space="0" w:color="000000"/>
            </w:tcBorders>
            <w:shd w:val="clear" w:color="auto" w:fill="auto"/>
          </w:tcPr>
          <w:p w14:paraId="387CD66F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565.4 ± 158.4</w:t>
            </w:r>
          </w:p>
        </w:tc>
        <w:tc>
          <w:tcPr>
            <w:tcW w:w="1695" w:type="dxa"/>
            <w:tcBorders>
              <w:left w:val="none" w:sz="2" w:space="0" w:color="000000"/>
              <w:bottom w:val="nil"/>
              <w:right w:val="none" w:sz="2" w:space="0" w:color="000000"/>
            </w:tcBorders>
            <w:shd w:val="clear" w:color="auto" w:fill="auto"/>
          </w:tcPr>
          <w:p w14:paraId="283B391E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565.0 ± 146.2</w:t>
            </w:r>
          </w:p>
        </w:tc>
        <w:tc>
          <w:tcPr>
            <w:tcW w:w="1695" w:type="dxa"/>
            <w:tcBorders>
              <w:left w:val="none" w:sz="2" w:space="0" w:color="000000"/>
              <w:bottom w:val="nil"/>
              <w:right w:val="none" w:sz="2" w:space="0" w:color="000000"/>
            </w:tcBorders>
            <w:shd w:val="clear" w:color="auto" w:fill="auto"/>
          </w:tcPr>
          <w:p w14:paraId="030AF0BF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566.5 ± 193.8</w:t>
            </w:r>
          </w:p>
        </w:tc>
        <w:tc>
          <w:tcPr>
            <w:tcW w:w="923" w:type="dxa"/>
            <w:tcBorders>
              <w:left w:val="none" w:sz="2" w:space="0" w:color="000000"/>
              <w:bottom w:val="nil"/>
            </w:tcBorders>
            <w:shd w:val="clear" w:color="auto" w:fill="auto"/>
          </w:tcPr>
          <w:p w14:paraId="55C26F61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0.937</w:t>
            </w:r>
          </w:p>
        </w:tc>
      </w:tr>
      <w:tr w:rsidR="000C510D" w:rsidRPr="00BA65D6" w14:paraId="538098AD" w14:textId="77777777" w:rsidTr="003B2361">
        <w:tc>
          <w:tcPr>
            <w:tcW w:w="2423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3A8A00D3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Ferritin</w:t>
            </w:r>
            <w:r w:rsidR="006B3F63"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,</w:t>
            </w: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 xml:space="preserve"> ng/mL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4E757E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886.5 ± 801.6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BFE509E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751.8 ± 540.4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667A22E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1210.0 ± 1177.9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20C57E07" w14:textId="77777777" w:rsidR="000C510D" w:rsidRPr="00F57442" w:rsidRDefault="000C510D" w:rsidP="000C510D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/>
                <w:kern w:val="2"/>
                <w:lang w:val="en-US" w:eastAsia="ko-KR"/>
              </w:rPr>
              <w:t>0.231</w:t>
            </w:r>
          </w:p>
        </w:tc>
      </w:tr>
    </w:tbl>
    <w:p w14:paraId="076DFF4A" w14:textId="48E8BBFD" w:rsidR="000C510D" w:rsidRPr="00F57442" w:rsidRDefault="000C510D" w:rsidP="000C510D">
      <w:pPr>
        <w:widowControl w:val="0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autoSpaceDE w:val="0"/>
        <w:autoSpaceDN w:val="0"/>
        <w:spacing w:after="0" w:line="480" w:lineRule="auto"/>
        <w:textAlignment w:val="center"/>
        <w:rPr>
          <w:rFonts w:eastAsia="Times New Roman" w:cstheme="minorHAnsi"/>
          <w:color w:val="000000"/>
          <w:kern w:val="1"/>
          <w:sz w:val="24"/>
          <w:szCs w:val="24"/>
          <w:lang w:val="en-US" w:eastAsia="ko-KR"/>
        </w:rPr>
      </w:pPr>
      <w:r w:rsidRPr="00F57442">
        <w:rPr>
          <w:rFonts w:eastAsia="Times New Roman" w:cstheme="minorHAnsi"/>
          <w:color w:val="000000"/>
          <w:kern w:val="12"/>
          <w:sz w:val="24"/>
          <w:szCs w:val="24"/>
          <w:lang w:val="en-US" w:eastAsia="ko-KR"/>
        </w:rPr>
        <w:t xml:space="preserve">Data are presented as mean </w:t>
      </w:r>
      <w:r w:rsidRPr="00F57442">
        <w:rPr>
          <w:rFonts w:eastAsia="Times New Roman" w:cstheme="minorHAnsi"/>
          <w:color w:val="000000"/>
          <w:kern w:val="2"/>
          <w:sz w:val="24"/>
          <w:szCs w:val="24"/>
          <w:lang w:val="en-US" w:eastAsia="ko-KR"/>
        </w:rPr>
        <w:t xml:space="preserve">± </w:t>
      </w:r>
      <w:r w:rsidR="006B3F63" w:rsidRPr="00F57442">
        <w:rPr>
          <w:rFonts w:eastAsia="Times New Roman" w:cstheme="minorHAnsi"/>
          <w:color w:val="000000"/>
          <w:kern w:val="12"/>
          <w:sz w:val="24"/>
          <w:szCs w:val="24"/>
          <w:lang w:val="en-US" w:eastAsia="ko-KR"/>
        </w:rPr>
        <w:t xml:space="preserve">standard deviation </w:t>
      </w:r>
      <w:r w:rsidRPr="00F57442">
        <w:rPr>
          <w:rFonts w:eastAsia="Times New Roman" w:cstheme="minorHAnsi"/>
          <w:color w:val="000000"/>
          <w:kern w:val="12"/>
          <w:sz w:val="24"/>
          <w:szCs w:val="24"/>
          <w:lang w:val="en-US" w:eastAsia="ko-KR"/>
        </w:rPr>
        <w:t xml:space="preserve">or number (%), unless otherwise stated. </w:t>
      </w:r>
      <w:r w:rsidRPr="00F57442">
        <w:rPr>
          <w:rFonts w:eastAsia="Arial" w:cstheme="minorHAnsi"/>
          <w:i/>
          <w:iCs/>
          <w:color w:val="000000"/>
          <w:kern w:val="2"/>
          <w:sz w:val="24"/>
          <w:szCs w:val="24"/>
          <w:lang w:val="en-US" w:eastAsia="ko-KR"/>
        </w:rPr>
        <w:t>Abbreviations</w:t>
      </w:r>
      <w:r w:rsidRPr="00F57442">
        <w:rPr>
          <w:rFonts w:eastAsia="Arial" w:cstheme="minorHAnsi"/>
          <w:color w:val="000000"/>
          <w:kern w:val="2"/>
          <w:sz w:val="24"/>
          <w:szCs w:val="24"/>
          <w:lang w:val="en-US" w:eastAsia="ko-KR"/>
        </w:rPr>
        <w:t xml:space="preserve">: </w:t>
      </w:r>
      <w:r w:rsidRPr="00F57442">
        <w:rPr>
          <w:rFonts w:eastAsia="Times New Roman" w:cstheme="minorHAnsi"/>
          <w:color w:val="000000"/>
          <w:kern w:val="1"/>
          <w:sz w:val="24"/>
          <w:szCs w:val="24"/>
          <w:lang w:val="en-US" w:eastAsia="ko-KR"/>
        </w:rPr>
        <w:t>ALT: alanine transaminase, ANC: absolute neutrophil count,  AST: aspartate transaminase, CRP: C-reactive protein, LDH: lactate dehydrogenase</w:t>
      </w:r>
      <w:r w:rsidRPr="00F57442">
        <w:rPr>
          <w:rFonts w:eastAsia="Times New Roman" w:cstheme="minorHAnsi"/>
          <w:color w:val="000000"/>
          <w:kern w:val="2"/>
          <w:sz w:val="24"/>
          <w:szCs w:val="24"/>
          <w:lang w:val="en-US" w:eastAsia="ko-KR"/>
        </w:rPr>
        <w:t>, NLR</w:t>
      </w:r>
      <w:r w:rsidRPr="00F57442">
        <w:rPr>
          <w:rFonts w:eastAsia="Times New Roman" w:cstheme="minorHAnsi"/>
          <w:color w:val="000000"/>
          <w:kern w:val="12"/>
          <w:sz w:val="24"/>
          <w:szCs w:val="24"/>
          <w:lang w:val="en-US" w:eastAsia="ko-KR"/>
        </w:rPr>
        <w:t xml:space="preserve">: </w:t>
      </w:r>
      <w:r w:rsidRPr="00F57442">
        <w:rPr>
          <w:rFonts w:eastAsia="Times New Roman" w:cstheme="minorHAnsi"/>
          <w:color w:val="000000"/>
          <w:kern w:val="2"/>
          <w:sz w:val="24"/>
          <w:szCs w:val="24"/>
          <w:lang w:val="en-US" w:eastAsia="ko-KR"/>
        </w:rPr>
        <w:t xml:space="preserve">Neutrophil-to-lymphocyte ratio, P/F ratio: </w:t>
      </w:r>
      <w:r w:rsidR="000647CF" w:rsidRPr="00F57442">
        <w:rPr>
          <w:rFonts w:eastAsia="Times New Roman" w:cstheme="minorHAnsi"/>
          <w:color w:val="000000"/>
          <w:kern w:val="2"/>
          <w:sz w:val="24"/>
          <w:szCs w:val="24"/>
          <w:lang w:val="en-US" w:eastAsia="ko-KR"/>
        </w:rPr>
        <w:t>PaO2/</w:t>
      </w:r>
      <w:r w:rsidRPr="00F57442">
        <w:rPr>
          <w:rFonts w:eastAsia="Times New Roman" w:cstheme="minorHAnsi"/>
          <w:color w:val="000000"/>
          <w:kern w:val="2"/>
          <w:sz w:val="24"/>
          <w:szCs w:val="24"/>
          <w:lang w:val="en-US" w:eastAsia="ko-KR"/>
        </w:rPr>
        <w:t>FiO2 ratio</w:t>
      </w:r>
    </w:p>
    <w:p w14:paraId="21E77694" w14:textId="53970345" w:rsidR="00204FBA" w:rsidRPr="00D82676" w:rsidRDefault="00204FBA">
      <w:pPr>
        <w:rPr>
          <w:rFonts w:eastAsia="맑은 고딕" w:cstheme="minorHAnsi"/>
          <w:b/>
          <w:lang w:eastAsia="ko-KR"/>
        </w:rPr>
      </w:pPr>
    </w:p>
    <w:p w14:paraId="636552EB" w14:textId="412AEDF1" w:rsidR="00F803E2" w:rsidRPr="00D82676" w:rsidRDefault="00F803E2">
      <w:pPr>
        <w:rPr>
          <w:rFonts w:eastAsia="맑은 고딕" w:cstheme="minorHAnsi"/>
          <w:b/>
          <w:lang w:eastAsia="ko-KR"/>
        </w:rPr>
      </w:pPr>
    </w:p>
    <w:p w14:paraId="26F717F6" w14:textId="705EF0EF" w:rsidR="00F803E2" w:rsidRPr="00D82676" w:rsidRDefault="00F803E2">
      <w:pPr>
        <w:rPr>
          <w:rFonts w:eastAsia="맑은 고딕" w:cstheme="minorHAnsi"/>
          <w:b/>
          <w:lang w:eastAsia="ko-KR"/>
        </w:rPr>
      </w:pPr>
    </w:p>
    <w:p w14:paraId="054E065A" w14:textId="1D56522F" w:rsidR="00F803E2" w:rsidRPr="00D82676" w:rsidRDefault="00F803E2">
      <w:pPr>
        <w:rPr>
          <w:rFonts w:eastAsia="맑은 고딕" w:cstheme="minorHAnsi"/>
          <w:b/>
          <w:lang w:eastAsia="ko-KR"/>
        </w:rPr>
      </w:pPr>
    </w:p>
    <w:p w14:paraId="56D649D0" w14:textId="77777777" w:rsidR="00F803E2" w:rsidRPr="00F57442" w:rsidRDefault="00F803E2" w:rsidP="00F803E2">
      <w:pPr>
        <w:widowControl w:val="0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autoSpaceDE w:val="0"/>
        <w:autoSpaceDN w:val="0"/>
        <w:spacing w:after="0" w:line="480" w:lineRule="auto"/>
        <w:textAlignment w:val="center"/>
        <w:rPr>
          <w:rFonts w:eastAsia="Times New Roman" w:cstheme="minorHAnsi"/>
          <w:b/>
          <w:color w:val="000000" w:themeColor="text1"/>
          <w:kern w:val="1"/>
          <w:sz w:val="24"/>
          <w:szCs w:val="24"/>
          <w:lang w:val="en-US" w:eastAsia="ko-KR"/>
        </w:rPr>
      </w:pPr>
      <w:r w:rsidRPr="00F57442">
        <w:rPr>
          <w:rFonts w:eastAsia="Times New Roman" w:cstheme="minorHAnsi"/>
          <w:b/>
          <w:color w:val="000000" w:themeColor="text1"/>
          <w:kern w:val="1"/>
          <w:sz w:val="24"/>
          <w:szCs w:val="24"/>
          <w:lang w:val="en-US" w:eastAsia="ko-KR"/>
        </w:rPr>
        <w:lastRenderedPageBreak/>
        <w:t>Table S2. Comparison of treatment between PF and no PF groups</w:t>
      </w:r>
    </w:p>
    <w:tbl>
      <w:tblPr>
        <w:tblOverlap w:val="never"/>
        <w:tblW w:w="8434" w:type="dxa"/>
        <w:tblBorders>
          <w:top w:val="single" w:sz="4" w:space="0" w:color="000000"/>
          <w:bottom w:val="single" w:sz="4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826"/>
        <w:gridCol w:w="1551"/>
        <w:gridCol w:w="1551"/>
        <w:gridCol w:w="1551"/>
        <w:gridCol w:w="955"/>
      </w:tblGrid>
      <w:tr w:rsidR="00F803E2" w:rsidRPr="00BA65D6" w14:paraId="202B57A9" w14:textId="77777777" w:rsidTr="00401871">
        <w:trPr>
          <w:trHeight w:val="56"/>
        </w:trPr>
        <w:tc>
          <w:tcPr>
            <w:tcW w:w="285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DA848E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b/>
                <w:color w:val="000000" w:themeColor="text1"/>
                <w:kern w:val="2"/>
                <w:lang w:val="en-US" w:eastAsia="ko-KR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1C2D2D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cstheme="minorHAnsi"/>
                <w:b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b/>
                <w:color w:val="000000" w:themeColor="text1"/>
                <w:kern w:val="2"/>
                <w:lang w:val="en-US" w:eastAsia="ko-KR"/>
              </w:rPr>
              <w:t>All patients</w:t>
            </w: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FDFF45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cstheme="minorHAnsi"/>
                <w:b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b/>
                <w:color w:val="000000" w:themeColor="text1"/>
                <w:kern w:val="2"/>
                <w:lang w:val="en-US" w:eastAsia="ko-KR"/>
              </w:rPr>
              <w:t>PF group</w:t>
            </w: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36F7C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b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b/>
                <w:color w:val="000000" w:themeColor="text1"/>
                <w:kern w:val="2"/>
                <w:lang w:val="en-US" w:eastAsia="ko-KR"/>
              </w:rPr>
              <w:t>No PF group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8CD1F01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b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b/>
                <w:i/>
                <w:iCs/>
                <w:color w:val="000000" w:themeColor="text1"/>
                <w:kern w:val="2"/>
                <w:lang w:val="en-US" w:eastAsia="ko-KR"/>
              </w:rPr>
              <w:t xml:space="preserve">P </w:t>
            </w:r>
            <w:r w:rsidRPr="00F57442">
              <w:rPr>
                <w:rFonts w:eastAsia="Times New Roman" w:cstheme="minorHAnsi"/>
                <w:b/>
                <w:color w:val="000000" w:themeColor="text1"/>
                <w:kern w:val="2"/>
                <w:lang w:val="en-US" w:eastAsia="ko-KR"/>
              </w:rPr>
              <w:t>value</w:t>
            </w:r>
          </w:p>
        </w:tc>
      </w:tr>
      <w:tr w:rsidR="00F803E2" w:rsidRPr="00BA65D6" w14:paraId="11CBC27E" w14:textId="77777777" w:rsidTr="00401871">
        <w:trPr>
          <w:trHeight w:val="56"/>
        </w:trPr>
        <w:tc>
          <w:tcPr>
            <w:tcW w:w="2858" w:type="dxa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9CEB04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cstheme="minorHAnsi"/>
                <w:color w:val="000000" w:themeColor="text1"/>
                <w:kern w:val="2"/>
                <w:lang w:val="en-US" w:eastAsia="ko-KR"/>
              </w:rPr>
              <w:t>Number of patients</w:t>
            </w: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94CA0DA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cstheme="minorHAnsi"/>
                <w:color w:val="000000" w:themeColor="text1"/>
                <w:kern w:val="2"/>
                <w:lang w:val="en-US" w:eastAsia="ko-KR"/>
              </w:rPr>
              <w:t xml:space="preserve">125 </w:t>
            </w: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BC3B2F9" w14:textId="6F35558A" w:rsidR="00F803E2" w:rsidRPr="00F57442" w:rsidRDefault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cstheme="minorHAnsi"/>
                <w:color w:val="000000" w:themeColor="text1"/>
                <w:kern w:val="2"/>
                <w:lang w:val="en-US" w:eastAsia="ko-KR"/>
              </w:rPr>
              <w:t xml:space="preserve">94 </w:t>
            </w: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DB5C3E3" w14:textId="6917E62D" w:rsidR="00F803E2" w:rsidRPr="00F57442" w:rsidRDefault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cstheme="minorHAnsi"/>
                <w:color w:val="000000" w:themeColor="text1"/>
                <w:kern w:val="2"/>
                <w:lang w:val="en-US" w:eastAsia="ko-KR"/>
              </w:rPr>
              <w:t xml:space="preserve">31 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128B59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0B43CD8A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0F124AE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Ventilator mode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E190270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07F4EF7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F053020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513FFA9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0.136</w:t>
            </w:r>
          </w:p>
        </w:tc>
      </w:tr>
      <w:tr w:rsidR="00F803E2" w:rsidRPr="00BA65D6" w14:paraId="0EE418B3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330E420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="75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Pressure control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5AC73E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58 (47.2)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3E7E57A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44 (47.8)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25B2A65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14 (45.2)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7663E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78A6D7A5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F9434D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="75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Volume control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3BBDD38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50 (40.7)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9228143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34 (37.0)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BC5D1F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16 (51.6)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F14B66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201A541E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3ABDEA9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="75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Pressure/Volume control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389CDD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15 (12.2)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8AA7FC8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14 (15.2)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FF4EADA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 (3.2)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1E2AD2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15421CEA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D19C25D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Respiratory rate /min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0423DD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23.1 ± 3.9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84BCCC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23.3 ± 3.8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FAEBE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22.5 ± 4.1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B396E1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69A311B1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45BF07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Tidal volume / PBW mL/kg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62596B7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6.7 ± 1.5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B13EA3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6.7 ± 1.5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60DCE18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6.7 ± 1.4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AA867CE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0.359</w:t>
            </w:r>
          </w:p>
        </w:tc>
      </w:tr>
      <w:tr w:rsidR="00F803E2" w:rsidRPr="00BA65D6" w14:paraId="0B2AEF13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FEA948F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Minute ventilation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55202F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9.5 ± 2.6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647E551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9.6 ± 2.5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F352160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9.3 ± 2.6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44E4E9E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0.672</w:t>
            </w:r>
          </w:p>
        </w:tc>
      </w:tr>
      <w:tr w:rsidR="00F803E2" w:rsidRPr="00BA65D6" w14:paraId="10BFD7F7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922600E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Peak pressure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6CBBCC0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24.6 ± 4.0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14C60D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24.6 ± 3.9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4FEB25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24.8 ± 4.5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A0BC635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0.630</w:t>
            </w:r>
          </w:p>
        </w:tc>
      </w:tr>
      <w:tr w:rsidR="00F803E2" w:rsidRPr="00BA65D6" w14:paraId="73CFBB18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ACCEA1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PEEP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23E03AD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10.2 ± 2.4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01FAC9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10.1 ± 2.3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A2DAF5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10.3 ± 2.8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5AB9DC1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0.884</w:t>
            </w:r>
          </w:p>
        </w:tc>
      </w:tr>
      <w:tr w:rsidR="00F803E2" w:rsidRPr="00BA65D6" w14:paraId="249F68F2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3497A9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Duration of mechanical ventilation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4F09181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29.3 ± 28.4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C0AC08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28.1 ± 29.6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880004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32.7 ± 24.5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3754330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0.096</w:t>
            </w:r>
          </w:p>
        </w:tc>
      </w:tr>
      <w:tr w:rsidR="00F803E2" w:rsidRPr="00BA65D6" w14:paraId="2C571EED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289E3F5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Use of anti-viral agents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EFAF1E3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93 (74.4)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C1E8109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72 (76.6)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948FB8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21 (67.7)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FE55768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0.327 </w:t>
            </w:r>
          </w:p>
        </w:tc>
      </w:tr>
      <w:tr w:rsidR="00F803E2" w:rsidRPr="00BA65D6" w14:paraId="3C86ABA2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54A4463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Chars="50" w:firstLine="110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Anti-viral agents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D2E5F1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7028FA7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84DF081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11061DA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0.031</w:t>
            </w:r>
          </w:p>
        </w:tc>
      </w:tr>
      <w:tr w:rsidR="00F803E2" w:rsidRPr="00BA65D6" w14:paraId="3A5A46D5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5732B9D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Chars="100" w:firstLine="220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Remdesivir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E5CDDA1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81 (87.1)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BAF612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63 (87.5)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22ECBC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18 (58.7)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84CEE2E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6AC322AF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45C376A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Chars="100" w:firstLine="220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Lopinavir/Ritonavir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0C6B5C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8 (15.4)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23845B8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8 (11.1)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3D7870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 (0.0)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64C415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5DE46C84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B16713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Chars="100" w:firstLine="220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Others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02E69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4 (7.7)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554CF87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 (1.4)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1AA290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3 (14.3)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7F4300F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33025529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F23DF38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Use of Steroid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3723F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118 (94.4)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46B6C2E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89 (94.7)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8221C6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29 (93.5)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FA90A71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0.812</w:t>
            </w:r>
          </w:p>
        </w:tc>
      </w:tr>
      <w:tr w:rsidR="00F803E2" w:rsidRPr="00BA65D6" w14:paraId="5A6DC5D0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B89E400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Chars="50" w:firstLine="110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Steroid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3FCD998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6349753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A9E35C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281D8FA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0.554</w:t>
            </w:r>
          </w:p>
        </w:tc>
      </w:tr>
      <w:tr w:rsidR="00F803E2" w:rsidRPr="00BA65D6" w14:paraId="5A4D6AE1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4A91F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Chars="100" w:firstLine="220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lastRenderedPageBreak/>
              <w:t>Dexamethasone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7CF26B9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78 (66.7)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10D473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61 (69.3)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57127A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17 (58.6)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10AE704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60962763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70A1F30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Chars="100" w:firstLine="220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Methylprednisolone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A5B7265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27 (23.1)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1404D21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18 (20.5)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ADBCCE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9 (31.0)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D513CC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33AE3323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B71F3AD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Chars="100" w:firstLine="220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Prednisolone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D9E379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3 (2.6)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9C6C278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 (2.3)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91F34AE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 (3.4)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D34F52A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15E0AB91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CEC8840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Chars="100" w:firstLine="220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Hydrocortisone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933E47A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9 (7.7)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6D1055F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7 (8.0)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BC7DA51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 (6.9)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D0F0FE0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471FE326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7228D13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 Steroid duration, days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38B02F8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7.5 ± 7.7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6FDC19A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7.3 ± 5.6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FF92528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8.0 ± 12.1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413653F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0.532</w:t>
            </w:r>
          </w:p>
        </w:tc>
      </w:tr>
      <w:tr w:rsidR="00F803E2" w:rsidRPr="00BA65D6" w14:paraId="67858ABF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D5A0AAA" w14:textId="54B325D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 Steroid dose per day mg</w:t>
            </w:r>
            <w:r w:rsidR="005B7A02" w:rsidRPr="00866906">
              <w:rPr>
                <w:rFonts w:eastAsia="Times New Roman" w:cstheme="minorHAnsi"/>
                <w:color w:val="000000" w:themeColor="text1"/>
                <w:kern w:val="1"/>
                <w:lang w:val="en-US" w:eastAsia="ko-KR"/>
              </w:rPr>
              <w:t>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257D7C6" w14:textId="490DBA89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</w:t>
            </w:r>
            <w:r w:rsidR="0081520F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</w:t>
            </w: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.</w:t>
            </w:r>
            <w:r w:rsidR="0081520F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</w:t>
            </w: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 ± </w:t>
            </w:r>
            <w:r w:rsidR="0081520F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15.6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EFDB3BA" w14:textId="046681D9" w:rsidR="00F803E2" w:rsidRPr="00F57442" w:rsidRDefault="0097158C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8</w:t>
            </w:r>
            <w:r w:rsidR="00F803E2"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.</w:t>
            </w:r>
            <w:r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8</w:t>
            </w:r>
            <w:r w:rsidR="00F803E2"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 ± </w:t>
            </w:r>
            <w:r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7</w:t>
            </w:r>
            <w:r w:rsidR="00F803E2"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.4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5E4B685" w14:textId="111B4E8C" w:rsidR="00F803E2" w:rsidRPr="00F57442" w:rsidRDefault="0097158C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18</w:t>
            </w:r>
            <w:r w:rsidR="00F803E2"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.1 ± </w:t>
            </w:r>
            <w:r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27.7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23ADEE3" w14:textId="5FA10F6C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0.4</w:t>
            </w:r>
            <w:r w:rsidR="0097158C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52</w:t>
            </w:r>
          </w:p>
        </w:tc>
      </w:tr>
      <w:tr w:rsidR="00F803E2" w:rsidRPr="00BA65D6" w14:paraId="5D6A94CC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928AAE4" w14:textId="14322426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 Steroid total dose </w:t>
            </w:r>
            <w:r w:rsidR="005B7A0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m</w:t>
            </w: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g</w:t>
            </w:r>
            <w:r w:rsidRPr="00F57442">
              <w:rPr>
                <w:rFonts w:eastAsia="Times New Roman" w:cstheme="minorHAnsi"/>
                <w:color w:val="000000" w:themeColor="text1"/>
                <w:kern w:val="1"/>
                <w:lang w:val="en-US" w:eastAsia="ko-KR"/>
              </w:rPr>
              <w:t>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83096B6" w14:textId="02B5DF4B" w:rsidR="00F803E2" w:rsidRPr="00F57442" w:rsidRDefault="0081520F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72.6</w:t>
            </w:r>
            <w:r w:rsidR="00F803E2"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 ± 1</w:t>
            </w:r>
            <w:r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38</w:t>
            </w:r>
            <w:r w:rsidR="00F803E2"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.</w:t>
            </w:r>
            <w:r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B12B28F" w14:textId="3BFE8361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7</w:t>
            </w:r>
            <w:r w:rsidR="00897720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</w:t>
            </w: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.</w:t>
            </w:r>
            <w:r w:rsidR="00897720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3</w:t>
            </w: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 ± 1</w:t>
            </w:r>
            <w:r w:rsidR="00897720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53</w:t>
            </w: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.</w:t>
            </w:r>
            <w:r w:rsidR="00897720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7590E44" w14:textId="7F53B503" w:rsidR="00F803E2" w:rsidRPr="00F57442" w:rsidRDefault="00897720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73</w:t>
            </w:r>
            <w:r w:rsidR="00F803E2"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.</w:t>
            </w:r>
            <w:r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3</w:t>
            </w:r>
            <w:r w:rsidR="00F803E2"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 ± </w:t>
            </w:r>
            <w:r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76</w:t>
            </w:r>
            <w:r w:rsidR="00F803E2"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.</w:t>
            </w:r>
            <w:r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E84F2FC" w14:textId="49541E5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0.4</w:t>
            </w:r>
            <w:r w:rsidR="0097158C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12</w:t>
            </w:r>
          </w:p>
        </w:tc>
      </w:tr>
      <w:tr w:rsidR="00F803E2" w:rsidRPr="00BA65D6" w14:paraId="2331CC4E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CDB3B7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Use of antibiotics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185FB08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125 (100.0)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BFC4CD4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94 (100.0)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91C429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31 (100.0)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C32C80F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</w:p>
        </w:tc>
      </w:tr>
      <w:tr w:rsidR="00F803E2" w:rsidRPr="00BA65D6" w14:paraId="19175F41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877928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bookmarkStart w:id="1" w:name="_Hlk139381076"/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Use of NMB </w:t>
            </w:r>
            <w:bookmarkEnd w:id="1"/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3DBFE7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104 (84.6)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1F7DFD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79 (84.9)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D538D5A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25 (83.3)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962A9C3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0.779</w:t>
            </w:r>
          </w:p>
        </w:tc>
      </w:tr>
      <w:tr w:rsidR="00F803E2" w:rsidRPr="00BA65D6" w14:paraId="495465E2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0AE0A0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NO inhalation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FC42223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7 (5.6)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25E5FE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6 (6.4)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991C37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 (3.2)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8045598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0.680</w:t>
            </w:r>
          </w:p>
        </w:tc>
      </w:tr>
      <w:tr w:rsidR="00F803E2" w:rsidRPr="00BA65D6" w14:paraId="3E10B1C9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5D57BBF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Prone position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9F936C3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45 (36.0)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8B6B1A7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33 (35.1)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3CA3333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12 (38.7)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F1B1C1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0.717</w:t>
            </w:r>
          </w:p>
        </w:tc>
      </w:tr>
      <w:tr w:rsidR="00F803E2" w:rsidRPr="00BA65D6" w14:paraId="1889AC00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1813E4B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 Prone position duration days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63F87A7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5.3 ± 6.6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E440BA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5.0 ± 15.8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7FD46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6.1 ± 11.4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A04E31D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0.450</w:t>
            </w:r>
          </w:p>
        </w:tc>
      </w:tr>
      <w:tr w:rsidR="00F803E2" w:rsidRPr="00BA65D6" w14:paraId="3D98D807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4983504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CRRT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E36E36D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24 (19.2)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ABF819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16 (17.0)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FDAA7FD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8 (25.8)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26B689C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0.282</w:t>
            </w:r>
          </w:p>
        </w:tc>
      </w:tr>
      <w:tr w:rsidR="00F803E2" w:rsidRPr="00BA65D6" w14:paraId="18E81F77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BA45697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 xml:space="preserve"> CRRT duration days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A9AB4B9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25.1 ± 22.0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C13FD30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26.9 ± 26.0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5E50E6E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21.6 ± 11.1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F674C54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0.593</w:t>
            </w:r>
          </w:p>
        </w:tc>
      </w:tr>
      <w:tr w:rsidR="00F803E2" w:rsidRPr="00BA65D6" w14:paraId="2D789485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C0BCFC1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ECMO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C2DE972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17 (13.6)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8617515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14 (14.9)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DD5891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3 (9.7)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3F8DE64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0.463</w:t>
            </w:r>
          </w:p>
        </w:tc>
      </w:tr>
      <w:tr w:rsidR="00F803E2" w:rsidRPr="00BA65D6" w14:paraId="776F7488" w14:textId="77777777" w:rsidTr="00401871">
        <w:trPr>
          <w:trHeight w:val="56"/>
        </w:trPr>
        <w:tc>
          <w:tcPr>
            <w:tcW w:w="2858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05E68544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ind w:firstLineChars="50" w:firstLine="110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ECMO duration days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77933819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31.4 ± 25.8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65DC1256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34.7 ± 27.2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46B865CD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15.7 ± 8.1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2B264D47" w14:textId="77777777" w:rsidR="00F803E2" w:rsidRPr="00F57442" w:rsidRDefault="00F803E2" w:rsidP="00F803E2">
            <w:pPr>
              <w:widowControl w:val="0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autoSpaceDE w:val="0"/>
              <w:autoSpaceDN w:val="0"/>
              <w:spacing w:after="0" w:line="480" w:lineRule="auto"/>
              <w:jc w:val="center"/>
              <w:textAlignment w:val="center"/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</w:pPr>
            <w:r w:rsidRPr="00F57442">
              <w:rPr>
                <w:rFonts w:eastAsia="Times New Roman" w:cstheme="minorHAnsi"/>
                <w:color w:val="000000" w:themeColor="text1"/>
                <w:kern w:val="2"/>
                <w:lang w:val="en-US" w:eastAsia="ko-KR"/>
              </w:rPr>
              <w:t>0.244</w:t>
            </w:r>
          </w:p>
        </w:tc>
      </w:tr>
    </w:tbl>
    <w:p w14:paraId="09D67A26" w14:textId="77777777" w:rsidR="00F803E2" w:rsidRPr="00F57442" w:rsidRDefault="00F803E2" w:rsidP="00F803E2">
      <w:pPr>
        <w:spacing w:after="0"/>
        <w:rPr>
          <w:rFonts w:eastAsia="Times New Roman" w:cstheme="minorHAnsi"/>
          <w:color w:val="000000" w:themeColor="text1"/>
          <w:kern w:val="12"/>
          <w:sz w:val="24"/>
          <w:szCs w:val="24"/>
          <w:lang w:val="en-US" w:eastAsia="ko-KR"/>
        </w:rPr>
      </w:pPr>
      <w:r w:rsidRPr="00F57442">
        <w:rPr>
          <w:rFonts w:eastAsia="Times New Roman" w:cstheme="minorHAnsi"/>
          <w:color w:val="000000" w:themeColor="text1"/>
          <w:kern w:val="12"/>
          <w:sz w:val="24"/>
          <w:szCs w:val="24"/>
          <w:lang w:val="en-US" w:eastAsia="ko-KR"/>
        </w:rPr>
        <w:t xml:space="preserve">Data are presented as mean </w:t>
      </w:r>
      <w:r w:rsidRPr="00F57442">
        <w:rPr>
          <w:rFonts w:eastAsia="Times New Roman" w:cstheme="minorHAnsi"/>
          <w:color w:val="000000" w:themeColor="text1"/>
          <w:kern w:val="2"/>
          <w:sz w:val="24"/>
          <w:szCs w:val="24"/>
          <w:lang w:val="en-US" w:eastAsia="ko-KR"/>
        </w:rPr>
        <w:t xml:space="preserve">± </w:t>
      </w:r>
      <w:r w:rsidRPr="00F57442">
        <w:rPr>
          <w:rFonts w:eastAsia="Times New Roman" w:cstheme="minorHAnsi"/>
          <w:color w:val="000000" w:themeColor="text1"/>
          <w:kern w:val="12"/>
          <w:sz w:val="24"/>
          <w:szCs w:val="24"/>
          <w:lang w:val="en-US" w:eastAsia="ko-KR"/>
        </w:rPr>
        <w:t xml:space="preserve">SD or number (%), unless otherwise stated. </w:t>
      </w:r>
    </w:p>
    <w:p w14:paraId="0418B749" w14:textId="77777777" w:rsidR="00F803E2" w:rsidRPr="00F57442" w:rsidRDefault="00F803E2" w:rsidP="00F803E2">
      <w:pPr>
        <w:spacing w:after="0"/>
        <w:rPr>
          <w:rFonts w:eastAsia="Arial" w:cstheme="minorHAnsi"/>
          <w:lang w:val="en-US"/>
        </w:rPr>
      </w:pPr>
      <w:r w:rsidRPr="00F57442">
        <w:rPr>
          <w:rFonts w:eastAsia="Times New Roman" w:cstheme="minorHAnsi"/>
          <w:color w:val="000000" w:themeColor="text1"/>
          <w:kern w:val="1"/>
          <w:sz w:val="24"/>
          <w:szCs w:val="24"/>
          <w:lang w:val="en-US" w:eastAsia="ko-KR"/>
        </w:rPr>
        <w:t>†</w:t>
      </w:r>
      <w:r w:rsidRPr="00F57442">
        <w:rPr>
          <w:rFonts w:eastAsia="Times New Roman" w:cstheme="minorHAnsi"/>
          <w:color w:val="000000" w:themeColor="text1"/>
          <w:kern w:val="12"/>
          <w:sz w:val="24"/>
          <w:szCs w:val="24"/>
          <w:lang w:val="en-US" w:eastAsia="ko-KR"/>
        </w:rPr>
        <w:t xml:space="preserve"> Dose based on d</w:t>
      </w:r>
      <w:r w:rsidRPr="00F57442">
        <w:rPr>
          <w:rFonts w:eastAsia="Times New Roman" w:cstheme="minorHAnsi"/>
          <w:color w:val="000000" w:themeColor="text1"/>
          <w:kern w:val="2"/>
          <w:sz w:val="24"/>
          <w:szCs w:val="24"/>
          <w:lang w:val="en-US" w:eastAsia="ko-KR"/>
        </w:rPr>
        <w:t xml:space="preserve">examethasone or equivalent drugs. </w:t>
      </w:r>
      <w:r w:rsidRPr="00F57442">
        <w:rPr>
          <w:rFonts w:eastAsia="Arial" w:cstheme="minorHAnsi"/>
          <w:i/>
          <w:iCs/>
          <w:color w:val="000000" w:themeColor="text1"/>
          <w:kern w:val="2"/>
          <w:sz w:val="24"/>
          <w:szCs w:val="24"/>
          <w:lang w:val="en-US" w:eastAsia="ko-KR"/>
        </w:rPr>
        <w:t>Abbreviations</w:t>
      </w:r>
      <w:r w:rsidRPr="00F57442">
        <w:rPr>
          <w:rFonts w:eastAsia="Arial" w:cstheme="minorHAnsi"/>
          <w:color w:val="000000" w:themeColor="text1"/>
          <w:kern w:val="2"/>
          <w:sz w:val="24"/>
          <w:szCs w:val="24"/>
          <w:lang w:val="en-US" w:eastAsia="ko-KR"/>
        </w:rPr>
        <w:t xml:space="preserve">: </w:t>
      </w:r>
      <w:r w:rsidRPr="00F57442">
        <w:rPr>
          <w:rFonts w:eastAsia="Times New Roman" w:cstheme="minorHAnsi"/>
          <w:color w:val="000000" w:themeColor="text1"/>
          <w:kern w:val="2"/>
          <w:sz w:val="24"/>
          <w:szCs w:val="24"/>
          <w:lang w:val="en-US" w:eastAsia="ko-KR"/>
        </w:rPr>
        <w:t>CRRT: continuous renal replacement therapy, ECMO: extracorporeal membrane oxygenation, NMB: Neuromuscular blocker , NO inhalation: nitric oxide inhalation, PBW: predicted body weight, PEEP: positive end expiratory pressure</w:t>
      </w:r>
    </w:p>
    <w:p w14:paraId="2302A382" w14:textId="7550794C" w:rsidR="00F803E2" w:rsidRDefault="00F803E2">
      <w:pPr>
        <w:rPr>
          <w:rFonts w:eastAsia="맑은 고딕" w:cstheme="minorHAnsi"/>
          <w:b/>
          <w:lang w:val="en-US" w:eastAsia="ko-KR"/>
        </w:rPr>
      </w:pPr>
    </w:p>
    <w:p w14:paraId="2B4A4063" w14:textId="5A94DF78" w:rsidR="0092518D" w:rsidRDefault="0092518D">
      <w:pPr>
        <w:rPr>
          <w:rFonts w:eastAsia="맑은 고딕" w:cstheme="minorHAnsi"/>
          <w:b/>
          <w:lang w:val="en-US" w:eastAsia="ko-KR"/>
        </w:rPr>
      </w:pPr>
    </w:p>
    <w:p w14:paraId="1C4DDFB4" w14:textId="77777777" w:rsidR="0092518D" w:rsidRPr="00F57442" w:rsidRDefault="0092518D">
      <w:pPr>
        <w:rPr>
          <w:rFonts w:eastAsia="맑은 고딕" w:cstheme="minorHAnsi"/>
          <w:b/>
          <w:lang w:val="en-US" w:eastAsia="ko-KR"/>
        </w:rPr>
      </w:pPr>
    </w:p>
    <w:p w14:paraId="78B901E0" w14:textId="77777777" w:rsidR="00DD73BE" w:rsidRPr="00F57442" w:rsidRDefault="00DD73BE" w:rsidP="00DD73BE">
      <w:pPr>
        <w:spacing w:after="0" w:line="480" w:lineRule="auto"/>
        <w:rPr>
          <w:rFonts w:ascii="Calibri" w:eastAsia="Arial" w:hAnsi="Calibri" w:cs="Calibri"/>
          <w:b/>
          <w:bCs/>
          <w:color w:val="000000" w:themeColor="text1"/>
          <w:sz w:val="24"/>
          <w:szCs w:val="24"/>
          <w:lang w:val="en-US"/>
        </w:rPr>
      </w:pPr>
      <w:r w:rsidRPr="00F57442">
        <w:rPr>
          <w:rFonts w:ascii="Calibri" w:eastAsia="Arial" w:hAnsi="Calibri" w:cs="Calibri"/>
          <w:b/>
          <w:bCs/>
          <w:color w:val="000000" w:themeColor="text1"/>
          <w:sz w:val="24"/>
          <w:szCs w:val="24"/>
          <w:lang w:val="en-US"/>
        </w:rPr>
        <w:lastRenderedPageBreak/>
        <w:t xml:space="preserve">Figure S1. Fibrotic-like changes detected on computed tomography scans </w:t>
      </w:r>
    </w:p>
    <w:p w14:paraId="6C89E522" w14:textId="77777777" w:rsidR="00DD73BE" w:rsidRPr="00F57442" w:rsidRDefault="00DD73BE" w:rsidP="00DD73BE">
      <w:pPr>
        <w:spacing w:after="0" w:line="480" w:lineRule="auto"/>
        <w:rPr>
          <w:rFonts w:ascii="Calibri" w:eastAsia="Arial" w:hAnsi="Calibri" w:cs="Calibri"/>
          <w:color w:val="000000" w:themeColor="text1"/>
          <w:sz w:val="24"/>
          <w:szCs w:val="24"/>
          <w:lang w:val="en-US"/>
        </w:rPr>
      </w:pPr>
      <w:r w:rsidRPr="0092518D">
        <w:rPr>
          <w:rFonts w:ascii="Calibri" w:eastAsia="Arial" w:hAnsi="Calibri" w:cs="Calibri"/>
          <w:bCs/>
          <w:lang w:val="en-US"/>
        </w:rPr>
        <w:t xml:space="preserve"> </w:t>
      </w:r>
      <w:r w:rsidRPr="00F57442">
        <w:rPr>
          <w:rFonts w:ascii="Calibri" w:eastAsia="Arial" w:hAnsi="Calibri" w:cs="Calibri"/>
          <w:color w:val="000000" w:themeColor="text1"/>
          <w:sz w:val="24"/>
          <w:szCs w:val="24"/>
          <w:lang w:val="en-US"/>
        </w:rPr>
        <w:t>A. Reticulation (red arrows),</w:t>
      </w:r>
      <w:r w:rsidRPr="00F57442">
        <w:rPr>
          <w:rFonts w:ascii="Calibri" w:eastAsia="Arial" w:hAnsi="Calibri" w:cs="Calibri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F57442">
        <w:rPr>
          <w:rFonts w:ascii="Calibri" w:eastAsia="Arial" w:hAnsi="Calibri" w:cs="Calibri"/>
          <w:color w:val="000000" w:themeColor="text1"/>
          <w:sz w:val="24"/>
          <w:szCs w:val="24"/>
          <w:lang w:val="en-US"/>
        </w:rPr>
        <w:t>B. Architectural distortion (white arrows)</w:t>
      </w:r>
      <w:r w:rsidRPr="00F57442">
        <w:rPr>
          <w:rFonts w:ascii="Calibri" w:eastAsia="Times New Roman" w:hAnsi="Calibri" w:cs="Calibri"/>
          <w:color w:val="000000" w:themeColor="text1"/>
          <w:kern w:val="12"/>
          <w:sz w:val="24"/>
          <w:szCs w:val="24"/>
          <w:lang w:val="en-US"/>
        </w:rPr>
        <w:t xml:space="preserve"> </w:t>
      </w:r>
      <w:r w:rsidRPr="00F57442">
        <w:rPr>
          <w:rFonts w:ascii="Calibri" w:eastAsia="Times New Roman" w:hAnsi="Calibri" w:cs="Calibri"/>
          <w:sz w:val="24"/>
          <w:szCs w:val="24"/>
          <w:lang w:val="en-US"/>
        </w:rPr>
        <w:t xml:space="preserve">and/or </w:t>
      </w:r>
      <w:r w:rsidRPr="00F57442">
        <w:rPr>
          <w:rFonts w:ascii="Calibri" w:eastAsia="Arial" w:hAnsi="Calibri" w:cs="Calibri"/>
          <w:color w:val="000000" w:themeColor="text1"/>
          <w:sz w:val="24"/>
          <w:szCs w:val="24"/>
          <w:lang w:val="en-US"/>
        </w:rPr>
        <w:t>parenchymal band (red arrows), C. Traction bronchiectasis (red arrows)</w:t>
      </w:r>
      <w:r w:rsidRPr="00F57442">
        <w:rPr>
          <w:rFonts w:ascii="Calibri" w:eastAsia="Times New Roman" w:hAnsi="Calibri" w:cs="Calibri"/>
          <w:color w:val="000000" w:themeColor="text1"/>
          <w:kern w:val="12"/>
          <w:sz w:val="24"/>
          <w:szCs w:val="24"/>
          <w:lang w:val="en-US"/>
        </w:rPr>
        <w:t xml:space="preserve"> and/or bronchiolectasis, </w:t>
      </w:r>
      <w:r w:rsidRPr="00F57442">
        <w:rPr>
          <w:rFonts w:ascii="Calibri" w:eastAsia="Arial" w:hAnsi="Calibri" w:cs="Calibri"/>
          <w:color w:val="000000" w:themeColor="text1"/>
          <w:sz w:val="24"/>
          <w:szCs w:val="24"/>
          <w:lang w:val="en-US"/>
        </w:rPr>
        <w:t>D. Honeycombing (red arrows)</w:t>
      </w:r>
    </w:p>
    <w:p w14:paraId="012845D0" w14:textId="77777777" w:rsidR="00DD73BE" w:rsidRPr="00F57442" w:rsidRDefault="00DD73BE" w:rsidP="00DD73BE">
      <w:pPr>
        <w:spacing w:after="0" w:line="480" w:lineRule="auto"/>
        <w:rPr>
          <w:rFonts w:ascii="Calibri" w:hAnsi="Calibri" w:cs="Calibri"/>
          <w:lang w:val="en-US"/>
        </w:rPr>
      </w:pPr>
      <w:r w:rsidRPr="00F57442">
        <w:rPr>
          <w:rFonts w:ascii="Calibri" w:eastAsia="Arial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F57442">
        <w:rPr>
          <w:rFonts w:ascii="Calibri" w:eastAsia="Arial" w:hAnsi="Calibri" w:cs="Calibri"/>
          <w:noProof/>
          <w:color w:val="000000" w:themeColor="text1"/>
          <w:sz w:val="24"/>
          <w:szCs w:val="24"/>
          <w:lang w:val="en-US" w:eastAsia="ko-KR"/>
        </w:rPr>
        <w:drawing>
          <wp:inline distT="0" distB="0" distL="0" distR="0" wp14:anchorId="010AE4CE" wp14:editId="19F854B5">
            <wp:extent cx="5734800" cy="4125600"/>
            <wp:effectExtent l="0" t="0" r="0" b="8255"/>
            <wp:docPr id="545963256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63256" name="그림 5459632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800" cy="41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DF02A" w14:textId="77777777" w:rsidR="00F803E2" w:rsidRPr="00F57442" w:rsidRDefault="00F803E2">
      <w:pPr>
        <w:rPr>
          <w:rFonts w:eastAsia="맑은 고딕" w:cstheme="minorHAnsi"/>
          <w:b/>
          <w:lang w:eastAsia="ko-KR"/>
        </w:rPr>
      </w:pPr>
    </w:p>
    <w:sectPr w:rsidR="00F803E2" w:rsidRPr="00F57442" w:rsidSect="00F57442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1C504" w14:textId="77777777" w:rsidR="006C085B" w:rsidRDefault="006C085B" w:rsidP="00B64573">
      <w:pPr>
        <w:spacing w:after="0" w:line="240" w:lineRule="auto"/>
      </w:pPr>
      <w:r>
        <w:separator/>
      </w:r>
    </w:p>
  </w:endnote>
  <w:endnote w:type="continuationSeparator" w:id="0">
    <w:p w14:paraId="35AC3527" w14:textId="77777777" w:rsidR="006C085B" w:rsidRDefault="006C085B" w:rsidP="00B6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4DB6" w14:textId="77777777" w:rsidR="006C085B" w:rsidRDefault="006C085B" w:rsidP="00B64573">
      <w:pPr>
        <w:spacing w:after="0" w:line="240" w:lineRule="auto"/>
      </w:pPr>
      <w:r>
        <w:separator/>
      </w:r>
    </w:p>
  </w:footnote>
  <w:footnote w:type="continuationSeparator" w:id="0">
    <w:p w14:paraId="6E46939D" w14:textId="77777777" w:rsidR="006C085B" w:rsidRDefault="006C085B" w:rsidP="00B64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0D"/>
    <w:rsid w:val="000647CF"/>
    <w:rsid w:val="000C510D"/>
    <w:rsid w:val="00204FBA"/>
    <w:rsid w:val="00344A1D"/>
    <w:rsid w:val="0038043D"/>
    <w:rsid w:val="003D7781"/>
    <w:rsid w:val="00422AFF"/>
    <w:rsid w:val="005B7A02"/>
    <w:rsid w:val="005F0E02"/>
    <w:rsid w:val="00696DF7"/>
    <w:rsid w:val="006B3F63"/>
    <w:rsid w:val="006C085B"/>
    <w:rsid w:val="007101F6"/>
    <w:rsid w:val="00766D78"/>
    <w:rsid w:val="0078479E"/>
    <w:rsid w:val="007913AC"/>
    <w:rsid w:val="0081520F"/>
    <w:rsid w:val="00897720"/>
    <w:rsid w:val="0092518D"/>
    <w:rsid w:val="009647D6"/>
    <w:rsid w:val="0097158C"/>
    <w:rsid w:val="0098123D"/>
    <w:rsid w:val="00B64573"/>
    <w:rsid w:val="00BA65D6"/>
    <w:rsid w:val="00D82676"/>
    <w:rsid w:val="00DD73BE"/>
    <w:rsid w:val="00EC145C"/>
    <w:rsid w:val="00F57442"/>
    <w:rsid w:val="00F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9F219"/>
  <w15:docId w15:val="{1CB9C887-B5C9-4732-B3E6-746B3529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0C510D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3"/>
    <w:uiPriority w:val="99"/>
    <w:semiHidden/>
    <w:rsid w:val="000C510D"/>
    <w:rPr>
      <w:sz w:val="20"/>
      <w:szCs w:val="20"/>
      <w:lang w:val="en-GB"/>
    </w:rPr>
  </w:style>
  <w:style w:type="character" w:styleId="a4">
    <w:name w:val="annotation reference"/>
    <w:basedOn w:val="a0"/>
    <w:uiPriority w:val="99"/>
    <w:semiHidden/>
    <w:unhideWhenUsed/>
    <w:rsid w:val="000C510D"/>
    <w:rPr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0C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0"/>
    <w:link w:val="a5"/>
    <w:uiPriority w:val="99"/>
    <w:semiHidden/>
    <w:rsid w:val="000C510D"/>
    <w:rPr>
      <w:rFonts w:ascii="Tahoma" w:hAnsi="Tahoma" w:cs="Tahoma"/>
      <w:sz w:val="16"/>
      <w:szCs w:val="16"/>
      <w:lang w:val="en-GB"/>
    </w:rPr>
  </w:style>
  <w:style w:type="paragraph" w:styleId="a6">
    <w:name w:val="annotation subject"/>
    <w:basedOn w:val="a3"/>
    <w:next w:val="a3"/>
    <w:link w:val="Char1"/>
    <w:uiPriority w:val="99"/>
    <w:semiHidden/>
    <w:unhideWhenUsed/>
    <w:rsid w:val="000C510D"/>
    <w:rPr>
      <w:b/>
      <w:bCs/>
    </w:rPr>
  </w:style>
  <w:style w:type="character" w:customStyle="1" w:styleId="Char1">
    <w:name w:val="메모 주제 Char"/>
    <w:basedOn w:val="Char"/>
    <w:link w:val="a6"/>
    <w:uiPriority w:val="99"/>
    <w:semiHidden/>
    <w:rsid w:val="000C510D"/>
    <w:rPr>
      <w:b/>
      <w:bCs/>
      <w:sz w:val="20"/>
      <w:szCs w:val="20"/>
      <w:lang w:val="en-GB"/>
    </w:rPr>
  </w:style>
  <w:style w:type="character" w:styleId="a7">
    <w:name w:val="Hyperlink"/>
    <w:basedOn w:val="a0"/>
    <w:uiPriority w:val="99"/>
    <w:unhideWhenUsed/>
    <w:rsid w:val="000C510D"/>
    <w:rPr>
      <w:color w:val="0000FF" w:themeColor="hyperlink"/>
      <w:u w:val="single"/>
    </w:rPr>
  </w:style>
  <w:style w:type="paragraph" w:styleId="a8">
    <w:name w:val="Revision"/>
    <w:hidden/>
    <w:uiPriority w:val="99"/>
    <w:semiHidden/>
    <w:rsid w:val="00B64573"/>
    <w:pPr>
      <w:spacing w:after="0" w:line="240" w:lineRule="auto"/>
    </w:pPr>
    <w:rPr>
      <w:lang w:val="en-GB"/>
    </w:rPr>
  </w:style>
  <w:style w:type="paragraph" w:styleId="a9">
    <w:name w:val="header"/>
    <w:basedOn w:val="a"/>
    <w:link w:val="Char2"/>
    <w:uiPriority w:val="99"/>
    <w:unhideWhenUsed/>
    <w:rsid w:val="00B6457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B64573"/>
    <w:rPr>
      <w:lang w:val="en-GB"/>
    </w:rPr>
  </w:style>
  <w:style w:type="paragraph" w:styleId="aa">
    <w:name w:val="footer"/>
    <w:basedOn w:val="a"/>
    <w:link w:val="Char3"/>
    <w:uiPriority w:val="99"/>
    <w:unhideWhenUsed/>
    <w:rsid w:val="00B6457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B64573"/>
    <w:rPr>
      <w:lang w:val="en-GB"/>
    </w:rPr>
  </w:style>
  <w:style w:type="character" w:styleId="ab">
    <w:name w:val="line number"/>
    <w:basedOn w:val="a0"/>
    <w:uiPriority w:val="99"/>
    <w:semiHidden/>
    <w:unhideWhenUsed/>
    <w:rsid w:val="005F0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admin</cp:lastModifiedBy>
  <cp:revision>2</cp:revision>
  <dcterms:created xsi:type="dcterms:W3CDTF">2024-02-12T02:19:00Z</dcterms:created>
  <dcterms:modified xsi:type="dcterms:W3CDTF">2024-02-12T02:19:00Z</dcterms:modified>
</cp:coreProperties>
</file>