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75109" w14:textId="7ABA6573" w:rsidR="001E043C" w:rsidRDefault="00963BA0" w:rsidP="00AE4DE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Supplementary Note 1: 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SVG identification and evaluation using graph signal processing approach</w:t>
      </w:r>
    </w:p>
    <w:p w14:paraId="2CC483D6" w14:textId="77777777" w:rsidR="009E6D68" w:rsidRPr="00FE47CA" w:rsidRDefault="009E6D68" w:rsidP="00AE4DE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F7C9158" w14:textId="2FE4B387" w:rsidR="001E043C" w:rsidRPr="00FE47CA" w:rsidRDefault="00AE4DEE" w:rsidP="00BE31C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S1 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SVG identification</w:t>
      </w:r>
    </w:p>
    <w:p w14:paraId="24D33C36" w14:textId="73C81E5A" w:rsidR="000868D6" w:rsidRDefault="002D2C5B" w:rsidP="000868D6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E47CA">
        <w:rPr>
          <w:rFonts w:ascii="Arial" w:hAnsi="Arial" w:cs="Arial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46B105C" wp14:editId="3416E84C">
                <wp:simplePos x="0" y="0"/>
                <wp:positionH relativeFrom="margin">
                  <wp:posOffset>-77470</wp:posOffset>
                </wp:positionH>
                <wp:positionV relativeFrom="paragraph">
                  <wp:posOffset>337185</wp:posOffset>
                </wp:positionV>
                <wp:extent cx="6015355" cy="3188335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5355" cy="3188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15274" w14:textId="219D6859" w:rsidR="001E043C" w:rsidRPr="00256163" w:rsidRDefault="003A458F" w:rsidP="002D2C5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noProof/>
                              </w:rPr>
                              <w:object w:dxaOrig="10240" w:dyaOrig="6880" w14:anchorId="5714437E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alt="" style="width:274pt;height:185.5pt;mso-width-percent:0;mso-height-percent:0;mso-width-percent:0;mso-height-percent:0">
                                  <v:imagedata r:id="rId7" o:title=""/>
                                </v:shape>
                                <o:OLEObject Type="Embed" ProgID="Visio.Drawing.15" ShapeID="_x0000_i1025" DrawAspect="Content" ObjectID="_1769256933" r:id="rId8"/>
                              </w:object>
                            </w:r>
                          </w:p>
                          <w:p w14:paraId="22F72F31" w14:textId="40335C60" w:rsidR="001E043C" w:rsidRPr="006711C5" w:rsidRDefault="001E043C" w:rsidP="002D2C5B">
                            <w:pPr>
                              <w:jc w:val="both"/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</w:pPr>
                            <w:r w:rsidRPr="002D2C5B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 w:rsidR="00631F63" w:rsidRPr="002D2C5B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0"/>
                                <w:szCs w:val="20"/>
                              </w:rPr>
                              <w:t>1</w:t>
                            </w:r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. Comparison of the UMAPs obtained using the top </w:t>
                            </w:r>
                            <w:r w:rsidR="0072202A"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>207</w:t>
                            </w:r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 principal components (PCs) (left) and the top </w:t>
                            </w:r>
                            <w:r w:rsidR="0072202A"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>207</w:t>
                            </w:r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 FMs (right) of the Mouse Visium data (HE-coronal, 2702 spots). The principal component analysis (PCA) dimensions were generated directly from the gene-spot expression matrix using PCA analysis in </w:t>
                            </w:r>
                            <w:proofErr w:type="spellStart"/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>Scanpy</w:t>
                            </w:r>
                            <w:proofErr w:type="spellEnd"/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. Red dots indicate the </w:t>
                            </w:r>
                            <w:r w:rsidR="00BE31C8" w:rsidRPr="002D2C5B">
                              <w:rPr>
                                <w:rStyle w:val="normaltextrun"/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  <w:lang w:val="en"/>
                              </w:rPr>
                              <w:t>2,118</w:t>
                            </w:r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711C5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>k-bandlimited signal</w:t>
                            </w:r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>s</w:t>
                            </w:r>
                            <w:r w:rsidR="006711C5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 (i.e., genes)</w:t>
                            </w:r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 identified by SpaGFT using the default settings and the other </w:t>
                            </w:r>
                            <w:r w:rsidR="006711C5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>k-bandlimited signal</w:t>
                            </w:r>
                            <w:r w:rsidR="006711C5"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>s</w:t>
                            </w:r>
                            <w:r w:rsidRPr="002D2C5B">
                              <w:rPr>
                                <w:rFonts w:ascii="Arial" w:hAnsi="Arial" w:cs="Arial"/>
                                <w:color w:val="4472C4" w:themeColor="accent1"/>
                                <w:sz w:val="20"/>
                                <w:szCs w:val="20"/>
                              </w:rPr>
                              <w:t xml:space="preserve"> are represented by the grey color.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6B105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.1pt;margin-top:26.55pt;width:473.65pt;height:251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" filled="f" stroked="f">
                <v:textbox>
                  <w:txbxContent>
                    <w:p w14:paraId="30115274" w14:textId="219D6859" w:rsidR="001E043C" w:rsidRPr="00256163" w:rsidRDefault="003A458F" w:rsidP="002D2C5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noProof/>
                        </w:rPr>
                        <w:object w:dxaOrig="10240" w:dyaOrig="6880" w14:anchorId="5714437E">
                          <v:shape id="_x0000_i1025" type="#_x0000_t75" alt="" style="width:274pt;height:185.5pt;mso-width-percent:0;mso-height-percent:0;mso-width-percent:0;mso-height-percent:0">
                            <v:imagedata r:id="rId7" o:title=""/>
                          </v:shape>
                          <o:OLEObject Type="Embed" ProgID="Visio.Drawing.15" ShapeID="_x0000_i1025" DrawAspect="Content" ObjectID="_1769256933" r:id="rId9"/>
                        </w:object>
                      </w:r>
                    </w:p>
                    <w:p w14:paraId="22F72F31" w14:textId="40335C60" w:rsidR="001E043C" w:rsidRPr="006711C5" w:rsidRDefault="001E043C" w:rsidP="002D2C5B">
                      <w:pPr>
                        <w:jc w:val="both"/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</w:pPr>
                      <w:r w:rsidRPr="002D2C5B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0"/>
                          <w:szCs w:val="20"/>
                        </w:rPr>
                        <w:t xml:space="preserve">Figure </w:t>
                      </w:r>
                      <w:r w:rsidR="00631F63" w:rsidRPr="002D2C5B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0"/>
                          <w:szCs w:val="20"/>
                        </w:rPr>
                        <w:t>1</w:t>
                      </w:r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. Comparison of the UMAPs obtained using the top </w:t>
                      </w:r>
                      <w:r w:rsidR="0072202A"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>207</w:t>
                      </w:r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 principal components (PCs) (left) and the top </w:t>
                      </w:r>
                      <w:r w:rsidR="0072202A"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>207</w:t>
                      </w:r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 FMs (right) of the Mouse Visium data (HE-coronal, 2702 spots). The principal component analysis (PCA) dimensions were generated directly from the gene-spot expression matrix using PCA analysis in </w:t>
                      </w:r>
                      <w:proofErr w:type="spellStart"/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>Scanpy</w:t>
                      </w:r>
                      <w:proofErr w:type="spellEnd"/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. Red dots indicate the </w:t>
                      </w:r>
                      <w:r w:rsidR="00BE31C8" w:rsidRPr="002D2C5B">
                        <w:rPr>
                          <w:rStyle w:val="normaltextrun"/>
                          <w:rFonts w:ascii="Arial" w:hAnsi="Arial" w:cs="Arial"/>
                          <w:color w:val="4472C4" w:themeColor="accent1"/>
                          <w:sz w:val="20"/>
                          <w:szCs w:val="20"/>
                          <w:lang w:val="en"/>
                        </w:rPr>
                        <w:t>2,118</w:t>
                      </w:r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 </w:t>
                      </w:r>
                      <w:r w:rsidR="006711C5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>k-bandlimited signal</w:t>
                      </w:r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>s</w:t>
                      </w:r>
                      <w:r w:rsidR="006711C5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 (i.e., genes)</w:t>
                      </w:r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 identified by SpaGFT using the default settings and the other </w:t>
                      </w:r>
                      <w:r w:rsidR="006711C5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>k-bandlimited signal</w:t>
                      </w:r>
                      <w:r w:rsidR="006711C5"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>s</w:t>
                      </w:r>
                      <w:r w:rsidRPr="002D2C5B">
                        <w:rPr>
                          <w:rFonts w:ascii="Arial" w:hAnsi="Arial" w:cs="Arial"/>
                          <w:color w:val="4472C4" w:themeColor="accent1"/>
                          <w:sz w:val="20"/>
                          <w:szCs w:val="20"/>
                        </w:rPr>
                        <w:t xml:space="preserve"> are represented by the grey color.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E4DEE">
        <w:rPr>
          <w:rFonts w:ascii="Arial" w:hAnsi="Arial" w:cs="Arial"/>
          <w:b/>
          <w:bCs/>
          <w:color w:val="000000" w:themeColor="text1"/>
          <w:sz w:val="22"/>
          <w:szCs w:val="22"/>
        </w:rPr>
        <w:t>S1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.1 Rationale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Graph Fourier transform can transform gene expression value and corresponding spatial patterns into simple but informative features in a new feature space. New features in such a space can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make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SVG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s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and non-SVG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s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more distinguishable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compared to other feature spaces, such as principal components</w:t>
      </w:r>
      <w:r w:rsidR="0072202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02A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(PC)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in the PCA feature space (</w:t>
      </w:r>
      <w:r w:rsidR="001E043C" w:rsidRPr="00256163">
        <w:rPr>
          <w:rFonts w:ascii="Arial" w:hAnsi="Arial" w:cs="Arial"/>
          <w:b/>
          <w:bCs/>
          <w:color w:val="000000" w:themeColor="text1"/>
          <w:sz w:val="22"/>
          <w:szCs w:val="22"/>
        </w:rPr>
        <w:t>Fig</w:t>
      </w:r>
      <w:r w:rsidR="00DF6F6C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1E043C" w:rsidRPr="0025616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631F63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173435D8" w14:textId="77777777" w:rsidR="000868D6" w:rsidRDefault="000868D6" w:rsidP="000868D6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CF89830" w14:textId="1745F734" w:rsidR="00BE31C8" w:rsidRPr="000868D6" w:rsidRDefault="00AE4DEE" w:rsidP="000868D6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1.2 Theoretical foundation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>With the support of the theoretical foundation of graph Fourier transform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PEVuZE5vdGU+PENpdGU+PEF1dGhvcj5TZWdhcnJhPC9BdXRob3I+PFllYXI+MjAxNjwvWWVhcj48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</w:fldData>
        </w:fldChar>
      </w:r>
      <w:r w:rsidR="00AD66BF"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 w:rsidR="00AD66BF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PEVuZE5vdGU+PENpdGU+PEF1dGhvcj5TZWdhcnJhPC9BdXRob3I+PFllYXI+MjAxNjwvWWVhcj48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</w:fldData>
        </w:fldChar>
      </w:r>
      <w:r w:rsidR="00AD66BF"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 w:rsidR="00AD66BF">
        <w:rPr>
          <w:rFonts w:ascii="Arial" w:hAnsi="Arial" w:cs="Arial"/>
          <w:color w:val="000000" w:themeColor="text1"/>
          <w:sz w:val="22"/>
          <w:szCs w:val="22"/>
        </w:rPr>
      </w:r>
      <w:r w:rsidR="00AD66BF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F838E7" w:rsidRPr="00F838E7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1-3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the gene expression (defined as graph signals </w:t>
      </w:r>
      <m:oMath>
        <m:sSub>
          <m:sSubPr>
            <m:ctrlPr>
              <w:rPr>
                <w:rStyle w:val="normaltextrun"/>
                <w:rFonts w:ascii="Cambria Math" w:eastAsia="DengXian" w:hAnsi="Cambria Math" w:cs="Arial"/>
                <w:b/>
                <w:bCs/>
                <w:i/>
                <w:color w:val="000000" w:themeColor="text1"/>
                <w:sz w:val="22"/>
                <w:szCs w:val="22"/>
                <w:lang w:val="en"/>
              </w:rPr>
            </m:ctrlPr>
          </m:sSubPr>
          <m:e>
            <m:r>
              <m:rPr>
                <m:sty m:val="bi"/>
              </m:rPr>
              <w:rPr>
                <w:rStyle w:val="normaltextrun"/>
                <w:rFonts w:ascii="Cambria Math" w:eastAsia="DengXian" w:hAnsi="Cambria Math" w:cs="Arial"/>
                <w:color w:val="000000" w:themeColor="text1"/>
                <w:sz w:val="22"/>
                <w:szCs w:val="22"/>
                <w:lang w:val="en"/>
              </w:rPr>
              <m:t>f</m:t>
            </m:r>
          </m:e>
          <m:sub>
            <m:r>
              <m:rPr>
                <m:sty m:val="bi"/>
              </m:rPr>
              <w:rPr>
                <w:rStyle w:val="normaltextrun"/>
                <w:rFonts w:ascii="Cambria Math" w:eastAsia="DengXian" w:hAnsi="Cambria Math" w:cs="Arial"/>
                <w:color w:val="000000" w:themeColor="text1"/>
                <w:sz w:val="22"/>
                <w:szCs w:val="22"/>
                <w:lang w:val="en"/>
              </w:rPr>
              <m:t>g</m:t>
            </m:r>
          </m:sub>
        </m:sSub>
      </m:oMath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) </w:t>
      </w:r>
      <w:r w:rsidR="00E56D68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can be represented 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in a Fourier space through a linear combination of </w:t>
      </w:r>
      <w:r w:rsidR="00B63D19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>Fourier Modes (</w:t>
      </w:r>
      <w:r w:rsidR="00B63D19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>FM</w:t>
      </w:r>
      <w:r w:rsidR="00B63D19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) </w:t>
      </w:r>
      <m:oMath>
        <m:r>
          <m:rPr>
            <m:sty m:val="bi"/>
          </m:rPr>
          <w:rPr>
            <w:rStyle w:val="normaltextrun"/>
            <w:rFonts w:ascii="Cambria Math" w:eastAsia="DengXian" w:hAnsi="Cambria Math" w:cs="Arial"/>
            <w:color w:val="000000" w:themeColor="text1"/>
            <w:sz w:val="22"/>
            <w:szCs w:val="22"/>
            <w:lang w:val="en"/>
          </w:rPr>
          <m:t>U</m:t>
        </m:r>
      </m:oMath>
      <w:r w:rsidR="00E56D68" w:rsidRPr="00E6167F">
        <w:rPr>
          <w:rStyle w:val="normaltextrun"/>
          <w:rFonts w:ascii="Arial" w:eastAsia="DengXian" w:hAnsi="Arial" w:cs="Arial"/>
          <w:b/>
          <w:bCs/>
          <w:color w:val="000000" w:themeColor="text1"/>
          <w:sz w:val="22"/>
          <w:szCs w:val="22"/>
          <w:lang w:val="en"/>
        </w:rPr>
        <w:t xml:space="preserve"> 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>(</w:t>
      </w:r>
      <w:r w:rsidR="00E56D68" w:rsidRPr="00E6167F">
        <w:rPr>
          <w:rStyle w:val="normaltextrun"/>
          <w:rFonts w:ascii="Arial" w:eastAsia="DengXian" w:hAnsi="Arial" w:cs="Arial"/>
          <w:b/>
          <w:bCs/>
          <w:color w:val="000000" w:themeColor="text1"/>
          <w:sz w:val="22"/>
          <w:szCs w:val="22"/>
          <w:lang w:val="en"/>
        </w:rPr>
        <w:t>Fig. 2</w:t>
      </w:r>
      <w:r w:rsidR="00B63D19">
        <w:rPr>
          <w:rStyle w:val="normaltextrun"/>
          <w:rFonts w:ascii="Arial" w:eastAsia="DengXian" w:hAnsi="Arial" w:cs="Arial"/>
          <w:b/>
          <w:bCs/>
          <w:color w:val="000000" w:themeColor="text1"/>
          <w:sz w:val="22"/>
          <w:szCs w:val="22"/>
          <w:lang w:val="en"/>
        </w:rPr>
        <w:t>a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). The FMs are orthogonal and determined by spatial graph topology in increasing order of </w:t>
      </w:r>
      <w:r w:rsidR="00E56D68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>their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 frequency, with FM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vertAlign w:val="subscript"/>
          <w:lang w:val="en"/>
        </w:rPr>
        <w:t>1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 having the lowest frequency. Intuitively, the </w:t>
      </w:r>
      <w:r w:rsidR="00E56D68" w:rsidRPr="00E6167F">
        <w:rPr>
          <w:rFonts w:ascii="Arial" w:hAnsi="Arial" w:cs="Arial"/>
          <w:color w:val="000000" w:themeColor="text1"/>
          <w:sz w:val="22"/>
          <w:szCs w:val="22"/>
        </w:rPr>
        <w:t xml:space="preserve">expression pattern of an SVG should be </w:t>
      </w:r>
      <w:r w:rsidR="00E56D68">
        <w:rPr>
          <w:rFonts w:ascii="Arial" w:hAnsi="Arial" w:cs="Arial"/>
          <w:color w:val="000000" w:themeColor="text1"/>
          <w:sz w:val="22"/>
          <w:szCs w:val="22"/>
        </w:rPr>
        <w:t>recovered</w:t>
      </w:r>
      <w:r w:rsidR="00E56D68" w:rsidRPr="00E6167F">
        <w:rPr>
          <w:rFonts w:ascii="Arial" w:hAnsi="Arial" w:cs="Arial"/>
          <w:color w:val="000000" w:themeColor="text1"/>
          <w:sz w:val="22"/>
          <w:szCs w:val="22"/>
        </w:rPr>
        <w:t xml:space="preserve"> by a set of </w:t>
      </w:r>
      <w:r w:rsidR="00673897">
        <w:rPr>
          <w:rFonts w:ascii="Arial" w:hAnsi="Arial" w:cs="Arial"/>
          <w:color w:val="000000" w:themeColor="text1"/>
          <w:sz w:val="22"/>
          <w:szCs w:val="22"/>
        </w:rPr>
        <w:t xml:space="preserve">first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k</m:t>
        </m:r>
      </m:oMath>
      <w:r w:rsidR="0067389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56D68" w:rsidRPr="00E6167F">
        <w:rPr>
          <w:rFonts w:ascii="Arial" w:hAnsi="Arial" w:cs="Arial"/>
          <w:color w:val="000000" w:themeColor="text1"/>
          <w:sz w:val="22"/>
          <w:szCs w:val="22"/>
        </w:rPr>
        <w:t>low-frequency FMs, other than high-frequency FMs (</w:t>
      </w:r>
      <w:r w:rsidR="00673897" w:rsidRPr="00E6167F">
        <w:rPr>
          <w:rStyle w:val="normaltextrun"/>
          <w:rFonts w:ascii="Arial" w:eastAsia="DengXian" w:hAnsi="Arial" w:cs="Arial"/>
          <w:b/>
          <w:bCs/>
          <w:color w:val="000000" w:themeColor="text1"/>
          <w:sz w:val="22"/>
          <w:szCs w:val="22"/>
          <w:lang w:val="en"/>
        </w:rPr>
        <w:t>Fig. 2</w:t>
      </w:r>
      <w:r w:rsidR="00673897">
        <w:rPr>
          <w:rStyle w:val="normaltextrun"/>
          <w:rFonts w:ascii="Arial" w:eastAsia="DengXian" w:hAnsi="Arial" w:cs="Arial"/>
          <w:b/>
          <w:bCs/>
          <w:color w:val="000000" w:themeColor="text1"/>
          <w:sz w:val="22"/>
          <w:szCs w:val="22"/>
          <w:lang w:val="en"/>
        </w:rPr>
        <w:t>b</w:t>
      </w:r>
      <w:r w:rsidR="00E56D68" w:rsidRPr="00E6167F">
        <w:rPr>
          <w:rFonts w:ascii="Arial" w:hAnsi="Arial" w:cs="Arial"/>
          <w:color w:val="000000" w:themeColor="text1"/>
          <w:sz w:val="22"/>
          <w:szCs w:val="22"/>
        </w:rPr>
        <w:t>)</w:t>
      </w:r>
      <w:r w:rsidR="00E56D68" w:rsidRPr="00E6167F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. </w:t>
      </w:r>
      <w:r w:rsidR="00E56D68">
        <w:rPr>
          <w:rStyle w:val="normaltextrun"/>
          <w:rFonts w:ascii="Arial" w:eastAsia="DengXian" w:hAnsi="Arial" w:cs="Arial"/>
          <w:color w:val="000000" w:themeColor="text1"/>
          <w:sz w:val="22"/>
          <w:szCs w:val="22"/>
          <w:lang w:val="en"/>
        </w:rPr>
        <w:t xml:space="preserve">Therefore,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SVG can be formulated as an approximate </w:t>
      </w:r>
      <w:r w:rsidR="001E043C" w:rsidRPr="00E86D1B">
        <w:rPr>
          <w:rFonts w:ascii="Arial" w:hAnsi="Arial" w:cs="Arial"/>
          <w:i/>
          <w:iCs/>
          <w:color w:val="000000" w:themeColor="text1"/>
          <w:sz w:val="22"/>
          <w:szCs w:val="22"/>
        </w:rPr>
        <w:t>k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-bandlimited graph signal, which is a smooth signal and can be represented as the linear combination of the first </w:t>
      </w:r>
      <w:r w:rsidR="001E043C" w:rsidRPr="00E86D1B">
        <w:rPr>
          <w:rFonts w:ascii="Arial" w:hAnsi="Arial" w:cs="Arial"/>
          <w:i/>
          <w:iCs/>
          <w:color w:val="000000" w:themeColor="text1"/>
          <w:sz w:val="22"/>
          <w:szCs w:val="22"/>
        </w:rPr>
        <w:t>k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FMs. 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We refer to the method for determining high-variant </w:t>
      </w:r>
      <w:r w:rsidR="0072202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PCs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from PCA analysis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begin"/>
      </w:r>
      <w:r w:rsidR="00AD66BF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instrText xml:space="preserve"> ADDIN EN.CITE &lt;EndNote&gt;&lt;Cite&gt;&lt;Author&gt;Cattell&lt;/Author&gt;&lt;Year&gt;1966&lt;/Year&gt;&lt;RecNum&gt;1863&lt;/RecNum&gt;&lt;DisplayText&gt;&lt;style face="superscript"&gt;4&lt;/style&gt;&lt;/DisplayText&gt;&lt;record&gt;&lt;rec-number&gt;1863&lt;/rec-number&gt;&lt;foreign-keys&gt;&lt;key app="EN" db-id="5xt22p2es2dft0e2sxnv2efi9p00xaa0spfr" timestamp="1662563403" guid="f4a40290-9c17-4f15-bb67-4ae5f8166c85"&gt;1863&lt;/key&gt;&lt;/foreign-keys&gt;&lt;ref-type name="Journal Article"&gt;17&lt;/ref-type&gt;&lt;contributors&gt;&lt;authors&gt;&lt;author&gt;Cattell, Raymond B&lt;/author&gt;&lt;/authors&gt;&lt;/contributors&gt;&lt;titles&gt;&lt;title&gt;The scree test for the number of factors&lt;/title&gt;&lt;secondary-title&gt;Multivariate behavioral research&lt;/secondary-title&gt;&lt;/titles&gt;&lt;periodical&gt;&lt;full-title&gt;Multivariate behavioral research&lt;/full-title&gt;&lt;/periodical&gt;&lt;pages&gt;245-276&lt;/pages&gt;&lt;volume&gt;1&lt;/volume&gt;&lt;number&gt;2&lt;/number&gt;&lt;dates&gt;&lt;year&gt;1966&lt;/year&gt;&lt;/dates&gt;&lt;isbn&gt;0027-3171&lt;/isbn&gt;&lt;urls&gt;&lt;/urls&gt;&lt;/record&gt;&lt;/Cite&gt;&lt;/EndNote&gt;</w:instrTex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separate"/>
      </w:r>
      <w:r w:rsidR="00673897" w:rsidRPr="00673897">
        <w:rPr>
          <w:rFonts w:ascii="Arial" w:eastAsia="Times New Roman" w:hAnsi="Arial" w:cs="Arial"/>
          <w:noProof/>
          <w:color w:val="000000" w:themeColor="text1"/>
          <w:sz w:val="22"/>
          <w:szCs w:val="22"/>
          <w:shd w:val="clear" w:color="auto" w:fill="FFFFFF"/>
          <w:vertAlign w:val="superscript"/>
        </w:rPr>
        <w:t>4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end"/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. The determination of low-frequency and high-frequency FMs can be achieved by finding the inflection point based on the eigenvalue of the Laplacian matrix</w:t>
      </w:r>
      <w:r w:rsidR="005E4155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using Kneedle Algorithm</w:t>
      </w:r>
      <w:r w:rsidR="005E4155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begin"/>
      </w:r>
      <w:r w:rsidR="00AD66BF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instrText xml:space="preserve"> ADDIN EN.CITE &lt;EndNote&gt;&lt;Cite&gt;&lt;Author&gt;Satopaa&lt;/Author&gt;&lt;Year&gt;2011&lt;/Year&gt;&lt;RecNum&gt;2208&lt;/RecNum&gt;&lt;DisplayText&gt;&lt;style face="superscript"&gt;5&lt;/style&gt;&lt;/DisplayText&gt;&lt;record&gt;&lt;rec-number&gt;2208&lt;/rec-number&gt;&lt;foreign-keys&gt;&lt;key app="EN" db-id="5xt22p2es2dft0e2sxnv2efi9p00xaa0spfr" timestamp="1699759046" guid="3e666c5b-2b48-413c-9ee5-336648c1a2f2"&gt;2208&lt;/key&gt;&lt;/foreign-keys&gt;&lt;ref-type name="Conference Proceedings"&gt;10&lt;/ref-type&gt;&lt;contributors&gt;&lt;authors&gt;&lt;author&gt;Satopaa, Ville&lt;/author&gt;&lt;author&gt;Albrecht, Jeannie&lt;/author&gt;&lt;author&gt;Irwin, David&lt;/author&gt;&lt;author&gt;Raghavan, Barath&lt;/author&gt;&lt;/authors&gt;&lt;/contributors&gt;&lt;titles&gt;&lt;title&gt;Finding a&amp;quot; kneedle&amp;quot; in a haystack: Detecting knee points in system behavior&lt;/title&gt;&lt;secondary-title&gt;2011 31st international conference on distributed computing systems workshops&lt;/secondary-title&gt;&lt;/titles&gt;&lt;pages&gt;166-171&lt;/pages&gt;&lt;dates&gt;&lt;year&gt;2011&lt;/year&gt;&lt;/dates&gt;&lt;publisher&gt;IEEE&lt;/publisher&gt;&lt;isbn&gt;145770384X&lt;/isbn&gt;&lt;urls&gt;&lt;/urls&gt;&lt;/record&gt;&lt;/Cite&gt;&lt;/EndNote&gt;</w:instrText>
      </w:r>
      <w:r w:rsidR="005E4155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separate"/>
      </w:r>
      <w:r w:rsidR="005E4155" w:rsidRPr="005E4155">
        <w:rPr>
          <w:rFonts w:ascii="Arial" w:eastAsia="Times New Roman" w:hAnsi="Arial" w:cs="Arial"/>
          <w:noProof/>
          <w:color w:val="000000" w:themeColor="text1"/>
          <w:sz w:val="22"/>
          <w:szCs w:val="22"/>
          <w:shd w:val="clear" w:color="auto" w:fill="FFFFFF"/>
          <w:vertAlign w:val="superscript"/>
        </w:rPr>
        <w:t>5</w:t>
      </w:r>
      <w:r w:rsidR="005E4155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end"/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(</w:t>
      </w:r>
      <w:r w:rsidR="00673897" w:rsidRPr="00E6167F">
        <w:rPr>
          <w:rStyle w:val="normaltextrun"/>
          <w:rFonts w:ascii="Arial" w:eastAsia="DengXian" w:hAnsi="Arial" w:cs="Arial"/>
          <w:b/>
          <w:bCs/>
          <w:color w:val="000000" w:themeColor="text1"/>
          <w:sz w:val="22"/>
          <w:szCs w:val="22"/>
          <w:lang w:val="en"/>
        </w:rPr>
        <w:t>Fig. 2</w:t>
      </w:r>
      <w:r w:rsidR="00673897">
        <w:rPr>
          <w:rStyle w:val="normaltextrun"/>
          <w:rFonts w:ascii="Arial" w:eastAsia="DengXian" w:hAnsi="Arial" w:cs="Arial"/>
          <w:b/>
          <w:bCs/>
          <w:color w:val="000000" w:themeColor="text1"/>
          <w:sz w:val="22"/>
          <w:szCs w:val="22"/>
          <w:lang w:val="en"/>
        </w:rPr>
        <w:t>c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).</w:t>
      </w:r>
      <w:r w:rsidR="00BE31C8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Meanwhile, t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>he</w:t>
      </w:r>
      <w:r w:rsidR="001E043C" w:rsidRPr="00D5601E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contribution of FMs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to SVG expression pattern</w:t>
      </w:r>
      <w:r w:rsidR="004C357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s</w:t>
      </w:r>
      <w:r w:rsidR="001E043C" w:rsidRPr="00D5601E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can be measured by the</w:t>
      </w:r>
      <w:r w:rsidR="001E043C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corresponding</w:t>
      </w:r>
      <w:r w:rsidR="001E043C" w:rsidRPr="00D5601E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Fourier coefficients (FC</w:t>
      </w:r>
      <w:r w:rsidR="001E043C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s</w:t>
      </w:r>
      <w:r w:rsidR="001E043C" w:rsidRPr="00D5601E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). 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If a gene is an SVG, the low-frequency FCs usually have a larger value </w:t>
      </w:r>
      <w:r w:rsidR="009E6D68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than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high-frequency FC. </w:t>
      </w:r>
      <w:r w:rsidR="001E043C" w:rsidRPr="00D5601E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Herein, SVG identification can be converted to the recognition of the </w:t>
      </w:r>
      <w:r w:rsidR="001E043C" w:rsidRPr="00DB337A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shd w:val="clear" w:color="auto" w:fill="FFFFFF"/>
        </w:rPr>
        <w:t>k</w:t>
      </w:r>
      <w:r w:rsidR="001E043C" w:rsidRPr="00D5601E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-bandlimited signal problem.</w:t>
      </w:r>
    </w:p>
    <w:p w14:paraId="422E8EA6" w14:textId="03805B09" w:rsidR="001E043C" w:rsidRPr="00BE31C8" w:rsidRDefault="001E043C" w:rsidP="00BE31C8">
      <w:pPr>
        <w:pStyle w:val="ListParagraph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F235039" w14:textId="40275F36" w:rsidR="001E043C" w:rsidRPr="00D5601E" w:rsidRDefault="00AE4DEE" w:rsidP="00BE31C8">
      <w:pPr>
        <w:pStyle w:val="ListParagraph"/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1.3 Computational formulation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Given a graph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G=</m:t>
        </m:r>
        <m:d>
          <m:d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V,E</m:t>
            </m:r>
          </m:e>
        </m:d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, where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V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is the node set with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V</m:t>
            </m:r>
          </m:e>
        </m:d>
        <m:r>
          <w:rPr>
            <w:rFonts w:ascii="Cambria Math" w:hAnsi="Cambria Math" w:cs="Arial"/>
            <w:color w:val="000000" w:themeColor="text1"/>
            <w:sz w:val="22"/>
            <w:szCs w:val="22"/>
          </w:rPr>
          <m:t>=n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n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is the number of spots, and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E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is the edge set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>added based on the Euclidean distance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, let </w:t>
      </w:r>
      <m:oMath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μ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1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μ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2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</w:rPr>
          <m:t>,…,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μ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k</m:t>
            </m:r>
          </m:sub>
        </m:sSub>
        <m:r>
          <w:rPr>
            <w:rFonts w:ascii="Cambria Math" w:hAnsi="Cambria Math" w:cs="Arial" w:hint="eastAsia"/>
            <w:color w:val="000000" w:themeColor="text1"/>
            <w:sz w:val="22"/>
            <w:szCs w:val="22"/>
          </w:rPr>
          <m:t>∈</m:t>
        </m:r>
        <m:sSup>
          <m:sSup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R</m:t>
            </m:r>
          </m:e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n</m:t>
            </m:r>
          </m:sup>
        </m:sSup>
        <m:r>
          <w:rPr>
            <w:rFonts w:ascii="Cambria Math" w:hAnsi="Cambria Math" w:cs="Arial"/>
            <w:color w:val="000000" w:themeColor="text1"/>
            <w:sz w:val="22"/>
            <w:szCs w:val="22"/>
          </w:rPr>
          <m:t xml:space="preserve"> 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be the first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k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low-frequency FMs. For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 xml:space="preserve"> the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expression values of a gene on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n</m:t>
        </m:r>
      </m:oMath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 spots</w:t>
      </w:r>
      <w:r w:rsidR="005347A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m:oMath>
        <m:r>
          <m:rPr>
            <m:sty m:val="bi"/>
          </m:rPr>
          <w:rPr>
            <w:rFonts w:ascii="Cambria Math" w:hAnsi="Cambria Math" w:cs="Arial"/>
            <w:color w:val="000000" w:themeColor="text1"/>
            <w:sz w:val="22"/>
            <w:szCs w:val="22"/>
          </w:rPr>
          <m:t>f</m:t>
        </m:r>
        <m:r>
          <w:rPr>
            <w:rFonts w:ascii="Cambria Math" w:hAnsi="Cambria Math" w:cs="Arial" w:hint="eastAsia"/>
            <w:color w:val="000000" w:themeColor="text1"/>
            <w:sz w:val="22"/>
            <w:szCs w:val="22"/>
          </w:rPr>
          <m:t>∈</m:t>
        </m:r>
        <m:sSup>
          <m:sSup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R</m:t>
            </m:r>
          </m:e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n</m:t>
            </m:r>
          </m:sup>
        </m:sSup>
        <m:r>
          <w:rPr>
            <w:rFonts w:ascii="Cambria Math" w:hAnsi="Cambria Math" w:cs="Arial"/>
            <w:color w:val="000000" w:themeColor="text1"/>
            <w:sz w:val="22"/>
            <w:szCs w:val="22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</w:rPr>
                  <m:t>f</m:t>
                </m:r>
              </m:e>
            </m:acc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i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</w:rPr>
          <m:t>=</m:t>
        </m:r>
        <m:d>
          <m:dPr>
            <m:begChr m:val="⟨"/>
            <m:endChr m:val=""/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</w:rPr>
                  <m:t>μ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,</m:t>
            </m:r>
          </m:e>
        </m:d>
        <m:d>
          <m:dPr>
            <m:begChr m:val=""/>
            <m:endChr m:val="⟩"/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f</m:t>
            </m:r>
          </m:e>
        </m:d>
        <m:r>
          <w:rPr>
            <w:rFonts w:ascii="Cambria Math" w:hAnsi="Cambria Math" w:cs="Arial"/>
            <w:color w:val="000000" w:themeColor="text1"/>
            <w:sz w:val="22"/>
            <w:szCs w:val="22"/>
          </w:rPr>
          <m:t xml:space="preserve">  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is the graph </w:t>
      </w:r>
      <w:r w:rsidR="00BE31C8">
        <w:rPr>
          <w:rFonts w:ascii="Arial" w:hAnsi="Arial" w:cs="Arial"/>
          <w:color w:val="000000" w:themeColor="text1"/>
          <w:sz w:val="22"/>
          <w:szCs w:val="22"/>
        </w:rPr>
        <w:t>FC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to describe the contribution of </w:t>
      </w:r>
      <m:oMath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μ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i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to recover </w:t>
      </w:r>
      <m:oMath>
        <m:r>
          <m:rPr>
            <m:sty m:val="bi"/>
          </m:rPr>
          <w:rPr>
            <w:rFonts w:ascii="Cambria Math" w:hAnsi="Cambria Math" w:cs="Arial"/>
            <w:color w:val="000000" w:themeColor="text1"/>
            <w:sz w:val="22"/>
            <w:szCs w:val="22"/>
          </w:rPr>
          <m:t>f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, where </w:t>
      </w:r>
      <m:oMath>
        <m:d>
          <m:dPr>
            <m:begChr m:val="⟨"/>
            <m:endChr m:val=""/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  <w:sym w:font="Wingdings 2" w:char="F095"/>
            </m:r>
          </m:e>
        </m:d>
        <m:r>
          <w:rPr>
            <w:rFonts w:ascii="Cambria Math" w:hAnsi="Cambria Math" w:cs="Arial"/>
            <w:color w:val="000000" w:themeColor="text1"/>
            <w:sz w:val="22"/>
            <w:szCs w:val="22"/>
          </w:rPr>
          <m:t>,</m:t>
        </m:r>
        <m:d>
          <m:dPr>
            <m:begChr m:val=""/>
            <m:endChr m:val="⟩"/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  <w:sym w:font="Wingdings 2" w:char="F095"/>
            </m:r>
          </m:e>
        </m:d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represents the dot product and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i=1, 2, …, k.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For a fixed error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ε&gt;0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, a gene will be considered as an SVG if the corresponding </w:t>
      </w:r>
      <m:oMath>
        <m:r>
          <m:rPr>
            <m:sty m:val="bi"/>
          </m:rPr>
          <w:rPr>
            <w:rFonts w:ascii="Cambria Math" w:hAnsi="Cambria Math" w:cs="Arial"/>
            <w:color w:val="000000" w:themeColor="text1"/>
            <w:sz w:val="22"/>
            <w:szCs w:val="22"/>
          </w:rPr>
          <m:t>f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satisfies </w:t>
      </w:r>
      <m:oMath>
        <m:d>
          <m:dPr>
            <m:begChr m:val="‖"/>
            <m:endChr m:val="‖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f</m:t>
            </m:r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-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</w:rPr>
                </m:ctrlPr>
              </m:naryPr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</w:rPr>
                  <m:t>k</m:t>
                </m:r>
              </m:sup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  <w:sz w:val="22"/>
                        <w:szCs w:val="22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  <w:sz w:val="22"/>
                            <w:szCs w:val="22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Arial"/>
                            <w:color w:val="000000" w:themeColor="text1"/>
                            <w:sz w:val="22"/>
                            <w:szCs w:val="22"/>
                          </w:rPr>
                          <m:t>f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</w:rPr>
                      <m:t>i</m:t>
                    </m:r>
                  </m:sub>
                </m:sSub>
              </m:e>
            </m:nary>
          </m:e>
        </m:d>
        <m:r>
          <w:rPr>
            <w:rFonts w:ascii="Cambria Math" w:hAnsi="Cambria Math" w:cs="Arial"/>
            <w:color w:val="000000" w:themeColor="text1"/>
            <w:sz w:val="22"/>
            <w:szCs w:val="22"/>
          </w:rPr>
          <m:t>&lt;ε.</m:t>
        </m:r>
      </m:oMath>
    </w:p>
    <w:p w14:paraId="58C94CFC" w14:textId="1496B046" w:rsidR="001E043C" w:rsidRPr="00FE47CA" w:rsidRDefault="001E043C" w:rsidP="00BE31C8">
      <w:pPr>
        <w:pStyle w:val="ListParagraph"/>
        <w:ind w:left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DAA0C3D" w14:textId="1E5207A7" w:rsidR="000868D6" w:rsidRDefault="00645613">
      <w:pPr>
        <w:spacing w:after="160" w:line="259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602CE287" wp14:editId="003F8929">
            <wp:extent cx="5939790" cy="5318125"/>
            <wp:effectExtent l="0" t="0" r="3810" b="0"/>
            <wp:docPr id="1936408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31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02035" w14:textId="36BDAC74" w:rsidR="005E4155" w:rsidRDefault="000E0399" w:rsidP="00645613">
      <w:pPr>
        <w:jc w:val="both"/>
        <w:rPr>
          <w:rStyle w:val="normaltextrun"/>
          <w:rFonts w:ascii="Arial" w:hAnsi="Arial" w:cs="Arial"/>
          <w:b/>
          <w:bCs/>
          <w:color w:val="4472C4" w:themeColor="accent1"/>
          <w:sz w:val="20"/>
          <w:szCs w:val="20"/>
          <w:lang w:val="en"/>
        </w:rPr>
      </w:pPr>
      <w:r w:rsidRPr="005E4155">
        <w:rPr>
          <w:rFonts w:ascii="Arial" w:hAnsi="Arial" w:cs="Arial"/>
          <w:b/>
          <w:bCs/>
          <w:color w:val="4472C4" w:themeColor="accent1"/>
          <w:sz w:val="22"/>
          <w:szCs w:val="22"/>
        </w:rPr>
        <w:t xml:space="preserve">Figure </w:t>
      </w:r>
      <w:r w:rsidR="00631F63" w:rsidRPr="005E4155">
        <w:rPr>
          <w:rFonts w:ascii="Arial" w:hAnsi="Arial" w:cs="Arial"/>
          <w:b/>
          <w:bCs/>
          <w:color w:val="4472C4" w:themeColor="accent1"/>
          <w:sz w:val="22"/>
          <w:szCs w:val="22"/>
        </w:rPr>
        <w:t>2</w:t>
      </w:r>
      <w:r w:rsidR="005E4155" w:rsidRPr="005E4155">
        <w:rPr>
          <w:rStyle w:val="normaltextrun"/>
          <w:rFonts w:ascii="Arial" w:hAnsi="Arial" w:cs="Arial"/>
          <w:b/>
          <w:bCs/>
          <w:color w:val="4472C4" w:themeColor="accent1"/>
          <w:sz w:val="20"/>
          <w:szCs w:val="20"/>
          <w:lang w:val="en"/>
        </w:rPr>
        <w:t>. a</w:t>
      </w:r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. Workflow of FM identification. Spot graph is constructed by KNN, where </w:t>
      </w:r>
      <m:oMath>
        <m:r>
          <w:rPr>
            <w:rStyle w:val="normaltextrun"/>
            <w:rFonts w:ascii="Cambria Math" w:hAnsi="Cambria Math" w:cs="Arial"/>
            <w:color w:val="4472C4" w:themeColor="accent1"/>
            <w:sz w:val="20"/>
            <w:szCs w:val="20"/>
            <w:lang w:val="en"/>
          </w:rPr>
          <m:t>K</m:t>
        </m:r>
      </m:oMath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 is equal to the number of </w:t>
      </w:r>
      <w:proofErr w:type="gramStart"/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>spot</w:t>
      </w:r>
      <w:proofErr w:type="gramEnd"/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 </w:t>
      </w:r>
      <m:oMath>
        <m:r>
          <w:rPr>
            <w:rStyle w:val="normaltextrun"/>
            <w:rFonts w:ascii="Cambria Math" w:hAnsi="Cambria Math" w:cs="Arial"/>
            <w:color w:val="4472C4" w:themeColor="accent1"/>
            <w:sz w:val="20"/>
            <w:szCs w:val="20"/>
            <w:lang w:val="en"/>
          </w:rPr>
          <m:t>n</m:t>
        </m:r>
      </m:oMath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. The degree and adjacency matrix </w:t>
      </w:r>
      <w:r w:rsidR="00C25D6A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>are</w:t>
      </w:r>
      <w:r w:rsidR="00C25D6A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 </w:t>
      </w:r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generated, then the Laplacian matrix can be calculated by subtracting the degree matrix and adjacency matrix. Through decomposing the Laplacian matrix, eigenvalue and eigenvector are obtained, where eigenvectors are the FMs. </w:t>
      </w:r>
      <w:r w:rsidR="005E4155" w:rsidRPr="005E4155">
        <w:rPr>
          <w:rStyle w:val="normaltextrun"/>
          <w:rFonts w:ascii="Arial" w:hAnsi="Arial" w:cs="Arial"/>
          <w:b/>
          <w:bCs/>
          <w:color w:val="4472C4" w:themeColor="accent1"/>
          <w:sz w:val="20"/>
          <w:szCs w:val="20"/>
          <w:lang w:val="en"/>
        </w:rPr>
        <w:t>b.</w:t>
      </w:r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 Visualizations of FM patterns in the different frequency domains of the Visium 151673 dataset, where LFM means low-frequency FM and HFM means high-frequency FM.</w:t>
      </w:r>
      <w:r w:rsidR="005E4155" w:rsidRPr="00E6167F">
        <w:rPr>
          <w:rFonts w:ascii="Arial" w:hAnsi="Arial" w:cs="Arial"/>
          <w:color w:val="000000" w:themeColor="text1"/>
        </w:rPr>
        <w:t xml:space="preserve"> </w:t>
      </w:r>
      <w:r w:rsidR="005E4155" w:rsidRPr="005E4155">
        <w:rPr>
          <w:rStyle w:val="normaltextrun"/>
          <w:rFonts w:ascii="Arial" w:hAnsi="Arial" w:cs="Arial"/>
          <w:b/>
          <w:bCs/>
          <w:color w:val="4472C4" w:themeColor="accent1"/>
          <w:sz w:val="20"/>
          <w:szCs w:val="20"/>
          <w:lang w:val="en"/>
        </w:rPr>
        <w:t>c</w:t>
      </w:r>
      <w:r w:rsidR="005E4155" w:rsidRPr="005E4155">
        <w:rPr>
          <w:rStyle w:val="normaltextrun"/>
          <w:rFonts w:ascii="Arial" w:hAnsi="Arial" w:cs="Arial"/>
          <w:color w:val="4472C4" w:themeColor="accent1"/>
          <w:sz w:val="20"/>
          <w:szCs w:val="20"/>
          <w:lang w:val="en"/>
        </w:rPr>
        <w:t xml:space="preserve">. The screen plot shows the rank of the eigenvalue (the x-axis) and corresponding values (the y-axis). The low-frequency FM can be determined by the first inflection point, and the high-frequency FM can be determined by the second inflection point. </w:t>
      </w:r>
    </w:p>
    <w:p w14:paraId="0225D3EB" w14:textId="77777777" w:rsidR="00645613" w:rsidRDefault="00645613" w:rsidP="00645613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D609974" w14:textId="47C8F223" w:rsidR="005E4155" w:rsidRDefault="00AE4DEE" w:rsidP="005E4155">
      <w:pPr>
        <w:spacing w:line="259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2 SVG evaluation I: GFTscore</w:t>
      </w:r>
    </w:p>
    <w:p w14:paraId="06460488" w14:textId="14F2B108" w:rsidR="001E043C" w:rsidRPr="00D5601E" w:rsidRDefault="00AE4DEE" w:rsidP="00687B0C">
      <w:pPr>
        <w:spacing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2.1 Rationale of GFTscore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D5601E">
        <w:rPr>
          <w:rFonts w:ascii="Arial" w:hAnsi="Arial" w:cs="Arial"/>
          <w:sz w:val="22"/>
          <w:szCs w:val="22"/>
        </w:rPr>
        <w:t xml:space="preserve">Although we formulate the identification of SVG as the recognition of the </w:t>
      </w:r>
      <w:r w:rsidR="001E043C" w:rsidRPr="00DB337A">
        <w:rPr>
          <w:rFonts w:ascii="Arial" w:hAnsi="Arial" w:cs="Arial"/>
          <w:i/>
          <w:iCs/>
          <w:sz w:val="22"/>
          <w:szCs w:val="22"/>
        </w:rPr>
        <w:t>k</w:t>
      </w:r>
      <w:r w:rsidR="001E043C" w:rsidRPr="00D5601E">
        <w:rPr>
          <w:rFonts w:ascii="Arial" w:hAnsi="Arial" w:cs="Arial"/>
          <w:sz w:val="22"/>
          <w:szCs w:val="22"/>
        </w:rPr>
        <w:t>-bandlimited graph signal problem, c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haracterizing the </w:t>
      </w:r>
      <w:r w:rsidR="001E043C" w:rsidRPr="00DB337A">
        <w:rPr>
          <w:rFonts w:ascii="Arial" w:hAnsi="Arial" w:cs="Arial"/>
          <w:i/>
          <w:iCs/>
          <w:color w:val="000000" w:themeColor="text1"/>
          <w:sz w:val="22"/>
          <w:szCs w:val="22"/>
        </w:rPr>
        <w:t>k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FMs for </w:t>
      </w:r>
      <w:r w:rsidR="001E043C" w:rsidRPr="00DB337A">
        <w:rPr>
          <w:rFonts w:ascii="Arial" w:hAnsi="Arial" w:cs="Arial"/>
          <w:i/>
          <w:iCs/>
          <w:color w:val="000000" w:themeColor="text1"/>
          <w:sz w:val="22"/>
          <w:szCs w:val="22"/>
        </w:rPr>
        <w:t>k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-bandlimited graph signals is challenging. Therefore, we plan to design the </w:t>
      </w:r>
      <w:proofErr w:type="spellStart"/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>GFTscore</w:t>
      </w:r>
      <w:proofErr w:type="spellEnd"/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to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represent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the contribution of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lastRenderedPageBreak/>
        <w:t xml:space="preserve">first </w:t>
      </w:r>
      <w:r w:rsidR="001E043C" w:rsidRPr="00DB337A">
        <w:rPr>
          <w:rFonts w:ascii="Arial" w:hAnsi="Arial" w:cs="Arial"/>
          <w:i/>
          <w:iCs/>
          <w:color w:val="000000" w:themeColor="text1"/>
          <w:sz w:val="22"/>
          <w:szCs w:val="22"/>
        </w:rPr>
        <w:t>k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 FMs to the gene expression pattern. We expect a gene with a high GFTscore tends to be an SVG, and a gene with a low GFTscore tends to be a non-SVG. </w:t>
      </w:r>
    </w:p>
    <w:p w14:paraId="47287746" w14:textId="77777777" w:rsidR="001E043C" w:rsidRPr="00FE47CA" w:rsidRDefault="001E043C" w:rsidP="00BE31C8">
      <w:pPr>
        <w:autoSpaceDE w:val="0"/>
        <w:autoSpaceDN w:val="0"/>
        <w:adjustRightInd w:val="0"/>
        <w:ind w:hanging="9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6749629" w14:textId="5F8E4A1B" w:rsidR="001E043C" w:rsidRDefault="00AE4DEE" w:rsidP="00BE31C8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2.2 Theoretical foundation of GFTscore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>T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he contribution of FMs can be measured by the FC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begin"/>
      </w:r>
      <w:r w:rsidR="00AD66BF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instrText xml:space="preserve"> ADDIN EN.CITE &lt;EndNote&gt;&lt;Cite&gt;&lt;Author&gt;Puy&lt;/Author&gt;&lt;Year&gt;2018&lt;/Year&gt;&lt;RecNum&gt;1862&lt;/RecNum&gt;&lt;DisplayText&gt;&lt;style face="superscript"&gt;6&lt;/style&gt;&lt;/DisplayText&gt;&lt;record&gt;&lt;rec-number&gt;1862&lt;/rec-number&gt;&lt;foreign-keys&gt;&lt;key app="EN" db-id="5xt22p2es2dft0e2sxnv2efi9p00xaa0spfr" timestamp="1662552146" guid="e07e9a7c-bf99-4551-bb9d-5e5fe94aa530"&gt;1862&lt;/key&gt;&lt;/foreign-keys&gt;&lt;ref-type name="Journal Article"&gt;17&lt;/ref-type&gt;&lt;contributors&gt;&lt;authors&gt;&lt;author&gt;Puy, Gilles&lt;/author&gt;&lt;author&gt;Tremblay, Nicolas&lt;/author&gt;&lt;author&gt;Gribonval, Rémi&lt;/author&gt;&lt;author&gt;Vandergheynst, Pierre&lt;/author&gt;&lt;/authors&gt;&lt;/contributors&gt;&lt;titles&gt;&lt;title&gt;Random sampling of bandlimited signals on graphs&lt;/title&gt;&lt;secondary-title&gt;Applied and Computational Harmonic Analysis&lt;/secondary-title&gt;&lt;/titles&gt;&lt;periodical&gt;&lt;full-title&gt;Applied and Computational Harmonic Analysis&lt;/full-title&gt;&lt;/periodical&gt;&lt;pages&gt;446-475&lt;/pages&gt;&lt;volume&gt;44&lt;/volume&gt;&lt;number&gt;2&lt;/number&gt;&lt;dates&gt;&lt;year&gt;2018&lt;/year&gt;&lt;/dates&gt;&lt;isbn&gt;1063-5203&lt;/isbn&gt;&lt;urls&gt;&lt;/urls&gt;&lt;/record&gt;&lt;/Cite&gt;&lt;/EndNote&gt;</w:instrTex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separate"/>
      </w:r>
      <w:r w:rsidR="005E4155" w:rsidRPr="005E4155">
        <w:rPr>
          <w:rFonts w:ascii="Arial" w:eastAsia="Times New Roman" w:hAnsi="Arial" w:cs="Arial"/>
          <w:noProof/>
          <w:color w:val="000000" w:themeColor="text1"/>
          <w:sz w:val="22"/>
          <w:szCs w:val="22"/>
          <w:shd w:val="clear" w:color="auto" w:fill="FFFFFF"/>
          <w:vertAlign w:val="superscript"/>
        </w:rPr>
        <w:t>6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fldChar w:fldCharType="end"/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, which </w:t>
      </w:r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ranges from </w:t>
      </w:r>
      <m:oMath>
        <m:r>
          <w:rPr>
            <w:rFonts w:ascii="Cambria Math" w:eastAsia="Times New Roman" w:hAnsi="Cambria Math" w:cs="Arial"/>
            <w:color w:val="000000" w:themeColor="text1"/>
            <w:sz w:val="22"/>
            <w:szCs w:val="22"/>
            <w:shd w:val="clear" w:color="auto" w:fill="FFFFFF"/>
          </w:rPr>
          <m:t>(-∞,+∞)</m:t>
        </m:r>
      </m:oMath>
      <w:r w:rsidR="001E043C" w:rsidRPr="00FE47C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. To make FC comparable among different genes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, FC </w:t>
      </w:r>
      <w:r w:rsidR="005225BD">
        <w:rPr>
          <w:rFonts w:ascii="Arial" w:hAnsi="Arial" w:cs="Arial"/>
          <w:color w:val="000000" w:themeColor="text1"/>
          <w:sz w:val="22"/>
          <w:szCs w:val="22"/>
        </w:rPr>
        <w:t>will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 be normalized to [0,1]. Furthermore, as GFTscore aims to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enhance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 the low-frequency FM contribution across all FMs, we refer to the low pass filter processing approach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="00AD66BF">
        <w:rPr>
          <w:rFonts w:ascii="Arial" w:hAnsi="Arial" w:cs="Arial"/>
          <w:color w:val="000000" w:themeColor="text1"/>
          <w:sz w:val="22"/>
          <w:szCs w:val="22"/>
        </w:rPr>
        <w:instrText xml:space="preserve"> ADDIN EN.CITE &lt;EndNote&gt;&lt;Cite&gt;&lt;Author&gt;Ricaud&lt;/Author&gt;&lt;Year&gt;2019&lt;/Year&gt;&lt;RecNum&gt;1573&lt;/RecNum&gt;&lt;DisplayText&gt;&lt;style face="superscript"&gt;3&lt;/style&gt;&lt;/DisplayText&gt;&lt;record&gt;&lt;rec-number&gt;1573&lt;/rec-number&gt;&lt;foreign-keys&gt;&lt;key app="EN" db-id="5xt22p2es2dft0e2sxnv2efi9p00xaa0spfr" timestamp="1646569340" guid="7eb01213-d36e-46f9-9b5f-4a653e9d3ab8"&gt;1573&lt;/key&gt;&lt;/foreign-keys&gt;&lt;ref-type name="Journal Article"&gt;17&lt;/ref-type&gt;&lt;contributors&gt;&lt;authors&gt;&lt;author&gt;Ricaud, Benjamin&lt;/author&gt;&lt;author&gt;Borgnat, Pierre&lt;/author&gt;&lt;author&gt;Tremblay, Nicolas&lt;/author&gt;&lt;author&gt;Gonçalves, Paulo&lt;/author&gt;&lt;author&gt;Vandergheynst, Pierre&lt;/author&gt;&lt;/authors&gt;&lt;/contributors&gt;&lt;titles&gt;&lt;title&gt;Fourier could be a data scientist: From graph Fourier transform to signal processing on graphs&lt;/title&gt;&lt;secondary-title&gt;Comptes Rendus Physique&lt;/secondary-title&gt;&lt;/titles&gt;&lt;periodical&gt;&lt;full-title&gt;Comptes Rendus Physique&lt;/full-title&gt;&lt;/periodical&gt;&lt;pages&gt;474-488&lt;/pages&gt;&lt;volume&gt;20&lt;/volume&gt;&lt;number&gt;5&lt;/number&gt;&lt;keywords&gt;&lt;keyword&gt;Graph signal processing&lt;/keyword&gt;&lt;keyword&gt;Fourier transform&lt;/keyword&gt;&lt;keyword&gt;Wavelets&lt;/keyword&gt;&lt;keyword&gt;Data science&lt;/keyword&gt;&lt;keyword&gt;Machine learning&lt;/keyword&gt;&lt;keyword&gt;Traitement du signal sur graphe&lt;/keyword&gt;&lt;keyword&gt;Transformée de Fourier&lt;/keyword&gt;&lt;keyword&gt;Ondelettes&lt;/keyword&gt;&lt;keyword&gt;Science des données&lt;/keyword&gt;&lt;keyword&gt;Apprentissage machine&lt;/keyword&gt;&lt;/keywords&gt;&lt;dates&gt;&lt;year&gt;2019&lt;/year&gt;&lt;pub-dates&gt;&lt;date&gt;2019/07/01/&lt;/date&gt;&lt;/pub-dates&gt;&lt;/dates&gt;&lt;isbn&gt;1631-0705&lt;/isbn&gt;&lt;urls&gt;&lt;related-urls&gt;&lt;url&gt;https://www.sciencedirect.com/science/article/pii/S1631070519301094&lt;/url&gt;&lt;/related-urls&gt;&lt;/urls&gt;&lt;electronic-resource-num&gt;https://doi.org/10.1016/j.crhy.2019.08.003&lt;/electronic-resource-num&gt;&lt;/record&gt;&lt;/Cite&gt;&lt;/EndNote&gt;</w:instrTex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F838E7" w:rsidRPr="00F838E7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3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 and assign different weights calculated from frequency to all FC. Specifically, low-frequency FC will be assigned a high weight, and high-frequency will be assigned a low weight. Therefore, SVG tends to have a high GFTscore, and non-SVG tends to show a low GFTscore in this definition. </w:t>
      </w:r>
    </w:p>
    <w:p w14:paraId="7073B246" w14:textId="77777777" w:rsidR="00BE31C8" w:rsidRPr="00FE47CA" w:rsidRDefault="00BE31C8" w:rsidP="00BE31C8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1B1AC03" w14:textId="3F5AA80F" w:rsidR="001E043C" w:rsidRPr="00D5601E" w:rsidRDefault="00AE4DEE" w:rsidP="00BE31C8">
      <w:pPr>
        <w:tabs>
          <w:tab w:val="left" w:pos="90"/>
        </w:tabs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2.3 Computational formulation of GFTscore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We designed a </w:t>
      </w:r>
      <w:r w:rsidR="001E043C" w:rsidRPr="004E53F0">
        <w:rPr>
          <w:rFonts w:ascii="Arial" w:hAnsi="Arial" w:cs="Arial"/>
          <w:color w:val="000000" w:themeColor="text1"/>
          <w:sz w:val="22"/>
          <w:szCs w:val="22"/>
        </w:rPr>
        <w:t xml:space="preserve">GFTscore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>to quantitatively measure the randomness of gene expressions distributed, defined as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5"/>
        <w:gridCol w:w="8050"/>
        <w:gridCol w:w="655"/>
      </w:tblGrid>
      <w:tr w:rsidR="001E043C" w:rsidRPr="00FE47CA" w14:paraId="3C3CAC51" w14:textId="77777777" w:rsidTr="00D72E93">
        <w:tc>
          <w:tcPr>
            <w:tcW w:w="350" w:type="pct"/>
          </w:tcPr>
          <w:p w14:paraId="4820D884" w14:textId="77777777" w:rsidR="001E043C" w:rsidRPr="00D5601E" w:rsidRDefault="001E043C" w:rsidP="00BE31C8">
            <w:pPr>
              <w:tabs>
                <w:tab w:val="left" w:pos="90"/>
              </w:tabs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4300" w:type="pct"/>
          </w:tcPr>
          <w:p w14:paraId="2F1F094F" w14:textId="2F6248C4" w:rsidR="001E043C" w:rsidRPr="00D5601E" w:rsidRDefault="001E043C" w:rsidP="00BE31C8">
            <w:pPr>
              <w:tabs>
                <w:tab w:val="left" w:pos="90"/>
              </w:tabs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</w:rPr>
            </w:pPr>
            <m:oMathPara>
              <m:oMath>
                <m:r>
                  <w:rPr>
                    <w:rFonts w:ascii="Cambria Math" w:hAnsi="Cambria Math" w:cs="Arial"/>
                    <w:color w:val="000000" w:themeColor="text1"/>
                  </w:rPr>
                  <m:t>GFTscore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g</m:t>
                        </m:r>
                      </m:sub>
                    </m:sSub>
                  </m:e>
                </m:d>
                <m:r>
                  <w:rPr>
                    <w:rFonts w:ascii="Cambria Math" w:hAnsi="Cambria Math" w:cs="Arial"/>
                    <w:color w:val="000000" w:themeColor="text1"/>
                  </w:rPr>
                  <m:t>=</m:t>
                </m:r>
                <m:nary>
                  <m:naryPr>
                    <m:chr m:val="∑"/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naryPr>
                  <m:sub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k=1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color w:val="000000" w:themeColor="text1"/>
                              </w:rPr>
                              <m:t>λ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color w:val="000000" w:themeColor="text1"/>
                              </w:rPr>
                              <m:t>k</m:t>
                            </m:r>
                          </m:sub>
                        </m:sSub>
                      </m:sup>
                    </m:sSup>
                  </m:e>
                </m:nary>
                <m:sSubSup>
                  <m:sSubSup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sSubSup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f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k</m:t>
                    </m:r>
                  </m:sup>
                </m:sSubSup>
                <m:r>
                  <w:rPr>
                    <w:rFonts w:ascii="Cambria Math" w:hAnsi="Cambria Math" w:cs="Arial"/>
                    <w:color w:val="000000" w:themeColor="text1"/>
                  </w:rPr>
                  <m:t>,</m:t>
                </m:r>
              </m:oMath>
            </m:oMathPara>
          </w:p>
        </w:tc>
        <w:tc>
          <w:tcPr>
            <w:tcW w:w="350" w:type="pct"/>
            <w:vAlign w:val="center"/>
          </w:tcPr>
          <w:p w14:paraId="54B4EEDE" w14:textId="77777777" w:rsidR="001E043C" w:rsidRPr="00D5601E" w:rsidRDefault="001E043C" w:rsidP="00BE31C8">
            <w:pPr>
              <w:tabs>
                <w:tab w:val="left" w:pos="90"/>
              </w:tabs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</w:rPr>
            </w:pPr>
          </w:p>
        </w:tc>
      </w:tr>
    </w:tbl>
    <w:p w14:paraId="7EAB67F4" w14:textId="77777777" w:rsidR="001E043C" w:rsidRPr="00D5601E" w:rsidRDefault="001E043C" w:rsidP="00BE31C8">
      <w:pPr>
        <w:tabs>
          <w:tab w:val="left" w:pos="90"/>
        </w:tabs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5601E">
        <w:rPr>
          <w:rFonts w:ascii="Arial" w:hAnsi="Arial" w:cs="Arial"/>
          <w:color w:val="000000" w:themeColor="text1"/>
          <w:sz w:val="22"/>
          <w:szCs w:val="22"/>
        </w:rPr>
        <w:t xml:space="preserve">where </w:t>
      </w:r>
      <m:oMath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λ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k</m:t>
            </m:r>
          </m:sub>
        </m:sSub>
      </m:oMath>
      <w:r w:rsidRPr="00D5601E">
        <w:rPr>
          <w:rFonts w:ascii="Arial" w:hAnsi="Arial" w:cs="Arial"/>
          <w:color w:val="000000" w:themeColor="text1"/>
          <w:sz w:val="22"/>
          <w:szCs w:val="22"/>
        </w:rPr>
        <w:t xml:space="preserve"> is the pre-calculated eigenvalue of </w:t>
      </w:r>
      <m:oMath>
        <m:r>
          <m:rPr>
            <m:sty m:val="bi"/>
          </m:rPr>
          <w:rPr>
            <w:rFonts w:ascii="Cambria Math" w:hAnsi="Cambria Math" w:cs="Arial"/>
            <w:color w:val="000000" w:themeColor="text1"/>
            <w:sz w:val="22"/>
            <w:szCs w:val="22"/>
          </w:rPr>
          <m:t>L</m:t>
        </m:r>
      </m:oMath>
      <w:r w:rsidRPr="00D5601E">
        <w:rPr>
          <w:rFonts w:ascii="Arial" w:hAnsi="Arial" w:cs="Arial"/>
          <w:color w:val="000000" w:themeColor="text1"/>
          <w:sz w:val="22"/>
          <w:szCs w:val="22"/>
        </w:rPr>
        <w:t xml:space="preserve">, and the normalized frequency signal </w:t>
      </w:r>
      <m:oMath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</w:rPr>
            </m:ctrlPr>
          </m:sSubSupPr>
          <m:e>
            <m:acc>
              <m:accPr>
                <m:chr m:val="̃"/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</w:rPr>
                  <m:t>f</m:t>
                </m:r>
              </m:e>
            </m:acc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g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  <m:t>k</m:t>
            </m:r>
          </m:sup>
        </m:sSubSup>
      </m:oMath>
      <w:r w:rsidRPr="00D5601E">
        <w:rPr>
          <w:rFonts w:ascii="Arial" w:hAnsi="Arial" w:cs="Arial"/>
          <w:color w:val="000000" w:themeColor="text1"/>
          <w:sz w:val="22"/>
          <w:szCs w:val="22"/>
        </w:rPr>
        <w:t xml:space="preserve"> is defined as: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5"/>
        <w:gridCol w:w="8050"/>
        <w:gridCol w:w="655"/>
      </w:tblGrid>
      <w:tr w:rsidR="001E043C" w:rsidRPr="00FE47CA" w14:paraId="6E6719D8" w14:textId="77777777" w:rsidTr="00D72E93">
        <w:tc>
          <w:tcPr>
            <w:tcW w:w="350" w:type="pct"/>
          </w:tcPr>
          <w:p w14:paraId="10BFF541" w14:textId="77777777" w:rsidR="001E043C" w:rsidRPr="00D5601E" w:rsidRDefault="001E043C" w:rsidP="00BE31C8">
            <w:pPr>
              <w:tabs>
                <w:tab w:val="left" w:pos="90"/>
              </w:tabs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4300" w:type="pct"/>
          </w:tcPr>
          <w:p w14:paraId="2F306A99" w14:textId="77777777" w:rsidR="001E043C" w:rsidRPr="00FE47CA" w:rsidRDefault="00000000" w:rsidP="00BE31C8">
            <w:pPr>
              <w:tabs>
                <w:tab w:val="left" w:pos="9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sSubSup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f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k</m:t>
                    </m:r>
                  </m:sup>
                </m:sSubSup>
                <m:r>
                  <w:rPr>
                    <w:rFonts w:ascii="Cambria Math" w:hAnsi="Cambria Math" w:cs="Arial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|</m:t>
                        </m:r>
                        <m:acc>
                          <m:accPr>
                            <m:ctrlPr>
                              <w:rPr>
                                <w:rFonts w:ascii="Cambria Math" w:hAnsi="Cambria Math" w:cs="Arial"/>
                                <w:i/>
                                <w:color w:val="000000" w:themeColor="text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Arial"/>
                                <w:color w:val="000000" w:themeColor="text1"/>
                              </w:rPr>
                              <m:t>f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g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k</m:t>
                        </m:r>
                      </m:sup>
                    </m:sSubSup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|</m:t>
                    </m:r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cs="Arial"/>
                                <w:i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Arial"/>
                                <w:color w:val="000000" w:themeColor="text1"/>
                              </w:rPr>
                              <m:t>|</m:t>
                            </m:r>
                            <m:acc>
                              <m:accPr>
                                <m:ctrlPr>
                                  <w:rPr>
                                    <w:rFonts w:ascii="Cambria Math" w:hAnsi="Cambria Math" w:cs="Arial"/>
                                    <w:i/>
                                    <w:color w:val="000000" w:themeColor="text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Arial"/>
                                    <w:color w:val="000000" w:themeColor="text1"/>
                                  </w:rPr>
                                  <m:t>f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Arial"/>
                                <w:color w:val="000000" w:themeColor="text1"/>
                              </w:rPr>
                              <m:t>g</m:t>
                            </m:r>
                          </m:sub>
                          <m:sup>
                            <m:r>
                              <w:rPr>
                                <w:rFonts w:ascii="Cambria Math" w:hAnsi="Cambria Math" w:cs="Arial"/>
                                <w:color w:val="000000" w:themeColor="text1"/>
                              </w:rPr>
                              <m:t>i</m:t>
                            </m:r>
                          </m:sup>
                        </m:sSubSup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|</m:t>
                        </m:r>
                      </m:e>
                    </m:nary>
                  </m:den>
                </m:f>
                <m:r>
                  <w:rPr>
                    <w:rFonts w:ascii="Cambria Math" w:hAnsi="Cambria Math" w:cs="Arial"/>
                    <w:color w:val="000000" w:themeColor="text1"/>
                  </w:rPr>
                  <m:t>.</m:t>
                </m:r>
              </m:oMath>
            </m:oMathPara>
          </w:p>
          <w:p w14:paraId="6F763AF5" w14:textId="77777777" w:rsidR="001E043C" w:rsidRPr="00FE47CA" w:rsidRDefault="001E043C" w:rsidP="00BE31C8">
            <w:pPr>
              <w:tabs>
                <w:tab w:val="left" w:pos="9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50" w:type="pct"/>
            <w:vAlign w:val="center"/>
          </w:tcPr>
          <w:p w14:paraId="25C0BEDE" w14:textId="77777777" w:rsidR="001E043C" w:rsidRPr="00D5601E" w:rsidRDefault="001E043C" w:rsidP="00BE31C8">
            <w:pPr>
              <w:tabs>
                <w:tab w:val="left" w:pos="90"/>
              </w:tabs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</w:rPr>
            </w:pPr>
          </w:p>
        </w:tc>
      </w:tr>
    </w:tbl>
    <w:p w14:paraId="04577373" w14:textId="0F5051E3" w:rsidR="001E043C" w:rsidRPr="00D5601E" w:rsidRDefault="001E043C" w:rsidP="00BE31C8">
      <w:pPr>
        <w:tabs>
          <w:tab w:val="left" w:pos="90"/>
        </w:tabs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FE47CA">
        <w:rPr>
          <w:rFonts w:ascii="Arial" w:hAnsi="Arial" w:cs="Arial"/>
          <w:color w:val="000000" w:themeColor="text1"/>
          <w:sz w:val="22"/>
          <w:szCs w:val="22"/>
        </w:rPr>
        <w:t>The inflection point of GFTscore can be determined by the Kneedle algorithm</w:t>
      </w:r>
      <w:r w:rsidRPr="00FE47CA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="00AD66BF">
        <w:rPr>
          <w:rFonts w:ascii="Arial" w:hAnsi="Arial" w:cs="Arial"/>
          <w:color w:val="000000" w:themeColor="text1"/>
          <w:sz w:val="22"/>
          <w:szCs w:val="22"/>
        </w:rPr>
        <w:instrText xml:space="preserve"> ADDIN EN.CITE &lt;EndNote&gt;&lt;Cite&gt;&lt;Author&gt;Satopaa&lt;/Author&gt;&lt;Year&gt;2011&lt;/Year&gt;&lt;RecNum&gt;2208&lt;/RecNum&gt;&lt;DisplayText&gt;&lt;style face="superscript"&gt;5&lt;/style&gt;&lt;/DisplayText&gt;&lt;record&gt;&lt;rec-number&gt;2208&lt;/rec-number&gt;&lt;foreign-keys&gt;&lt;key app="EN" db-id="5xt22p2es2dft0e2sxnv2efi9p00xaa0spfr" timestamp="1699759046" guid="3e666c5b-2b48-413c-9ee5-336648c1a2f2"&gt;2208&lt;/key&gt;&lt;/foreign-keys&gt;&lt;ref-type name="Conference Proceedings"&gt;10&lt;/ref-type&gt;&lt;contributors&gt;&lt;authors&gt;&lt;author&gt;Satopaa, Ville&lt;/author&gt;&lt;author&gt;Albrecht, Jeannie&lt;/author&gt;&lt;author&gt;Irwin, David&lt;/author&gt;&lt;author&gt;Raghavan, Barath&lt;/author&gt;&lt;/authors&gt;&lt;/contributors&gt;&lt;titles&gt;&lt;title&gt;Finding a&amp;quot; kneedle&amp;quot; in a haystack: Detecting knee points in system behavior&lt;/title&gt;&lt;secondary-title&gt;2011 31st international conference on distributed computing systems workshops&lt;/secondary-title&gt;&lt;/titles&gt;&lt;pages&gt;166-171&lt;/pages&gt;&lt;dates&gt;&lt;year&gt;2011&lt;/year&gt;&lt;/dates&gt;&lt;publisher&gt;IEEE&lt;/publisher&gt;&lt;isbn&gt;145770384X&lt;/isbn&gt;&lt;urls&gt;&lt;/urls&gt;&lt;/record&gt;&lt;/Cite&gt;&lt;/EndNote&gt;</w:instrText>
      </w:r>
      <w:r w:rsidRPr="00FE47CA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5E4155" w:rsidRPr="005E4155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5</w:t>
      </w:r>
      <w:r w:rsidRPr="00FE47C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FE47CA">
        <w:rPr>
          <w:rFonts w:ascii="Arial" w:hAnsi="Arial" w:cs="Arial"/>
          <w:color w:val="000000" w:themeColor="text1"/>
          <w:sz w:val="22"/>
          <w:szCs w:val="22"/>
        </w:rPr>
        <w:t xml:space="preserve">. According to a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recent </w:t>
      </w:r>
      <w:r w:rsidRPr="00FE47CA">
        <w:rPr>
          <w:rFonts w:ascii="Arial" w:hAnsi="Arial" w:cs="Arial"/>
          <w:color w:val="000000" w:themeColor="text1"/>
          <w:sz w:val="22"/>
          <w:szCs w:val="22"/>
        </w:rPr>
        <w:t>study</w:t>
      </w:r>
      <w:r w:rsidRPr="00FE47CA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="00AD66BF">
        <w:rPr>
          <w:rFonts w:ascii="Arial" w:hAnsi="Arial" w:cs="Arial"/>
          <w:color w:val="000000" w:themeColor="text1"/>
          <w:sz w:val="22"/>
          <w:szCs w:val="22"/>
        </w:rPr>
        <w:instrText xml:space="preserve"> ADDIN EN.CITE &lt;EndNote&gt;&lt;Cite&gt;&lt;Author&gt;Ricaud&lt;/Author&gt;&lt;Year&gt;2019&lt;/Year&gt;&lt;RecNum&gt;1573&lt;/RecNum&gt;&lt;DisplayText&gt;&lt;style face="superscript"&gt;3&lt;/style&gt;&lt;/DisplayText&gt;&lt;record&gt;&lt;rec-number&gt;1573&lt;/rec-number&gt;&lt;foreign-keys&gt;&lt;key app="EN" db-id="5xt22p2es2dft0e2sxnv2efi9p00xaa0spfr" timestamp="1646569340" guid="7eb01213-d36e-46f9-9b5f-4a653e9d3ab8"&gt;1573&lt;/key&gt;&lt;/foreign-keys&gt;&lt;ref-type name="Journal Article"&gt;17&lt;/ref-type&gt;&lt;contributors&gt;&lt;authors&gt;&lt;author&gt;Ricaud, Benjamin&lt;/author&gt;&lt;author&gt;Borgnat, Pierre&lt;/author&gt;&lt;author&gt;Tremblay, Nicolas&lt;/author&gt;&lt;author&gt;Gonçalves, Paulo&lt;/author&gt;&lt;author&gt;Vandergheynst, Pierre&lt;/author&gt;&lt;/authors&gt;&lt;/contributors&gt;&lt;titles&gt;&lt;title&gt;Fourier could be a data scientist: From graph Fourier transform to signal processing on graphs&lt;/title&gt;&lt;secondary-title&gt;Comptes Rendus Physique&lt;/secondary-title&gt;&lt;/titles&gt;&lt;periodical&gt;&lt;full-title&gt;Comptes Rendus Physique&lt;/full-title&gt;&lt;/periodical&gt;&lt;pages&gt;474-488&lt;/pages&gt;&lt;volume&gt;20&lt;/volume&gt;&lt;number&gt;5&lt;/number&gt;&lt;keywords&gt;&lt;keyword&gt;Graph signal processing&lt;/keyword&gt;&lt;keyword&gt;Fourier transform&lt;/keyword&gt;&lt;keyword&gt;Wavelets&lt;/keyword&gt;&lt;keyword&gt;Data science&lt;/keyword&gt;&lt;keyword&gt;Machine learning&lt;/keyword&gt;&lt;keyword&gt;Traitement du signal sur graphe&lt;/keyword&gt;&lt;keyword&gt;Transformée de Fourier&lt;/keyword&gt;&lt;keyword&gt;Ondelettes&lt;/keyword&gt;&lt;keyword&gt;Science des données&lt;/keyword&gt;&lt;keyword&gt;Apprentissage machine&lt;/keyword&gt;&lt;/keywords&gt;&lt;dates&gt;&lt;year&gt;2019&lt;/year&gt;&lt;pub-dates&gt;&lt;date&gt;2019/07/01/&lt;/date&gt;&lt;/pub-dates&gt;&lt;/dates&gt;&lt;isbn&gt;1631-0705&lt;/isbn&gt;&lt;urls&gt;&lt;related-urls&gt;&lt;url&gt;https://www.sciencedirect.com/science/article/pii/S1631070519301094&lt;/url&gt;&lt;/related-urls&gt;&lt;/urls&gt;&lt;electronic-resource-num&gt;https://doi.org/10.1016/j.crhy.2019.08.003&lt;/electronic-resource-num&gt;&lt;/record&gt;&lt;/Cite&gt;&lt;/EndNote&gt;</w:instrText>
      </w:r>
      <w:r w:rsidRPr="00FE47CA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F838E7" w:rsidRPr="00F838E7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3</w:t>
      </w:r>
      <w:r w:rsidRPr="00FE47C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FE47CA">
        <w:rPr>
          <w:rFonts w:ascii="Arial" w:hAnsi="Arial" w:cs="Arial"/>
          <w:color w:val="000000" w:themeColor="text1"/>
          <w:sz w:val="22"/>
          <w:szCs w:val="22"/>
        </w:rPr>
        <w:t>, the weight (</w:t>
      </w:r>
      <m:oMath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e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-</m:t>
            </m:r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λ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</w:rPr>
                  <m:t>k</m:t>
                </m:r>
              </m:sub>
            </m:sSub>
          </m:sup>
        </m:sSup>
      </m:oMath>
      <w:r w:rsidRPr="00FE47CA">
        <w:rPr>
          <w:rFonts w:ascii="Arial" w:hAnsi="Arial" w:cs="Arial"/>
          <w:color w:val="000000" w:themeColor="text1"/>
          <w:sz w:val="22"/>
          <w:szCs w:val="22"/>
        </w:rPr>
        <w:t xml:space="preserve">) of FC </w:t>
      </w:r>
      <w:r w:rsidR="00BE31C8">
        <w:rPr>
          <w:rFonts w:ascii="Arial" w:hAnsi="Arial" w:cs="Arial"/>
          <w:color w:val="000000" w:themeColor="text1"/>
          <w:sz w:val="22"/>
          <w:szCs w:val="22"/>
        </w:rPr>
        <w:t>was one of common forms in grap</w:t>
      </w:r>
      <w:r w:rsidR="005E4155">
        <w:rPr>
          <w:rFonts w:ascii="Arial" w:hAnsi="Arial" w:cs="Arial"/>
          <w:color w:val="000000" w:themeColor="text1"/>
          <w:sz w:val="22"/>
          <w:szCs w:val="22"/>
        </w:rPr>
        <w:t>h</w:t>
      </w:r>
      <w:r w:rsidR="00BE31C8">
        <w:rPr>
          <w:rFonts w:ascii="Arial" w:hAnsi="Arial" w:cs="Arial"/>
          <w:color w:val="000000" w:themeColor="text1"/>
          <w:sz w:val="22"/>
          <w:szCs w:val="22"/>
        </w:rPr>
        <w:t xml:space="preserve"> signal processing</w:t>
      </w:r>
      <w:r w:rsidRPr="00FE47CA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29F4BF8C" w14:textId="77777777" w:rsidR="001E043C" w:rsidRPr="00FE47CA" w:rsidRDefault="001E043C" w:rsidP="00BE31C8">
      <w:pPr>
        <w:pStyle w:val="ListParagraph"/>
        <w:tabs>
          <w:tab w:val="left" w:pos="90"/>
        </w:tabs>
        <w:ind w:left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E545DE3" w14:textId="77777777" w:rsidR="005E4155" w:rsidRDefault="005E4155" w:rsidP="00BE31C8">
      <w:pPr>
        <w:tabs>
          <w:tab w:val="left" w:pos="90"/>
        </w:tabs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572AE45C" w14:textId="77777777" w:rsidR="005E4155" w:rsidRDefault="005E4155" w:rsidP="00BE31C8">
      <w:pPr>
        <w:tabs>
          <w:tab w:val="left" w:pos="90"/>
        </w:tabs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D651D40" w14:textId="7E7F9726" w:rsidR="001E043C" w:rsidRPr="00FE47CA" w:rsidRDefault="00192384" w:rsidP="00BE31C8">
      <w:pPr>
        <w:tabs>
          <w:tab w:val="left" w:pos="90"/>
        </w:tabs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3 SVG evaluation II: hypothesis testing</w:t>
      </w:r>
    </w:p>
    <w:p w14:paraId="1B1FED5B" w14:textId="2FD1F5DC" w:rsidR="001E043C" w:rsidRPr="00D5601E" w:rsidRDefault="00192384" w:rsidP="00BE31C8">
      <w:pPr>
        <w:tabs>
          <w:tab w:val="left" w:pos="90"/>
        </w:tabs>
        <w:jc w:val="both"/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3.1 Rationale of hypothesis testing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Although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 xml:space="preserve">the above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</w:rPr>
        <w:t xml:space="preserve">GFTscore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is an indicator to rank and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evaluate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 the potential SVGs, a rigorous statistical test is needed to calculate the </w:t>
      </w:r>
      <w:r w:rsidR="001E043C" w:rsidRPr="006E4270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-value for SVGs and control type I error.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We will </w:t>
      </w:r>
      <w:r w:rsidR="001E043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use </w:t>
      </w:r>
      <w:r w:rsidR="005347A7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the </w:t>
      </w:r>
      <w:r w:rsidR="001E043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Wilcoxon rank-sum test to test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the differences between low-frequency FCs and high-frequency FCs to obtain </w:t>
      </w:r>
      <w:r w:rsidR="001E043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statistical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significance.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If a gene </w:t>
      </w:r>
      <w:r w:rsidR="001E043C">
        <w:rPr>
          <w:rFonts w:ascii="Arial" w:hAnsi="Arial" w:cs="Arial"/>
          <w:color w:val="000000" w:themeColor="text1"/>
          <w:sz w:val="22"/>
          <w:szCs w:val="22"/>
        </w:rPr>
        <w:t>has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 a high GFTscore and significantly adjusted </w:t>
      </w:r>
      <w:r w:rsidR="001E043C" w:rsidRPr="006E4270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</w:rPr>
        <w:t xml:space="preserve">-value, the gene can be regarded as an SVG. </w:t>
      </w:r>
    </w:p>
    <w:p w14:paraId="32E16C04" w14:textId="77777777" w:rsidR="001E043C" w:rsidRPr="00D5601E" w:rsidRDefault="001E043C" w:rsidP="00BE31C8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CF99286" w14:textId="0CC88170" w:rsidR="001E043C" w:rsidRPr="00D5601E" w:rsidRDefault="00192384" w:rsidP="00BE31C8">
      <w:pPr>
        <w:jc w:val="both"/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3.2 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>T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he null hypothesis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of testing.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We use </w:t>
      </w:r>
      <m:oMath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1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2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,…,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1E043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to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represent the expression of a random signal on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n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spots. </w:t>
      </w:r>
      <m:oMath>
        <m:sSub>
          <m:sSubPr>
            <m:ctrlPr>
              <w:rPr>
                <w:rFonts w:ascii="Cambria Math" w:hAnsi="Cambria Math" w:cs="Arial"/>
                <w:i/>
                <w:iCs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is followed by Gaussian distributions and can be regarded as independent and identically distributed (</w:t>
      </w:r>
      <w:r w:rsidR="001E043C" w:rsidRPr="00D5601E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>i.i.d.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) random variables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fldChar w:fldCharType="begin"/>
      </w:r>
      <w:r w:rsidR="00AD66BF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instrText xml:space="preserve"> ADDIN EN.CITE &lt;EndNote&gt;&lt;Cite&gt;&lt;Author&gt;Svensson&lt;/Author&gt;&lt;Year&gt;2018&lt;/Year&gt;&lt;RecNum&gt;1698&lt;/RecNum&gt;&lt;DisplayText&gt;&lt;style face="superscript"&gt;7&lt;/style&gt;&lt;/DisplayText&gt;&lt;record&gt;&lt;rec-number&gt;1698&lt;/rec-number&gt;&lt;foreign-keys&gt;&lt;key app="EN" db-id="5xt22p2es2dft0e2sxnv2efi9p00xaa0spfr" timestamp="1652203704" guid="e9a9dfc1-1371-4e8f-8e13-3ccdb311d0e2"&gt;1698&lt;/key&gt;&lt;/foreign-keys&gt;&lt;ref-type name="Journal Article"&gt;17&lt;/ref-type&gt;&lt;contributors&gt;&lt;authors&gt;&lt;author&gt;Svensson, Valentine&lt;/author&gt;&lt;author&gt;Teichmann, Sarah A.&lt;/author&gt;&lt;author&gt;Stegle, Oliver&lt;/author&gt;&lt;/authors&gt;&lt;/contributors&gt;&lt;titles&gt;&lt;title&gt;SpatialDE: identification of spatially variable genes&lt;/title&gt;&lt;secondary-title&gt;Nature Methods&lt;/secondary-title&gt;&lt;/titles&gt;&lt;periodical&gt;&lt;full-title&gt;Nature Methods&lt;/full-title&gt;&lt;/periodical&gt;&lt;pages&gt;343-346&lt;/pages&gt;&lt;volume&gt;15&lt;/volume&gt;&lt;number&gt;5&lt;/number&gt;&lt;dates&gt;&lt;year&gt;2018&lt;/year&gt;&lt;pub-dates&gt;&lt;date&gt;2018/05/01&lt;/date&gt;&lt;/pub-dates&gt;&lt;/dates&gt;&lt;isbn&gt;1548-7105&lt;/isbn&gt;&lt;urls&gt;&lt;related-urls&gt;&lt;url&gt;https://doi.org/10.1038/nmeth.4636&lt;/url&gt;&lt;/related-urls&gt;&lt;/urls&gt;&lt;electronic-resource-num&gt;10.1038/nmeth.4636&lt;/electronic-resource-num&gt;&lt;/record&gt;&lt;/Cite&gt;&lt;/EndNote&gt;</w:instrText>
      </w:r>
      <w:r w:rsidR="001E043C" w:rsidRPr="00FE47C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fldChar w:fldCharType="separate"/>
      </w:r>
      <w:r w:rsidR="00F838E7" w:rsidRPr="00F838E7">
        <w:rPr>
          <w:rFonts w:ascii="Arial" w:hAnsi="Arial" w:cs="Arial"/>
          <w:noProof/>
          <w:color w:val="000000" w:themeColor="text1"/>
          <w:sz w:val="22"/>
          <w:szCs w:val="22"/>
          <w:shd w:val="clear" w:color="auto" w:fill="FFFFFF"/>
          <w:vertAlign w:val="superscript"/>
        </w:rPr>
        <w:t>7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fldChar w:fldCharType="end"/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. </w:t>
      </w:r>
      <w:r w:rsidR="005347A7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I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mplementing GFT on </w:t>
      </w:r>
      <m:oMath>
        <m:d>
          <m:d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1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b>
            </m:s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,…,</m:t>
            </m:r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n</m:t>
                </m:r>
              </m:sub>
            </m:sSub>
          </m:e>
        </m:d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, we obtain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F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1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 F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2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 ⋯, F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p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, where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p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is the number of low-frequency FCs</w:t>
      </w:r>
      <w:r w:rsidR="001E043C" w:rsidRPr="00D5601E" w:rsidDel="00CA75D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and reflects the contributions from low-frequency FMs. We also obtain the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F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p+1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 F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p+2</m:t>
            </m:r>
          </m:sub>
        </m:sSub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 ⋯, F</m:t>
        </m:r>
        <m:sSub>
          <m:sSub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p+q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, where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q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is the number of high-frequency FCs and reflects the contributions from noise. Hence, we form the null hypothesis that there exists no difference between low-frequency FCs and high-frequency FCs. </w:t>
      </w:r>
    </w:p>
    <w:p w14:paraId="5D76D394" w14:textId="77777777" w:rsidR="001E043C" w:rsidRPr="00D5601E" w:rsidRDefault="001E043C" w:rsidP="00BE31C8">
      <w:pPr>
        <w:jc w:val="both"/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</w:p>
    <w:p w14:paraId="329FB7BF" w14:textId="47C3F645" w:rsidR="001E043C" w:rsidRPr="00D5601E" w:rsidRDefault="00192384" w:rsidP="00BE31C8">
      <w:pPr>
        <w:jc w:val="both"/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3.3 Proof of the </w:t>
      </w:r>
      <w:r w:rsidR="001F314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assumption of the </w:t>
      </w:r>
      <w:r w:rsidR="001E043C" w:rsidRPr="00FE47CA">
        <w:rPr>
          <w:rFonts w:ascii="Arial" w:hAnsi="Arial" w:cs="Arial"/>
          <w:b/>
          <w:bCs/>
          <w:color w:val="000000" w:themeColor="text1"/>
          <w:sz w:val="22"/>
          <w:szCs w:val="22"/>
        </w:rPr>
        <w:t>null hypothesis</w:t>
      </w:r>
      <w:r w:rsidR="001E043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Give a signal </w:t>
      </w:r>
      <m:oMath>
        <m:r>
          <m:rPr>
            <m:sty m:val="bi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x</m:t>
        </m:r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(</m:t>
            </m:r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,…,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), where</m:t>
        </m:r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,…,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are </w:t>
      </w:r>
      <w:proofErr w:type="spellStart"/>
      <w:r w:rsidR="001E043C" w:rsidRPr="00D5601E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>i.i.d</w:t>
      </w:r>
      <w:proofErr w:type="spellEnd"/>
      <w:r w:rsidR="001E043C" w:rsidRPr="00D5601E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 xml:space="preserve">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random variables</w:t>
      </w:r>
      <w:r w:rsidR="001E043C" w:rsidRPr="00D5601E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>.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Given any two FMs (corresponding to any non-zero eigenvalues), </w:t>
      </w:r>
      <m:oMath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u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k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1</m:t>
                </m:r>
              </m:sup>
            </m:sSubSup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,</m:t>
            </m:r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,…,</m:t>
            </m:r>
            <m:sSubSup>
              <m:sSubSup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n</m:t>
                </m:r>
              </m:sup>
            </m:sSubSup>
          </m:e>
        </m:d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u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d>
          <m:dPr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Sup>
              <m:sSubSup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l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1</m:t>
                </m:r>
              </m:sup>
            </m:sSub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,</m:t>
            </m:r>
            <m:sSubSup>
              <m:sSubSup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l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p>
            </m:sSub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,…,</m:t>
            </m:r>
            <m:sSubSup>
              <m:sSubSup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l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n</m:t>
                </m:r>
              </m:sup>
            </m:sSubSup>
          </m:e>
        </m:d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. According to the property of the Laplacian matrix defined in SpaGFT, (i) both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 xml:space="preserve"> 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1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2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are orthogonal with vector </w:t>
      </w:r>
      <m:oMath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1,1,…,1</m:t>
            </m:r>
          </m:e>
        </m:d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, and one has that </w:t>
      </w:r>
      <m:oMath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p>
            </m:sSubSup>
          </m:e>
        </m:nary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nary>
          <m:naryPr>
            <m:chr m:val="∑"/>
            <m:ctrlPr>
              <w:rPr>
                <w:rFonts w:ascii="Cambria Math" w:hAnsi="Cambria Math" w:cs="Arial"/>
                <w:i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l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p>
            </m:sSubSup>
          </m:e>
        </m:nary>
      </m:oMath>
      <w:r w:rsidR="001E043C" w:rsidRPr="00D5601E">
        <w:rPr>
          <w:rFonts w:ascii="Arial" w:hAnsi="Arial" w:cs="Arial"/>
          <w:i/>
          <w:color w:val="000000" w:themeColor="text1"/>
          <w:sz w:val="22"/>
          <w:szCs w:val="22"/>
          <w:shd w:val="clear" w:color="auto" w:fill="FFFFFF"/>
        </w:rPr>
        <w:t>;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(ii) </w:t>
      </w:r>
      <m:oMath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pPr>
              <m:e>
                <m:sSubSup>
                  <m:sSubSup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(</m:t>
                    </m:r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p>
            </m:sSup>
          </m:e>
        </m:nary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pPr>
              <m:e>
                <m:sSubSup>
                  <m:sSubSup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(</m:t>
                    </m:r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l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p>
            </m:sSup>
          </m:e>
        </m:nary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1E043C" w:rsidRPr="00FE47C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as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they are both unit vectors. The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F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k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p>
            </m:sSubSup>
          </m:e>
        </m:nary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and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F</m:t>
        </m:r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C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l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p>
            </m:sSubSup>
          </m:e>
        </m:nary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</m:sSub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are two F</w:t>
      </w:r>
      <w:r w:rsidR="00761917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Cs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corresponding to two FMs, respectively. In the following, 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lastRenderedPageBreak/>
        <w:t>we can observe two properties, including (</w:t>
      </w:r>
      <w:proofErr w:type="spellStart"/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i</w:t>
      </w:r>
      <w:proofErr w:type="spellEnd"/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)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E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F</m:t>
            </m:r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C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 xml:space="preserve">= </m:t>
        </m:r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E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nary>
              <m:naryPr>
                <m:chr m:val="∑"/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naryPr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n</m:t>
                </m:r>
              </m:sup>
              <m:e>
                <m:sSubSup>
                  <m:sSubSup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Sup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i</m:t>
                    </m:r>
                  </m:sup>
                </m:sSubSup>
              </m:e>
            </m:nary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m:rPr>
                    <m:lit/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[</m:t>
                </m:r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p>
            </m:sSubSup>
          </m:e>
        </m:nary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E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b>
            </m:sSub>
          </m:e>
        </m:d>
        <m:r>
          <m:rPr>
            <m:lit/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]</m:t>
        </m:r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E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1</m:t>
                </m:r>
              </m:sub>
            </m:sSub>
          </m:e>
        </m:d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p>
            </m:sSubSup>
          </m:e>
        </m:nary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E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1</m:t>
                </m:r>
              </m:sub>
            </m:sSub>
          </m:e>
        </m:d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Sup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u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l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p>
            </m:sSubSup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=</m:t>
            </m:r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E</m:t>
            </m:r>
            <m:d>
              <m:d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F</m:t>
                </m:r>
                <m:sSub>
                  <m:sSub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l</m:t>
                    </m:r>
                  </m:sub>
                </m:sSub>
              </m:e>
            </m:d>
          </m:e>
        </m:nary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; (ii) 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Var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F</m:t>
            </m:r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C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k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 xml:space="preserve">= </m:t>
        </m:r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Var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nary>
              <m:naryPr>
                <m:chr m:val="∑"/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naryPr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b>
              <m:sup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n</m:t>
                </m:r>
              </m:sup>
              <m:e>
                <m:sSubSup>
                  <m:sSubSup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Sup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i</m:t>
                    </m:r>
                  </m:sup>
                </m:sSubSup>
              </m:e>
            </m:nary>
            <m:sSub>
              <m:sSubPr>
                <m:ctrlPr>
                  <w:rPr>
                    <w:rFonts w:ascii="Cambria Math" w:hAnsi="Cambria Math" w:cs="Arial"/>
                    <w:i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pPr>
              <m:e>
                <m:sSubSup>
                  <m:sSubSup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SupPr>
                  <m:e>
                    <m:r>
                      <m:rPr>
                        <m:lit/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[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(</m:t>
                    </m:r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p>
            </m:sSup>
          </m:e>
        </m:nary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Var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i</m:t>
                </m:r>
              </m:sub>
            </m:sSub>
          </m:e>
        </m:d>
        <m:r>
          <m:rPr>
            <m:lit/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]</m:t>
        </m:r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Var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1</m:t>
                </m:r>
              </m:sub>
            </m:sSub>
          </m:e>
        </m:d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pPr>
              <m:e>
                <m:sSubSup>
                  <m:sSubSup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(</m:t>
                    </m:r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p>
            </m:sSup>
          </m:e>
        </m:nary>
        <m:r>
          <m:rPr>
            <m:sty m:val="p"/>
          </m:rP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=</m:t>
        </m:r>
        <m:r>
          <w:rPr>
            <w:rFonts w:ascii="Cambria Math" w:hAnsi="Cambria Math" w:cs="Arial"/>
            <w:color w:val="000000" w:themeColor="text1"/>
            <w:sz w:val="22"/>
            <w:szCs w:val="22"/>
            <w:shd w:val="clear" w:color="auto" w:fill="FFFFFF"/>
          </w:rPr>
          <m:t>Var</m:t>
        </m:r>
        <m:d>
          <m:d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1</m:t>
                </m:r>
              </m:sub>
            </m:sSub>
          </m:e>
        </m:d>
        <m:nary>
          <m:naryPr>
            <m:chr m:val="∑"/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</m:ctrlPr>
          </m:naryPr>
          <m:sub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i</m:t>
            </m:r>
          </m:sub>
          <m:sup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sSupPr>
              <m:e>
                <m:sSubSup>
                  <m:sSubSup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(</m:t>
                    </m:r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l</m:t>
                    </m:r>
                  </m:sub>
                  <m:sup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=</m:t>
            </m:r>
            <m:r>
              <w:rPr>
                <w:rFonts w:ascii="Cambria Math" w:hAnsi="Cambria Math" w:cs="Arial"/>
                <w:color w:val="000000" w:themeColor="text1"/>
                <w:sz w:val="22"/>
                <w:szCs w:val="22"/>
                <w:shd w:val="clear" w:color="auto" w:fill="FFFFFF"/>
              </w:rPr>
              <m:t>Var</m:t>
            </m:r>
            <m:d>
              <m:dPr>
                <m:ctrlP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Arial"/>
                    <w:color w:val="000000" w:themeColor="text1"/>
                    <w:sz w:val="22"/>
                    <w:szCs w:val="22"/>
                    <w:shd w:val="clear" w:color="auto" w:fill="FFFFFF"/>
                  </w:rPr>
                  <m:t>F</m:t>
                </m:r>
                <m:sSub>
                  <m:sSubPr>
                    <m:ctrlP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2"/>
                        <w:szCs w:val="22"/>
                        <w:shd w:val="clear" w:color="auto" w:fill="FFFFFF"/>
                      </w:rPr>
                      <m:t>l</m:t>
                    </m:r>
                  </m:sub>
                </m:sSub>
              </m:e>
            </m:d>
          </m:e>
        </m:nary>
      </m:oMath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. All FCs have the same mean and variance regardless of low-frequency and high-frequency. Therefore, </w:t>
      </w:r>
      <w:r w:rsidR="009E6D6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no difference exists</w:t>
      </w:r>
      <w:r w:rsidR="001E043C" w:rsidRPr="00D5601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between FCs corresponding to low-frequency FMs and FCs corresponding to high-frequency FMs under the null hypothesis.</w:t>
      </w:r>
    </w:p>
    <w:p w14:paraId="3AA3B8D7" w14:textId="77777777" w:rsidR="00761917" w:rsidRDefault="00761917" w:rsidP="00BE31C8"/>
    <w:p w14:paraId="5DE10A6B" w14:textId="77777777" w:rsidR="00761917" w:rsidRDefault="00761917" w:rsidP="00BE31C8"/>
    <w:p w14:paraId="2DF6F98C" w14:textId="77777777" w:rsidR="000E3300" w:rsidRPr="000E3300" w:rsidRDefault="00761917" w:rsidP="000E3300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0E3300" w:rsidRPr="000E3300">
        <w:t>1</w:t>
      </w:r>
      <w:r w:rsidR="000E3300" w:rsidRPr="000E3300">
        <w:tab/>
        <w:t xml:space="preserve">Segarra, S., Marques, A. G., Leus, G. &amp; Ribeiro, A. Reconstruction of graph signals through percolation from seeding nodes. </w:t>
      </w:r>
      <w:r w:rsidR="000E3300" w:rsidRPr="000E3300">
        <w:rPr>
          <w:i/>
        </w:rPr>
        <w:t>IEEE Transactions on Signal Processing</w:t>
      </w:r>
      <w:r w:rsidR="000E3300" w:rsidRPr="000E3300">
        <w:t xml:space="preserve"> </w:t>
      </w:r>
      <w:r w:rsidR="000E3300" w:rsidRPr="000E3300">
        <w:rPr>
          <w:b/>
        </w:rPr>
        <w:t>64</w:t>
      </w:r>
      <w:r w:rsidR="000E3300" w:rsidRPr="000E3300">
        <w:t>, 4363-4378 (2016).</w:t>
      </w:r>
    </w:p>
    <w:p w14:paraId="210C3F96" w14:textId="77777777" w:rsidR="000E3300" w:rsidRPr="000E3300" w:rsidRDefault="000E3300" w:rsidP="000E3300">
      <w:pPr>
        <w:pStyle w:val="EndNoteBibliography"/>
        <w:ind w:left="720" w:hanging="720"/>
      </w:pPr>
      <w:r w:rsidRPr="000E3300">
        <w:t>2</w:t>
      </w:r>
      <w:r w:rsidRPr="000E3300">
        <w:tab/>
        <w:t xml:space="preserve">Huang, L., Needell, D. &amp; Tang, S. Robust recovery of bandlimited graph signals via randomized dynamical sampling. </w:t>
      </w:r>
      <w:r w:rsidRPr="000E3300">
        <w:rPr>
          <w:i/>
        </w:rPr>
        <w:t>arXiv preprint arXiv:2109.14079</w:t>
      </w:r>
      <w:r w:rsidRPr="000E3300">
        <w:t xml:space="preserve"> (2021).</w:t>
      </w:r>
    </w:p>
    <w:p w14:paraId="6FECF8BA" w14:textId="7581105C" w:rsidR="000E3300" w:rsidRPr="000E3300" w:rsidRDefault="000E3300" w:rsidP="000E3300">
      <w:pPr>
        <w:pStyle w:val="EndNoteBibliography"/>
        <w:ind w:left="720" w:hanging="720"/>
      </w:pPr>
      <w:r w:rsidRPr="000E3300">
        <w:t>3</w:t>
      </w:r>
      <w:r w:rsidRPr="000E3300">
        <w:tab/>
        <w:t xml:space="preserve">Ricaud, B., Borgnat, P., Tremblay, N., Gonçalves, P. &amp; Vandergheynst, P. Fourier could be a data scientist: From graph Fourier transform to signal processing on graphs. </w:t>
      </w:r>
      <w:r w:rsidRPr="000E3300">
        <w:rPr>
          <w:i/>
        </w:rPr>
        <w:t>Comptes Rendus Physique</w:t>
      </w:r>
      <w:r w:rsidRPr="000E3300">
        <w:t xml:space="preserve"> </w:t>
      </w:r>
      <w:r w:rsidRPr="000E3300">
        <w:rPr>
          <w:b/>
        </w:rPr>
        <w:t>20</w:t>
      </w:r>
      <w:r w:rsidRPr="000E3300">
        <w:t>, 474-488, doi:</w:t>
      </w:r>
      <w:hyperlink r:id="rId11" w:history="1">
        <w:r w:rsidRPr="000E3300">
          <w:rPr>
            <w:rStyle w:val="Hyperlink"/>
          </w:rPr>
          <w:t>https://doi.org/10.1016/j.crhy.2019.08.003</w:t>
        </w:r>
      </w:hyperlink>
      <w:r w:rsidRPr="000E3300">
        <w:t xml:space="preserve"> (2019).</w:t>
      </w:r>
    </w:p>
    <w:p w14:paraId="65A61FB6" w14:textId="77777777" w:rsidR="000E3300" w:rsidRPr="000E3300" w:rsidRDefault="000E3300" w:rsidP="000E3300">
      <w:pPr>
        <w:pStyle w:val="EndNoteBibliography"/>
        <w:ind w:left="720" w:hanging="720"/>
      </w:pPr>
      <w:r w:rsidRPr="000E3300">
        <w:t>4</w:t>
      </w:r>
      <w:r w:rsidRPr="000E3300">
        <w:tab/>
        <w:t xml:space="preserve">Cattell, R. B. The scree test for the number of factors. </w:t>
      </w:r>
      <w:r w:rsidRPr="000E3300">
        <w:rPr>
          <w:i/>
        </w:rPr>
        <w:t>Multivariate behavioral research</w:t>
      </w:r>
      <w:r w:rsidRPr="000E3300">
        <w:t xml:space="preserve"> </w:t>
      </w:r>
      <w:r w:rsidRPr="000E3300">
        <w:rPr>
          <w:b/>
        </w:rPr>
        <w:t>1</w:t>
      </w:r>
      <w:r w:rsidRPr="000E3300">
        <w:t>, 245-276 (1966).</w:t>
      </w:r>
    </w:p>
    <w:p w14:paraId="60B565F1" w14:textId="77777777" w:rsidR="000E3300" w:rsidRPr="000E3300" w:rsidRDefault="000E3300" w:rsidP="000E3300">
      <w:pPr>
        <w:pStyle w:val="EndNoteBibliography"/>
        <w:ind w:left="720" w:hanging="720"/>
      </w:pPr>
      <w:r w:rsidRPr="000E3300">
        <w:t>5</w:t>
      </w:r>
      <w:r w:rsidRPr="000E3300">
        <w:tab/>
        <w:t xml:space="preserve">Satopaa, V., Albrecht, J., Irwin, D. &amp; Raghavan, B. in </w:t>
      </w:r>
      <w:r w:rsidRPr="000E3300">
        <w:rPr>
          <w:i/>
        </w:rPr>
        <w:t>2011 31st international conference on distributed computing systems workshops.</w:t>
      </w:r>
      <w:r w:rsidRPr="000E3300">
        <w:t xml:space="preserve">  166-171 (IEEE).</w:t>
      </w:r>
    </w:p>
    <w:p w14:paraId="7FA8B6C8" w14:textId="77777777" w:rsidR="000E3300" w:rsidRPr="000E3300" w:rsidRDefault="000E3300" w:rsidP="000E3300">
      <w:pPr>
        <w:pStyle w:val="EndNoteBibliography"/>
        <w:ind w:left="720" w:hanging="720"/>
      </w:pPr>
      <w:r w:rsidRPr="000E3300">
        <w:t>6</w:t>
      </w:r>
      <w:r w:rsidRPr="000E3300">
        <w:tab/>
        <w:t xml:space="preserve">Puy, G., Tremblay, N., Gribonval, R. &amp; Vandergheynst, P. Random sampling of bandlimited signals on graphs. </w:t>
      </w:r>
      <w:r w:rsidRPr="000E3300">
        <w:rPr>
          <w:i/>
        </w:rPr>
        <w:t>Applied and Computational Harmonic Analysis</w:t>
      </w:r>
      <w:r w:rsidRPr="000E3300">
        <w:t xml:space="preserve"> </w:t>
      </w:r>
      <w:r w:rsidRPr="000E3300">
        <w:rPr>
          <w:b/>
        </w:rPr>
        <w:t>44</w:t>
      </w:r>
      <w:r w:rsidRPr="000E3300">
        <w:t>, 446-475 (2018).</w:t>
      </w:r>
    </w:p>
    <w:p w14:paraId="6C695EF2" w14:textId="77777777" w:rsidR="000E3300" w:rsidRPr="000E3300" w:rsidRDefault="000E3300" w:rsidP="000E3300">
      <w:pPr>
        <w:pStyle w:val="EndNoteBibliography"/>
        <w:ind w:left="720" w:hanging="720"/>
      </w:pPr>
      <w:r w:rsidRPr="000E3300">
        <w:t>7</w:t>
      </w:r>
      <w:r w:rsidRPr="000E3300">
        <w:tab/>
        <w:t xml:space="preserve">Svensson, V., Teichmann, S. A. &amp; Stegle, O. SpatialDE: identification of spatially variable genes. </w:t>
      </w:r>
      <w:r w:rsidRPr="000E3300">
        <w:rPr>
          <w:i/>
        </w:rPr>
        <w:t>Nature Methods</w:t>
      </w:r>
      <w:r w:rsidRPr="000E3300">
        <w:t xml:space="preserve"> </w:t>
      </w:r>
      <w:r w:rsidRPr="000E3300">
        <w:rPr>
          <w:b/>
        </w:rPr>
        <w:t>15</w:t>
      </w:r>
      <w:r w:rsidRPr="000E3300">
        <w:t>, 343-346, doi:10.1038/nmeth.4636 (2018).</w:t>
      </w:r>
    </w:p>
    <w:p w14:paraId="7FAE8552" w14:textId="17CB06D4" w:rsidR="001E21AF" w:rsidRDefault="00761917" w:rsidP="00BE31C8">
      <w:r>
        <w:fldChar w:fldCharType="end"/>
      </w:r>
    </w:p>
    <w:sectPr w:rsidR="001E2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9D9F9" w14:textId="77777777" w:rsidR="003A458F" w:rsidRDefault="003A458F" w:rsidP="001E043C">
      <w:r>
        <w:separator/>
      </w:r>
    </w:p>
  </w:endnote>
  <w:endnote w:type="continuationSeparator" w:id="0">
    <w:p w14:paraId="03121CBD" w14:textId="77777777" w:rsidR="003A458F" w:rsidRDefault="003A458F" w:rsidP="001E0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C6283" w14:textId="77777777" w:rsidR="003A458F" w:rsidRDefault="003A458F" w:rsidP="001E043C">
      <w:r>
        <w:separator/>
      </w:r>
    </w:p>
  </w:footnote>
  <w:footnote w:type="continuationSeparator" w:id="0">
    <w:p w14:paraId="2019D6C8" w14:textId="77777777" w:rsidR="003A458F" w:rsidRDefault="003A458F" w:rsidP="001E04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09D"/>
    <w:multiLevelType w:val="hybridMultilevel"/>
    <w:tmpl w:val="09846442"/>
    <w:lvl w:ilvl="0" w:tplc="744CF2FA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F2047F"/>
    <w:multiLevelType w:val="hybridMultilevel"/>
    <w:tmpl w:val="9F8A0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36ACB"/>
    <w:multiLevelType w:val="hybridMultilevel"/>
    <w:tmpl w:val="F334DC40"/>
    <w:lvl w:ilvl="0" w:tplc="0234BE2A">
      <w:start w:val="1"/>
      <w:numFmt w:val="lowerRoman"/>
      <w:lvlText w:val="(%1)"/>
      <w:lvlJc w:val="left"/>
      <w:pPr>
        <w:ind w:left="72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0333E29"/>
    <w:multiLevelType w:val="hybridMultilevel"/>
    <w:tmpl w:val="7BD0420E"/>
    <w:lvl w:ilvl="0" w:tplc="DE004EE0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456F29"/>
    <w:multiLevelType w:val="hybridMultilevel"/>
    <w:tmpl w:val="F2A8AD16"/>
    <w:lvl w:ilvl="0" w:tplc="D98E97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22B16"/>
    <w:multiLevelType w:val="hybridMultilevel"/>
    <w:tmpl w:val="F81E6348"/>
    <w:lvl w:ilvl="0" w:tplc="7206D42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CB57A4"/>
    <w:multiLevelType w:val="hybridMultilevel"/>
    <w:tmpl w:val="36A00602"/>
    <w:lvl w:ilvl="0" w:tplc="28A465F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0D2A2A"/>
    <w:multiLevelType w:val="hybridMultilevel"/>
    <w:tmpl w:val="B2727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55F"/>
    <w:multiLevelType w:val="hybridMultilevel"/>
    <w:tmpl w:val="58B0B546"/>
    <w:lvl w:ilvl="0" w:tplc="B71634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0436D40"/>
    <w:multiLevelType w:val="hybridMultilevel"/>
    <w:tmpl w:val="E8BCF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950560"/>
    <w:multiLevelType w:val="hybridMultilevel"/>
    <w:tmpl w:val="C61EE7AA"/>
    <w:lvl w:ilvl="0" w:tplc="7C16D74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5D18E5"/>
    <w:multiLevelType w:val="hybridMultilevel"/>
    <w:tmpl w:val="864820D2"/>
    <w:lvl w:ilvl="0" w:tplc="053E86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800B55"/>
    <w:multiLevelType w:val="multilevel"/>
    <w:tmpl w:val="4D0E7A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63532618"/>
    <w:multiLevelType w:val="hybridMultilevel"/>
    <w:tmpl w:val="CEE81602"/>
    <w:lvl w:ilvl="0" w:tplc="BFE8DF4A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7B7AD2"/>
    <w:multiLevelType w:val="hybridMultilevel"/>
    <w:tmpl w:val="02EEAA28"/>
    <w:lvl w:ilvl="0" w:tplc="579C5FA0">
      <w:start w:val="1"/>
      <w:numFmt w:val="lowerRoman"/>
      <w:lvlText w:val="(%1)"/>
      <w:lvlJc w:val="left"/>
      <w:pPr>
        <w:ind w:left="108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1096C"/>
    <w:multiLevelType w:val="hybridMultilevel"/>
    <w:tmpl w:val="3BAC8FBE"/>
    <w:lvl w:ilvl="0" w:tplc="F43889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B876A7"/>
    <w:multiLevelType w:val="hybridMultilevel"/>
    <w:tmpl w:val="08CE10EC"/>
    <w:lvl w:ilvl="0" w:tplc="DB169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EA48D6"/>
    <w:multiLevelType w:val="hybridMultilevel"/>
    <w:tmpl w:val="CEB45D54"/>
    <w:lvl w:ilvl="0" w:tplc="F0826D8C">
      <w:start w:val="1"/>
      <w:numFmt w:val="lowerRoman"/>
      <w:lvlText w:val="(%1)"/>
      <w:lvlJc w:val="left"/>
      <w:pPr>
        <w:ind w:left="720" w:hanging="72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FF52BBE"/>
    <w:multiLevelType w:val="hybridMultilevel"/>
    <w:tmpl w:val="F65A6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1006876">
    <w:abstractNumId w:val="1"/>
  </w:num>
  <w:num w:numId="2" w16cid:durableId="446780179">
    <w:abstractNumId w:val="7"/>
  </w:num>
  <w:num w:numId="3" w16cid:durableId="1118642811">
    <w:abstractNumId w:val="9"/>
  </w:num>
  <w:num w:numId="4" w16cid:durableId="2028630859">
    <w:abstractNumId w:val="8"/>
  </w:num>
  <w:num w:numId="5" w16cid:durableId="1329358399">
    <w:abstractNumId w:val="2"/>
  </w:num>
  <w:num w:numId="6" w16cid:durableId="674302780">
    <w:abstractNumId w:val="15"/>
  </w:num>
  <w:num w:numId="7" w16cid:durableId="386534588">
    <w:abstractNumId w:val="11"/>
  </w:num>
  <w:num w:numId="8" w16cid:durableId="1838763948">
    <w:abstractNumId w:val="0"/>
  </w:num>
  <w:num w:numId="9" w16cid:durableId="1958288996">
    <w:abstractNumId w:val="16"/>
  </w:num>
  <w:num w:numId="10" w16cid:durableId="533663166">
    <w:abstractNumId w:val="12"/>
  </w:num>
  <w:num w:numId="11" w16cid:durableId="657349414">
    <w:abstractNumId w:val="13"/>
  </w:num>
  <w:num w:numId="12" w16cid:durableId="1436753613">
    <w:abstractNumId w:val="18"/>
  </w:num>
  <w:num w:numId="13" w16cid:durableId="248466565">
    <w:abstractNumId w:val="5"/>
  </w:num>
  <w:num w:numId="14" w16cid:durableId="487867069">
    <w:abstractNumId w:val="6"/>
  </w:num>
  <w:num w:numId="15" w16cid:durableId="479200198">
    <w:abstractNumId w:val="3"/>
  </w:num>
  <w:num w:numId="16" w16cid:durableId="1116219922">
    <w:abstractNumId w:val="4"/>
  </w:num>
  <w:num w:numId="17" w16cid:durableId="1234271271">
    <w:abstractNumId w:val="10"/>
  </w:num>
  <w:num w:numId="18" w16cid:durableId="303314843">
    <w:abstractNumId w:val="14"/>
  </w:num>
  <w:num w:numId="19" w16cid:durableId="49191717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A2MLM0sjA2MzQ1sTRV0lEKTi0uzszPAykwNK4FAMVd9B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t22p2es2dft0e2sxnv2efi9p00xaa0spfr&quot;&gt;My EndNote Library&lt;record-ids&gt;&lt;item&gt;1573&lt;/item&gt;&lt;item&gt;1698&lt;/item&gt;&lt;item&gt;1860&lt;/item&gt;&lt;item&gt;1861&lt;/item&gt;&lt;item&gt;1862&lt;/item&gt;&lt;item&gt;1863&lt;/item&gt;&lt;item&gt;2208&lt;/item&gt;&lt;/record-ids&gt;&lt;/item&gt;&lt;/Libraries&gt;"/>
  </w:docVars>
  <w:rsids>
    <w:rsidRoot w:val="003C091C"/>
    <w:rsid w:val="000868D6"/>
    <w:rsid w:val="000E0399"/>
    <w:rsid w:val="000E3300"/>
    <w:rsid w:val="001169A5"/>
    <w:rsid w:val="00192384"/>
    <w:rsid w:val="001E043C"/>
    <w:rsid w:val="001E21AF"/>
    <w:rsid w:val="001F3149"/>
    <w:rsid w:val="002D2C5B"/>
    <w:rsid w:val="00317694"/>
    <w:rsid w:val="00356FDB"/>
    <w:rsid w:val="003A458F"/>
    <w:rsid w:val="003B2CCC"/>
    <w:rsid w:val="003C091C"/>
    <w:rsid w:val="00403878"/>
    <w:rsid w:val="004261BA"/>
    <w:rsid w:val="00437EF2"/>
    <w:rsid w:val="00460DB9"/>
    <w:rsid w:val="004A0970"/>
    <w:rsid w:val="004C357A"/>
    <w:rsid w:val="005225BD"/>
    <w:rsid w:val="005347A7"/>
    <w:rsid w:val="005E4155"/>
    <w:rsid w:val="00631F63"/>
    <w:rsid w:val="00645613"/>
    <w:rsid w:val="00645C40"/>
    <w:rsid w:val="006711C5"/>
    <w:rsid w:val="00673897"/>
    <w:rsid w:val="00682616"/>
    <w:rsid w:val="00687B0C"/>
    <w:rsid w:val="006E4A57"/>
    <w:rsid w:val="006F0F14"/>
    <w:rsid w:val="0072001A"/>
    <w:rsid w:val="0072202A"/>
    <w:rsid w:val="00761917"/>
    <w:rsid w:val="007A34E3"/>
    <w:rsid w:val="00804C2B"/>
    <w:rsid w:val="00850CD1"/>
    <w:rsid w:val="008772F2"/>
    <w:rsid w:val="008E7128"/>
    <w:rsid w:val="00930217"/>
    <w:rsid w:val="00951294"/>
    <w:rsid w:val="00963BA0"/>
    <w:rsid w:val="00992C63"/>
    <w:rsid w:val="009E6D68"/>
    <w:rsid w:val="00A20C77"/>
    <w:rsid w:val="00A47F34"/>
    <w:rsid w:val="00AD66BF"/>
    <w:rsid w:val="00AE4DEE"/>
    <w:rsid w:val="00B63D19"/>
    <w:rsid w:val="00BB054C"/>
    <w:rsid w:val="00BE31C8"/>
    <w:rsid w:val="00C22B23"/>
    <w:rsid w:val="00C25D6A"/>
    <w:rsid w:val="00C60176"/>
    <w:rsid w:val="00DC26E0"/>
    <w:rsid w:val="00DF6F6C"/>
    <w:rsid w:val="00E56D68"/>
    <w:rsid w:val="00E940E1"/>
    <w:rsid w:val="00E95954"/>
    <w:rsid w:val="00F739A9"/>
    <w:rsid w:val="00F838E7"/>
    <w:rsid w:val="00FE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16419"/>
  <w15:chartTrackingRefBased/>
  <w15:docId w15:val="{F34546BB-4807-430F-906B-0F834EB27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43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04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043C"/>
  </w:style>
  <w:style w:type="paragraph" w:styleId="Footer">
    <w:name w:val="footer"/>
    <w:basedOn w:val="Normal"/>
    <w:link w:val="FooterChar"/>
    <w:uiPriority w:val="99"/>
    <w:unhideWhenUsed/>
    <w:rsid w:val="001E04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43C"/>
  </w:style>
  <w:style w:type="character" w:customStyle="1" w:styleId="apple-converted-space">
    <w:name w:val="apple-converted-space"/>
    <w:basedOn w:val="DefaultParagraphFont"/>
    <w:rsid w:val="001E043C"/>
  </w:style>
  <w:style w:type="character" w:styleId="CommentReference">
    <w:name w:val="annotation reference"/>
    <w:basedOn w:val="DefaultParagraphFont"/>
    <w:uiPriority w:val="99"/>
    <w:semiHidden/>
    <w:unhideWhenUsed/>
    <w:rsid w:val="001E04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04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04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4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43C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E043C"/>
    <w:pPr>
      <w:ind w:left="720"/>
      <w:contextualSpacing/>
    </w:pPr>
  </w:style>
  <w:style w:type="character" w:customStyle="1" w:styleId="cf01">
    <w:name w:val="cf01"/>
    <w:basedOn w:val="DefaultParagraphFont"/>
    <w:rsid w:val="001E043C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E043C"/>
    <w:rPr>
      <w:color w:val="0563C1" w:themeColor="hyperlink"/>
      <w:u w:val="single"/>
    </w:rPr>
  </w:style>
  <w:style w:type="paragraph" w:customStyle="1" w:styleId="paragraph">
    <w:name w:val="paragraph"/>
    <w:basedOn w:val="Normal"/>
    <w:link w:val="paragraphChar"/>
    <w:rsid w:val="001E043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1E043C"/>
  </w:style>
  <w:style w:type="character" w:customStyle="1" w:styleId="eop">
    <w:name w:val="eop"/>
    <w:basedOn w:val="DefaultParagraphFont"/>
    <w:rsid w:val="001E043C"/>
  </w:style>
  <w:style w:type="character" w:customStyle="1" w:styleId="paragraphChar">
    <w:name w:val="paragraph Char"/>
    <w:basedOn w:val="DefaultParagraphFont"/>
    <w:link w:val="paragraph"/>
    <w:rsid w:val="001E043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4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43C"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043C"/>
    <w:rPr>
      <w:color w:val="808080"/>
    </w:rPr>
  </w:style>
  <w:style w:type="paragraph" w:styleId="Revision">
    <w:name w:val="Revision"/>
    <w:hidden/>
    <w:uiPriority w:val="99"/>
    <w:semiHidden/>
    <w:rsid w:val="001E043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39"/>
    <w:rsid w:val="001E0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E043C"/>
    <w:rPr>
      <w:rFonts w:ascii="Calibri" w:eastAsia="MS Mincho" w:hAnsi="Calibri" w:cs="Calibri"/>
      <w:sz w:val="22"/>
      <w:szCs w:val="22"/>
      <w:lang w:eastAsia="ja-JP"/>
    </w:rPr>
  </w:style>
  <w:style w:type="character" w:styleId="Emphasis">
    <w:name w:val="Emphasis"/>
    <w:basedOn w:val="DefaultParagraphFont"/>
    <w:uiPriority w:val="20"/>
    <w:qFormat/>
    <w:rsid w:val="001E043C"/>
    <w:rPr>
      <w:i/>
      <w:iCs/>
    </w:rPr>
  </w:style>
  <w:style w:type="character" w:styleId="Strong">
    <w:name w:val="Strong"/>
    <w:basedOn w:val="DefaultParagraphFont"/>
    <w:uiPriority w:val="22"/>
    <w:qFormat/>
    <w:rsid w:val="001E043C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E043C"/>
  </w:style>
  <w:style w:type="character" w:customStyle="1" w:styleId="DateChar">
    <w:name w:val="Date Char"/>
    <w:basedOn w:val="DefaultParagraphFont"/>
    <w:link w:val="Date"/>
    <w:uiPriority w:val="99"/>
    <w:semiHidden/>
    <w:rsid w:val="001E043C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E043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1E043C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E043C"/>
    <w:rPr>
      <w:rFonts w:ascii="Calibri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1E043C"/>
    <w:pPr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E043C"/>
    <w:rPr>
      <w:rFonts w:ascii="Calibri" w:hAnsi="Calibri" w:cs="Calibri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Visio_Drawing.vsdx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crhy.2019.08.003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package" Target="embeddings/Microsoft_Visio_Drawing1.vsd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FB2C0A7-DFA0-EF41-92EC-CF215F9B8A8F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2539</Words>
  <Characters>14473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Chang, Yuzhou</dc:creator>
  <cp:keywords/>
  <dc:description/>
  <cp:lastModifiedBy>Chang, Yuzhou</cp:lastModifiedBy>
  <cp:revision>3</cp:revision>
  <cp:lastPrinted>2024-02-12T20:28:00Z</cp:lastPrinted>
  <dcterms:created xsi:type="dcterms:W3CDTF">2024-02-12T20:28:00Z</dcterms:created>
  <dcterms:modified xsi:type="dcterms:W3CDTF">2024-02-12T20:29:00Z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48762ff006c1a123ca3a3bbc5bf18764b2c91ee2a4ad4e63f9afd6d618d8c4ea</vt:lpwstr>
  </property>
  <property fmtid="{D5CDD505-2E9C-101B-9397-08002B2CF9AE}" pid="3" name="grammarly_documentId">
    <vt:lpwstr>documentId_6074</vt:lpwstr>
  </property>
  <property fmtid="{D5CDD505-2E9C-101B-9397-08002B2CF9AE}" pid="4" name="grammarly_documentContext">
    <vt:lpwstr>{"goals":[],"domain":"general","emotions":[],"dialect":"american"}</vt:lpwstr>
  </property>
</Properties>
</file>