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8C0BFF" w14:textId="31A90AE4" w:rsidR="00964044" w:rsidRPr="00322F0F" w:rsidRDefault="00A654BB" w:rsidP="00EE3DE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1: </w:t>
      </w:r>
      <w:r w:rsidR="00964044" w:rsidRPr="00322F0F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964044" w:rsidRPr="00322F0F">
        <w:rPr>
          <w:rFonts w:ascii="Times New Roman" w:hAnsi="Times New Roman" w:cs="Times New Roman"/>
          <w:b/>
          <w:bCs/>
          <w:sz w:val="24"/>
          <w:szCs w:val="24"/>
        </w:rPr>
        <w:t>he Joanna Briggs Institute (JBI) for</w:t>
      </w:r>
      <w:r w:rsidR="00964044" w:rsidRPr="00322F0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64044" w:rsidRPr="00322F0F">
        <w:rPr>
          <w:rFonts w:ascii="Times New Roman" w:hAnsi="Times New Roman" w:cs="Times New Roman"/>
          <w:b/>
          <w:bCs/>
          <w:sz w:val="24"/>
          <w:szCs w:val="24"/>
        </w:rPr>
        <w:t xml:space="preserve">methodological quality </w:t>
      </w:r>
      <w:r w:rsidR="00964044" w:rsidRPr="00322F0F">
        <w:rPr>
          <w:rFonts w:ascii="Times New Roman" w:hAnsi="Times New Roman" w:cs="Times New Roman"/>
          <w:b/>
          <w:bCs/>
          <w:sz w:val="24"/>
          <w:szCs w:val="24"/>
        </w:rPr>
        <w:t xml:space="preserve">appraisal tool </w:t>
      </w: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64044" w:rsidRPr="00A055C2" w14:paraId="455F8B4C" w14:textId="77777777" w:rsidTr="00322F0F">
        <w:tc>
          <w:tcPr>
            <w:tcW w:w="3005" w:type="dxa"/>
            <w:tcBorders>
              <w:top w:val="single" w:sz="4" w:space="0" w:color="auto"/>
              <w:bottom w:val="single" w:sz="4" w:space="0" w:color="auto"/>
            </w:tcBorders>
          </w:tcPr>
          <w:p w14:paraId="2731DCC1" w14:textId="2DDE8287" w:rsidR="00964044" w:rsidRPr="00A055C2" w:rsidRDefault="00964044" w:rsidP="00EE3D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 xml:space="preserve">Cross-sectional study design </w:t>
            </w:r>
          </w:p>
        </w:tc>
        <w:tc>
          <w:tcPr>
            <w:tcW w:w="3005" w:type="dxa"/>
            <w:tcBorders>
              <w:top w:val="single" w:sz="4" w:space="0" w:color="auto"/>
              <w:bottom w:val="single" w:sz="4" w:space="0" w:color="auto"/>
            </w:tcBorders>
          </w:tcPr>
          <w:p w14:paraId="3EEE93E8" w14:textId="3D5A032A" w:rsidR="00964044" w:rsidRPr="00A055C2" w:rsidRDefault="00964044" w:rsidP="00EE3D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 xml:space="preserve">Case-control study design </w:t>
            </w:r>
          </w:p>
        </w:tc>
        <w:tc>
          <w:tcPr>
            <w:tcW w:w="3006" w:type="dxa"/>
            <w:tcBorders>
              <w:top w:val="single" w:sz="4" w:space="0" w:color="auto"/>
              <w:bottom w:val="single" w:sz="4" w:space="0" w:color="auto"/>
            </w:tcBorders>
          </w:tcPr>
          <w:p w14:paraId="61AD032C" w14:textId="0EF3D322" w:rsidR="00964044" w:rsidRPr="00A055C2" w:rsidRDefault="00964044" w:rsidP="00EE3D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 xml:space="preserve">Mixed method design </w:t>
            </w:r>
          </w:p>
        </w:tc>
      </w:tr>
      <w:tr w:rsidR="00964044" w:rsidRPr="00A055C2" w14:paraId="5A016AE0" w14:textId="77777777" w:rsidTr="00322F0F">
        <w:tc>
          <w:tcPr>
            <w:tcW w:w="3005" w:type="dxa"/>
            <w:tcBorders>
              <w:top w:val="single" w:sz="4" w:space="0" w:color="auto"/>
            </w:tcBorders>
          </w:tcPr>
          <w:p w14:paraId="7D6FB40E" w14:textId="45EAA9DA" w:rsidR="00964044" w:rsidRPr="00A055C2" w:rsidRDefault="00964044" w:rsidP="00964044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 xml:space="preserve">Clarity for inclusion criteria </w:t>
            </w:r>
          </w:p>
        </w:tc>
        <w:tc>
          <w:tcPr>
            <w:tcW w:w="3005" w:type="dxa"/>
            <w:tcBorders>
              <w:top w:val="single" w:sz="4" w:space="0" w:color="auto"/>
            </w:tcBorders>
          </w:tcPr>
          <w:p w14:paraId="415B67EF" w14:textId="35905050" w:rsidR="00964044" w:rsidRPr="00A055C2" w:rsidRDefault="00964044" w:rsidP="00A055C2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>Comparability of groups between the cases and controls.</w:t>
            </w:r>
          </w:p>
        </w:tc>
        <w:tc>
          <w:tcPr>
            <w:tcW w:w="3006" w:type="dxa"/>
            <w:tcBorders>
              <w:top w:val="single" w:sz="4" w:space="0" w:color="auto"/>
            </w:tcBorders>
          </w:tcPr>
          <w:p w14:paraId="6AAF168F" w14:textId="1DB21FE0" w:rsidR="00964044" w:rsidRPr="00A055C2" w:rsidRDefault="00A055C2" w:rsidP="00A055C2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 xml:space="preserve">Congruity between the stated philosophical perspective and the research methodology. </w:t>
            </w:r>
          </w:p>
        </w:tc>
      </w:tr>
      <w:tr w:rsidR="00964044" w:rsidRPr="00A055C2" w14:paraId="7DB2FE43" w14:textId="77777777" w:rsidTr="00322F0F">
        <w:tc>
          <w:tcPr>
            <w:tcW w:w="3005" w:type="dxa"/>
          </w:tcPr>
          <w:p w14:paraId="036E080B" w14:textId="6F57F769" w:rsidR="00964044" w:rsidRPr="00A055C2" w:rsidRDefault="00964044" w:rsidP="00A055C2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>Details description of subject settings</w:t>
            </w:r>
          </w:p>
        </w:tc>
        <w:tc>
          <w:tcPr>
            <w:tcW w:w="3005" w:type="dxa"/>
          </w:tcPr>
          <w:p w14:paraId="2F373A5B" w14:textId="058A4A5B" w:rsidR="00964044" w:rsidRPr="00A055C2" w:rsidRDefault="00964044" w:rsidP="00964044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>Appropriateness matching for cases and controls.</w:t>
            </w:r>
          </w:p>
        </w:tc>
        <w:tc>
          <w:tcPr>
            <w:tcW w:w="3006" w:type="dxa"/>
          </w:tcPr>
          <w:p w14:paraId="74C67CE9" w14:textId="2EA09D33" w:rsidR="00964044" w:rsidRPr="00A055C2" w:rsidRDefault="00A055C2" w:rsidP="00A055C2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 xml:space="preserve">Congruity between the research methodology and the research question or objective. </w:t>
            </w:r>
          </w:p>
        </w:tc>
      </w:tr>
      <w:tr w:rsidR="00964044" w:rsidRPr="00A055C2" w14:paraId="657378AF" w14:textId="77777777" w:rsidTr="00322F0F">
        <w:tc>
          <w:tcPr>
            <w:tcW w:w="3005" w:type="dxa"/>
          </w:tcPr>
          <w:p w14:paraId="56D147D9" w14:textId="640D9167" w:rsidR="00964044" w:rsidRPr="00A055C2" w:rsidRDefault="00964044" w:rsidP="00A055C2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>Validity and reliability of exposure assessment</w:t>
            </w:r>
          </w:p>
        </w:tc>
        <w:tc>
          <w:tcPr>
            <w:tcW w:w="3005" w:type="dxa"/>
          </w:tcPr>
          <w:p w14:paraId="35BE453F" w14:textId="5753CF50" w:rsidR="00964044" w:rsidRPr="00A055C2" w:rsidRDefault="00964044" w:rsidP="00964044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 xml:space="preserve">Used of the same criteria for identification of cases and controls. </w:t>
            </w:r>
          </w:p>
        </w:tc>
        <w:tc>
          <w:tcPr>
            <w:tcW w:w="3006" w:type="dxa"/>
          </w:tcPr>
          <w:p w14:paraId="5F734D90" w14:textId="11F30C86" w:rsidR="00964044" w:rsidRPr="00A055C2" w:rsidRDefault="00A055C2" w:rsidP="00A055C2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 xml:space="preserve"> Congruity between the research methodology and the methods used for data collection process. </w:t>
            </w:r>
          </w:p>
        </w:tc>
      </w:tr>
      <w:tr w:rsidR="00964044" w:rsidRPr="00A055C2" w14:paraId="117112E3" w14:textId="77777777" w:rsidTr="00322F0F">
        <w:tc>
          <w:tcPr>
            <w:tcW w:w="3005" w:type="dxa"/>
          </w:tcPr>
          <w:p w14:paraId="19E9B695" w14:textId="21E4AC9E" w:rsidR="00964044" w:rsidRPr="00A055C2" w:rsidRDefault="00964044" w:rsidP="00A055C2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>Used of standard criteria for measuring condition</w:t>
            </w:r>
          </w:p>
        </w:tc>
        <w:tc>
          <w:tcPr>
            <w:tcW w:w="3005" w:type="dxa"/>
          </w:tcPr>
          <w:p w14:paraId="360E1FE9" w14:textId="0B421224" w:rsidR="00964044" w:rsidRPr="00A055C2" w:rsidRDefault="00964044" w:rsidP="00964044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>Standardization, validity and reliability of exposure assessment</w:t>
            </w:r>
          </w:p>
        </w:tc>
        <w:tc>
          <w:tcPr>
            <w:tcW w:w="3006" w:type="dxa"/>
          </w:tcPr>
          <w:p w14:paraId="56EB06CF" w14:textId="35FEFFCA" w:rsidR="00964044" w:rsidRPr="00A055C2" w:rsidRDefault="00A055C2" w:rsidP="00A055C2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>Congruity between the research methodology and the representation and data analysis.</w:t>
            </w:r>
          </w:p>
        </w:tc>
      </w:tr>
      <w:tr w:rsidR="00964044" w:rsidRPr="00A055C2" w14:paraId="752098A4" w14:textId="77777777" w:rsidTr="00322F0F">
        <w:tc>
          <w:tcPr>
            <w:tcW w:w="3005" w:type="dxa"/>
          </w:tcPr>
          <w:p w14:paraId="39EE4038" w14:textId="18258235" w:rsidR="00964044" w:rsidRPr="00A055C2" w:rsidRDefault="00964044" w:rsidP="00A055C2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>Identification of confounding variables</w:t>
            </w:r>
          </w:p>
        </w:tc>
        <w:tc>
          <w:tcPr>
            <w:tcW w:w="3005" w:type="dxa"/>
          </w:tcPr>
          <w:p w14:paraId="04226F33" w14:textId="280A6C60" w:rsidR="00964044" w:rsidRPr="00A055C2" w:rsidRDefault="00964044" w:rsidP="00964044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>Similarity for exposure assessment between cases and control.</w:t>
            </w:r>
          </w:p>
        </w:tc>
        <w:tc>
          <w:tcPr>
            <w:tcW w:w="3006" w:type="dxa"/>
          </w:tcPr>
          <w:p w14:paraId="3810BC9D" w14:textId="6C5D3A2D" w:rsidR="00964044" w:rsidRPr="00A055C2" w:rsidRDefault="00A055C2" w:rsidP="00A055C2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>Congruence between the research methodology and the interpretation of results.</w:t>
            </w:r>
          </w:p>
        </w:tc>
      </w:tr>
      <w:tr w:rsidR="00964044" w:rsidRPr="00A055C2" w14:paraId="73EF4BE3" w14:textId="77777777" w:rsidTr="00322F0F">
        <w:tc>
          <w:tcPr>
            <w:tcW w:w="3005" w:type="dxa"/>
          </w:tcPr>
          <w:p w14:paraId="7E8CC1F6" w14:textId="40BEFB09" w:rsidR="00964044" w:rsidRPr="00A055C2" w:rsidRDefault="00964044" w:rsidP="00A055C2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>Strategies for dealing with confounding variables</w:t>
            </w:r>
          </w:p>
        </w:tc>
        <w:tc>
          <w:tcPr>
            <w:tcW w:w="3005" w:type="dxa"/>
          </w:tcPr>
          <w:p w14:paraId="78F9FA44" w14:textId="3713321E" w:rsidR="00964044" w:rsidRPr="00A055C2" w:rsidRDefault="00964044" w:rsidP="00964044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>Identification of confounding variables</w:t>
            </w: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006" w:type="dxa"/>
          </w:tcPr>
          <w:p w14:paraId="2903054E" w14:textId="7EE53B01" w:rsidR="00964044" w:rsidRPr="00A055C2" w:rsidRDefault="00A055C2" w:rsidP="00A055C2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 xml:space="preserve">Locating the researcher culturally or </w:t>
            </w: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>traditionally.</w:t>
            </w:r>
          </w:p>
        </w:tc>
      </w:tr>
      <w:tr w:rsidR="00964044" w:rsidRPr="00A055C2" w14:paraId="5CEE0DF1" w14:textId="77777777" w:rsidTr="00322F0F">
        <w:tc>
          <w:tcPr>
            <w:tcW w:w="3005" w:type="dxa"/>
          </w:tcPr>
          <w:p w14:paraId="3E3F3967" w14:textId="28F3184B" w:rsidR="00964044" w:rsidRPr="00A055C2" w:rsidRDefault="00964044" w:rsidP="00A055C2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>Validity and reliability of outcome assessment</w:t>
            </w:r>
          </w:p>
        </w:tc>
        <w:tc>
          <w:tcPr>
            <w:tcW w:w="3005" w:type="dxa"/>
          </w:tcPr>
          <w:p w14:paraId="1A89FAAA" w14:textId="0A95340D" w:rsidR="00964044" w:rsidRPr="00A055C2" w:rsidRDefault="00A055C2" w:rsidP="00A055C2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 xml:space="preserve">Strategies for dealing with confounding variables. </w:t>
            </w:r>
          </w:p>
        </w:tc>
        <w:tc>
          <w:tcPr>
            <w:tcW w:w="3006" w:type="dxa"/>
          </w:tcPr>
          <w:p w14:paraId="3A6201DB" w14:textId="4431E831" w:rsidR="00964044" w:rsidRPr="00A055C2" w:rsidRDefault="00A055C2" w:rsidP="00A055C2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 xml:space="preserve">Addressing the influence of the researcher on the research or vice-versa. </w:t>
            </w:r>
          </w:p>
        </w:tc>
      </w:tr>
      <w:tr w:rsidR="00964044" w:rsidRPr="00A055C2" w14:paraId="49F82923" w14:textId="77777777" w:rsidTr="00322F0F">
        <w:tc>
          <w:tcPr>
            <w:tcW w:w="3005" w:type="dxa"/>
          </w:tcPr>
          <w:p w14:paraId="75686D20" w14:textId="6E8ACB39" w:rsidR="00964044" w:rsidRPr="00A055C2" w:rsidRDefault="00964044" w:rsidP="00A055C2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 xml:space="preserve">Used of appropriate statistical analysis.  </w:t>
            </w:r>
          </w:p>
        </w:tc>
        <w:tc>
          <w:tcPr>
            <w:tcW w:w="3005" w:type="dxa"/>
          </w:tcPr>
          <w:p w14:paraId="2ADBA6E5" w14:textId="77777777" w:rsidR="00964044" w:rsidRDefault="00A055C2" w:rsidP="00A055C2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>Standardization, validity and reliability for outcome assessment.</w:t>
            </w:r>
          </w:p>
          <w:p w14:paraId="422F6BB9" w14:textId="375AA0E8" w:rsidR="00322F0F" w:rsidRPr="00A055C2" w:rsidRDefault="00322F0F" w:rsidP="00A055C2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</w:tcPr>
          <w:p w14:paraId="30445EDE" w14:textId="21B1ADF2" w:rsidR="00964044" w:rsidRPr="00A055C2" w:rsidRDefault="00A055C2" w:rsidP="00A055C2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 xml:space="preserve">Representation of participants and their voices. </w:t>
            </w:r>
          </w:p>
        </w:tc>
      </w:tr>
      <w:tr w:rsidR="00964044" w:rsidRPr="00A055C2" w14:paraId="6A506AD2" w14:textId="77777777" w:rsidTr="00322F0F">
        <w:tc>
          <w:tcPr>
            <w:tcW w:w="3005" w:type="dxa"/>
          </w:tcPr>
          <w:p w14:paraId="7483A1DD" w14:textId="77777777" w:rsidR="00964044" w:rsidRPr="00A055C2" w:rsidRDefault="00964044" w:rsidP="00EE3D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5" w:type="dxa"/>
          </w:tcPr>
          <w:p w14:paraId="78E59F9B" w14:textId="64ADA909" w:rsidR="00964044" w:rsidRPr="00A055C2" w:rsidRDefault="00A055C2" w:rsidP="00A055C2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 xml:space="preserve">Adequacy period for exposure assessment. </w:t>
            </w:r>
          </w:p>
        </w:tc>
        <w:tc>
          <w:tcPr>
            <w:tcW w:w="3006" w:type="dxa"/>
          </w:tcPr>
          <w:p w14:paraId="22967C1C" w14:textId="77777777" w:rsidR="00964044" w:rsidRDefault="00A055C2" w:rsidP="00A055C2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>Ethical approval through appropriate body</w:t>
            </w: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C28F51F" w14:textId="479E6506" w:rsidR="00322F0F" w:rsidRPr="00A055C2" w:rsidRDefault="00322F0F" w:rsidP="00A055C2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4044" w:rsidRPr="00A055C2" w14:paraId="27519D5E" w14:textId="77777777" w:rsidTr="00322F0F">
        <w:tc>
          <w:tcPr>
            <w:tcW w:w="3005" w:type="dxa"/>
          </w:tcPr>
          <w:p w14:paraId="01C3237A" w14:textId="77777777" w:rsidR="00964044" w:rsidRPr="00A055C2" w:rsidRDefault="00964044" w:rsidP="00EE3D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5" w:type="dxa"/>
          </w:tcPr>
          <w:p w14:paraId="3634BB7D" w14:textId="1E60C755" w:rsidR="00964044" w:rsidRPr="00A055C2" w:rsidRDefault="00A055C2" w:rsidP="00A055C2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>Used of appropriate statistical analysis</w:t>
            </w:r>
          </w:p>
        </w:tc>
        <w:tc>
          <w:tcPr>
            <w:tcW w:w="3006" w:type="dxa"/>
          </w:tcPr>
          <w:p w14:paraId="20097EC9" w14:textId="2BCDE1BB" w:rsidR="00964044" w:rsidRPr="00A055C2" w:rsidRDefault="00A055C2" w:rsidP="00A055C2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55C2">
              <w:rPr>
                <w:rFonts w:ascii="Times New Roman" w:hAnsi="Times New Roman" w:cs="Times New Roman"/>
                <w:sz w:val="24"/>
                <w:szCs w:val="24"/>
              </w:rPr>
              <w:t xml:space="preserve">Relationship of conclusions to analysis or data interpretation.      </w:t>
            </w:r>
          </w:p>
        </w:tc>
      </w:tr>
    </w:tbl>
    <w:p w14:paraId="6FBB3A3A" w14:textId="77777777" w:rsidR="00964044" w:rsidRPr="00A055C2" w:rsidRDefault="00964044" w:rsidP="00EE3DEE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964044" w:rsidRPr="00A055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B02A2"/>
    <w:multiLevelType w:val="hybridMultilevel"/>
    <w:tmpl w:val="F19693C2"/>
    <w:lvl w:ilvl="0" w:tplc="25D4C27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B6D41"/>
    <w:multiLevelType w:val="hybridMultilevel"/>
    <w:tmpl w:val="E35A93E0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A72BF6"/>
    <w:multiLevelType w:val="hybridMultilevel"/>
    <w:tmpl w:val="5ADE7382"/>
    <w:lvl w:ilvl="0" w:tplc="4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9C33BF3"/>
    <w:multiLevelType w:val="hybridMultilevel"/>
    <w:tmpl w:val="411E8360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807149"/>
    <w:multiLevelType w:val="hybridMultilevel"/>
    <w:tmpl w:val="6E2611AE"/>
    <w:lvl w:ilvl="0" w:tplc="F234490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86174E"/>
    <w:multiLevelType w:val="hybridMultilevel"/>
    <w:tmpl w:val="4628E91A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41020E"/>
    <w:multiLevelType w:val="hybridMultilevel"/>
    <w:tmpl w:val="88A21BF2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E32966"/>
    <w:multiLevelType w:val="hybridMultilevel"/>
    <w:tmpl w:val="DE920114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EF47DA"/>
    <w:multiLevelType w:val="hybridMultilevel"/>
    <w:tmpl w:val="395C00BE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25143E"/>
    <w:multiLevelType w:val="hybridMultilevel"/>
    <w:tmpl w:val="36EC73BE"/>
    <w:lvl w:ilvl="0" w:tplc="296C67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671D37"/>
    <w:multiLevelType w:val="hybridMultilevel"/>
    <w:tmpl w:val="44D62F40"/>
    <w:lvl w:ilvl="0" w:tplc="7BEA61C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C3427F"/>
    <w:multiLevelType w:val="hybridMultilevel"/>
    <w:tmpl w:val="9044F77A"/>
    <w:lvl w:ilvl="0" w:tplc="44090011">
      <w:start w:val="1"/>
      <w:numFmt w:val="decimal"/>
      <w:lvlText w:val="%1)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827610"/>
    <w:multiLevelType w:val="hybridMultilevel"/>
    <w:tmpl w:val="E6FCD016"/>
    <w:lvl w:ilvl="0" w:tplc="2EC2488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DD0892"/>
    <w:multiLevelType w:val="hybridMultilevel"/>
    <w:tmpl w:val="2EEA2922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1F5EF4"/>
    <w:multiLevelType w:val="hybridMultilevel"/>
    <w:tmpl w:val="AA923008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451E85"/>
    <w:multiLevelType w:val="hybridMultilevel"/>
    <w:tmpl w:val="E858148A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DD5BA9"/>
    <w:multiLevelType w:val="hybridMultilevel"/>
    <w:tmpl w:val="F15AABDA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F136CF"/>
    <w:multiLevelType w:val="hybridMultilevel"/>
    <w:tmpl w:val="DD466988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3966C0"/>
    <w:multiLevelType w:val="hybridMultilevel"/>
    <w:tmpl w:val="75A01B26"/>
    <w:lvl w:ilvl="0" w:tplc="2A30F76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7538A2"/>
    <w:multiLevelType w:val="hybridMultilevel"/>
    <w:tmpl w:val="10A29140"/>
    <w:lvl w:ilvl="0" w:tplc="5F0815C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0828B8"/>
    <w:multiLevelType w:val="hybridMultilevel"/>
    <w:tmpl w:val="89A04D9A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1"/>
  </w:num>
  <w:num w:numId="3">
    <w:abstractNumId w:val="10"/>
  </w:num>
  <w:num w:numId="4">
    <w:abstractNumId w:val="12"/>
  </w:num>
  <w:num w:numId="5">
    <w:abstractNumId w:val="9"/>
  </w:num>
  <w:num w:numId="6">
    <w:abstractNumId w:val="2"/>
  </w:num>
  <w:num w:numId="7">
    <w:abstractNumId w:val="19"/>
  </w:num>
  <w:num w:numId="8">
    <w:abstractNumId w:val="3"/>
  </w:num>
  <w:num w:numId="9">
    <w:abstractNumId w:val="1"/>
  </w:num>
  <w:num w:numId="10">
    <w:abstractNumId w:val="13"/>
  </w:num>
  <w:num w:numId="11">
    <w:abstractNumId w:val="18"/>
  </w:num>
  <w:num w:numId="12">
    <w:abstractNumId w:val="0"/>
  </w:num>
  <w:num w:numId="13">
    <w:abstractNumId w:val="5"/>
  </w:num>
  <w:num w:numId="14">
    <w:abstractNumId w:val="7"/>
  </w:num>
  <w:num w:numId="15">
    <w:abstractNumId w:val="6"/>
  </w:num>
  <w:num w:numId="16">
    <w:abstractNumId w:val="14"/>
  </w:num>
  <w:num w:numId="17">
    <w:abstractNumId w:val="16"/>
  </w:num>
  <w:num w:numId="18">
    <w:abstractNumId w:val="15"/>
  </w:num>
  <w:num w:numId="19">
    <w:abstractNumId w:val="17"/>
  </w:num>
  <w:num w:numId="20">
    <w:abstractNumId w:val="20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DEE"/>
    <w:rsid w:val="00322F0F"/>
    <w:rsid w:val="005A4D79"/>
    <w:rsid w:val="00964044"/>
    <w:rsid w:val="00A055C2"/>
    <w:rsid w:val="00A654BB"/>
    <w:rsid w:val="00B6263B"/>
    <w:rsid w:val="00EE3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15B5F7"/>
  <w15:chartTrackingRefBased/>
  <w15:docId w15:val="{9B7D1FB1-637A-4DF3-9F49-8FA436786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4D79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4D79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4D79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b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4D79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A4D79"/>
    <w:rPr>
      <w:rFonts w:ascii="Times New Roman" w:eastAsiaTheme="majorEastAsia" w:hAnsi="Times New Roman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A4D79"/>
    <w:rPr>
      <w:rFonts w:ascii="Times New Roman" w:eastAsiaTheme="majorEastAsia" w:hAnsi="Times New Roman" w:cstheme="majorBidi"/>
      <w:b/>
      <w:color w:val="000000" w:themeColor="text1"/>
      <w:sz w:val="24"/>
      <w:szCs w:val="24"/>
    </w:rPr>
  </w:style>
  <w:style w:type="table" w:styleId="TableGrid">
    <w:name w:val="Table Grid"/>
    <w:basedOn w:val="TableNormal"/>
    <w:uiPriority w:val="39"/>
    <w:rsid w:val="009640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640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Abubakar Galadima</dc:creator>
  <cp:keywords/>
  <dc:description/>
  <cp:lastModifiedBy>Abubakar Galadima</cp:lastModifiedBy>
  <cp:revision>3</cp:revision>
  <dcterms:created xsi:type="dcterms:W3CDTF">2020-12-13T12:41:00Z</dcterms:created>
  <dcterms:modified xsi:type="dcterms:W3CDTF">2020-12-13T13:09:00Z</dcterms:modified>
</cp:coreProperties>
</file>