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F27B9" w:rsidRDefault="00000000">
      <w:pPr>
        <w:pStyle w:val="Heading1"/>
        <w:rPr>
          <w:rFonts w:ascii="Calibri" w:eastAsia="Calibri" w:hAnsi="Calibri" w:cs="Calibri"/>
        </w:rPr>
      </w:pPr>
      <w:bookmarkStart w:id="0" w:name="_heading=h.vkeuvig2l3s9" w:colFirst="0" w:colLast="0"/>
      <w:bookmarkEnd w:id="0"/>
      <w:r>
        <w:rPr>
          <w:rFonts w:ascii="Calibri" w:eastAsia="Calibri" w:hAnsi="Calibri" w:cs="Calibri"/>
        </w:rPr>
        <w:t>“OTULIN-related autoinflammatory syndrome (ORAS): report of a new case and review of the literature using GenIA”</w:t>
      </w:r>
    </w:p>
    <w:p w:rsidR="00EF27B9" w:rsidRDefault="00000000">
      <w:pPr>
        <w:pStyle w:val="Heading1"/>
        <w:rPr>
          <w:rFonts w:ascii="Calibri" w:eastAsia="Calibri" w:hAnsi="Calibri" w:cs="Calibri"/>
        </w:rPr>
      </w:pPr>
      <w:bookmarkStart w:id="1" w:name="_heading=h.jdpn4vh4xbt0" w:colFirst="0" w:colLast="0"/>
      <w:bookmarkEnd w:id="1"/>
      <w:r>
        <w:t>Supplemental material</w:t>
      </w:r>
    </w:p>
    <w:p w:rsidR="00EF27B9" w:rsidRDefault="00EF27B9">
      <w:pPr>
        <w:pBdr>
          <w:top w:val="nil"/>
          <w:left w:val="nil"/>
          <w:bottom w:val="nil"/>
          <w:right w:val="nil"/>
          <w:between w:val="nil"/>
        </w:pBdr>
        <w:jc w:val="both"/>
        <w:rPr>
          <w:rFonts w:ascii="Calibri" w:eastAsia="Calibri" w:hAnsi="Calibri" w:cs="Calibri"/>
          <w:color w:val="212121"/>
          <w:highlight w:val="white"/>
        </w:rPr>
      </w:pPr>
    </w:p>
    <w:p w:rsidR="00EF27B9" w:rsidRDefault="00000000">
      <w:pPr>
        <w:pStyle w:val="Heading2"/>
      </w:pPr>
      <w:bookmarkStart w:id="2" w:name="_heading=h.ywj9v959yrvl" w:colFirst="0" w:colLast="0"/>
      <w:bookmarkEnd w:id="2"/>
      <w:r>
        <w:t>Case report</w:t>
      </w:r>
    </w:p>
    <w:p w:rsidR="00EF27B9" w:rsidRDefault="00000000">
      <w:pPr>
        <w:spacing w:before="200" w:line="276" w:lineRule="auto"/>
        <w:jc w:val="both"/>
        <w:rPr>
          <w:rFonts w:ascii="Calibri" w:eastAsia="Calibri" w:hAnsi="Calibri" w:cs="Calibri"/>
          <w:color w:val="212121"/>
          <w:highlight w:val="white"/>
        </w:rPr>
      </w:pPr>
      <w:r>
        <w:rPr>
          <w:rFonts w:ascii="Calibri" w:eastAsia="Calibri" w:hAnsi="Calibri" w:cs="Calibri"/>
          <w:color w:val="212121"/>
          <w:highlight w:val="white"/>
        </w:rPr>
        <w:t>Our patient was born to parents with first-degree consanguinity but no history of miscarriages and an unremarkable family history. Birth weight was 3.5 kg. On her 7th day of life (DOL), she developed fevers to T38.5°C along with upper and lower extremity edema. She was admitted on DOL18 to a provincial hospital for neonatal sepsis workup, though no infectious agents were identified. She was then transferred to a larger hospital on DOL35 for persistent hypotonia and extremely elevated inflammatory markers despite broad-spectrum antibiotics without an obvious infectious source (Fig. 1). Admission exam was notable for an afebrile, hemodynamically stable, well-perfused, mildly hypotonic but otherwise neurologically intact infant with some cutaneous scarring on her bilateral upper and lower extremities. An exhaustive infectious workup was repeated, including negative blood cultures and a normal chest X-ray. Broad spectrum antibiotics were continued. Labs were notable for elevated C-reactive protein (CRP 216 mg/L; normal &lt;10 mg/L), significant leukocytosis (WBC 67.5k/µl; normal range: 6-18k/µl) with neutrophilia (ANC 46.2k/µl; normal range: 1.5-8.5k/µl), monocytosis (AMC 3.98k/µl; normal range: 0.05-1.1k/µl), and lymphocytosis (ALC 16.7k/µl; normal range: 2-11k/µl), as well as macrocytic anemia (Hgb 10.8 g/dl; normal range: 10-16 g/dl, MCV 110.2 fl; normal range: 85-96 fl), but impressively no thrombocytosis (platelets 303 x 10</w:t>
      </w:r>
      <w:r>
        <w:rPr>
          <w:rFonts w:ascii="Calibri" w:eastAsia="Calibri" w:hAnsi="Calibri" w:cs="Calibri"/>
          <w:color w:val="212121"/>
          <w:highlight w:val="white"/>
          <w:vertAlign w:val="superscript"/>
        </w:rPr>
        <w:t>3</w:t>
      </w:r>
      <w:r>
        <w:rPr>
          <w:rFonts w:ascii="Calibri" w:eastAsia="Calibri" w:hAnsi="Calibri" w:cs="Calibri"/>
          <w:color w:val="212121"/>
          <w:highlight w:val="white"/>
        </w:rPr>
        <w:t>/µl).</w:t>
      </w:r>
    </w:p>
    <w:p w:rsidR="00EF27B9" w:rsidRDefault="00000000">
      <w:pPr>
        <w:spacing w:line="276" w:lineRule="auto"/>
        <w:jc w:val="both"/>
        <w:rPr>
          <w:rFonts w:ascii="Calibri" w:eastAsia="Calibri" w:hAnsi="Calibri" w:cs="Calibri"/>
          <w:color w:val="212121"/>
          <w:highlight w:val="white"/>
        </w:rPr>
      </w:pPr>
      <w:r>
        <w:rPr>
          <w:rFonts w:ascii="Calibri" w:eastAsia="Calibri" w:hAnsi="Calibri" w:cs="Calibri"/>
          <w:color w:val="212121"/>
          <w:highlight w:val="white"/>
        </w:rPr>
        <w:t xml:space="preserve">The patient’s fevers then recrudesced, along with a previously noted erythema nodosum-like skin rash encompassing all four extremities and her face. Her elevated inflammatory markers (CRP 252 mg/L, procalcitonin 4.35 µg/L; normal &lt; 0.50) and macrocytic anemia (Hgb 7.6 g/dl), MCV 110 fl) worsened, while her leukocytosis persisted (WBC 66.5k/µl). She was additionally noted to have hyperferritinemia (1471 ng/ml; normal range: 50-200 ng/ml), hyperfibrinogenemia (7.5 g/L; normal range: 2-4 g/L) and increased levels of serum amyloid protein (SAA 144 mg/L; normal &lt; 7 mg/L). ACE level was normal and initial antinuclear antibody screen (ANA) was negative. </w:t>
      </w:r>
    </w:p>
    <w:p w:rsidR="00EF27B9" w:rsidRDefault="00000000">
      <w:pPr>
        <w:spacing w:line="276" w:lineRule="auto"/>
        <w:jc w:val="both"/>
        <w:rPr>
          <w:rFonts w:ascii="Calibri" w:eastAsia="Calibri" w:hAnsi="Calibri" w:cs="Calibri"/>
          <w:color w:val="212121"/>
          <w:highlight w:val="white"/>
        </w:rPr>
      </w:pPr>
      <w:r>
        <w:rPr>
          <w:rFonts w:ascii="Calibri" w:eastAsia="Calibri" w:hAnsi="Calibri" w:cs="Calibri"/>
          <w:color w:val="212121"/>
          <w:highlight w:val="white"/>
        </w:rPr>
        <w:t>A skin punch biopsy was performed with histopathology showing septal panniculitis with polymorphic inflammatory infiltrate featuring predominantly neutrophils mixed with histiocytes, lymphocytes and some eosinophils. Interstitial lymphocytic infiltration of the dermis was accompanied by a papillomatous and keratotic epidermis. Deficiency of adenosine deaminase 2 (DADA2) was considered less likely with the absence of overt vasculopathy. In terms of further immunodeficiency workup, the presence of a thymus was confirmed on thoracic ultrasound and HIV serologies were negative. Lymphocyte subsets obtained 1 week prior to the patient’s death were notable for severe T cell lymphopenia with preservation of B cells. Repeat ANA became mildly positive (at 1:80 dilution), while anti-dsDNA antibodies were negative. As soon as all infectious evaluations returned negative (on the 13th day of admission), the patient was started on 2 weeks of IV methylprednisolone 2mg/kg Q8H.</w:t>
      </w:r>
    </w:p>
    <w:p w:rsidR="00EF27B9" w:rsidRDefault="00000000">
      <w:pPr>
        <w:spacing w:line="276" w:lineRule="auto"/>
        <w:jc w:val="both"/>
        <w:rPr>
          <w:rFonts w:ascii="Calibri" w:eastAsia="Calibri" w:hAnsi="Calibri" w:cs="Calibri"/>
          <w:color w:val="212121"/>
          <w:highlight w:val="white"/>
        </w:rPr>
      </w:pPr>
      <w:r>
        <w:rPr>
          <w:rFonts w:ascii="Calibri" w:eastAsia="Calibri" w:hAnsi="Calibri" w:cs="Calibri"/>
          <w:color w:val="212121"/>
          <w:highlight w:val="white"/>
        </w:rPr>
        <w:lastRenderedPageBreak/>
        <w:t xml:space="preserve">Her 3 initial episodes of sterile systemic inflammation featuring erythema nodosum-like rash were all treated with high dose corticosteroids, but she subsequently became refractory to this therapy and her condition deteriorated further. She developed generalized tonic-clonic seizures with fixed gaze deviation, but no evidence of metabolic derangements. Head CT and abdominal ultrasound were both normal.  </w:t>
      </w:r>
    </w:p>
    <w:p w:rsidR="00EF27B9" w:rsidRDefault="00000000">
      <w:pPr>
        <w:spacing w:line="276" w:lineRule="auto"/>
        <w:jc w:val="both"/>
        <w:rPr>
          <w:rFonts w:ascii="Calibri" w:eastAsia="Calibri" w:hAnsi="Calibri" w:cs="Calibri"/>
          <w:color w:val="212121"/>
          <w:highlight w:val="white"/>
        </w:rPr>
      </w:pPr>
      <w:r>
        <w:rPr>
          <w:rFonts w:ascii="Calibri" w:eastAsia="Calibri" w:hAnsi="Calibri" w:cs="Calibri"/>
          <w:color w:val="212121"/>
          <w:highlight w:val="white"/>
        </w:rPr>
        <w:t>Other biologics (Anakinra, then Infliximab) were considered but there was no experience in the medical literature or amongst consulted experts with using these agents in infants under 8 months of age and weighing under 10 kg. By the 45th day of admission, our patient was in very poor condition with severe failure-to-thrive, malnutrition and dehydration secondary to persistent watery diarrhea. She was noted to be pale, hypothermic (T34.8°C), tachycardic (HR 124 c/min), and tachypneic (45 c/min) with 95% oxygen saturation on room air. Blood chemistries were concerning for hyponatremia and ongoing hypoalbuminemia, while blood counts showed severe pancytopenia. She received blood transfusions and albumin infusions, as well as antibiotics for nosocomial infection. She ultimately passed away at the age of 2 months and 23 days after an initial 18 day admission, followed by an additional 49-day stay at the hospital where genetic testing was performed.</w:t>
      </w:r>
    </w:p>
    <w:p w:rsidR="00EF27B9" w:rsidRDefault="00EF27B9">
      <w:pPr>
        <w:spacing w:line="360" w:lineRule="auto"/>
        <w:jc w:val="both"/>
        <w:rPr>
          <w:rFonts w:ascii="Calibri" w:eastAsia="Calibri" w:hAnsi="Calibri" w:cs="Calibri"/>
          <w:color w:val="212121"/>
          <w:highlight w:val="white"/>
        </w:rPr>
      </w:pPr>
    </w:p>
    <w:p w:rsidR="00EF27B9" w:rsidRDefault="00000000">
      <w:pPr>
        <w:pStyle w:val="Heading2"/>
        <w:rPr>
          <w:color w:val="212121"/>
          <w:highlight w:val="white"/>
        </w:rPr>
      </w:pPr>
      <w:bookmarkStart w:id="3" w:name="_heading=h.y4dfan9m2xpy" w:colFirst="0" w:colLast="0"/>
      <w:bookmarkEnd w:id="3"/>
      <w:r>
        <w:rPr>
          <w:i/>
          <w:color w:val="212121"/>
          <w:highlight w:val="white"/>
        </w:rPr>
        <w:t>In silico</w:t>
      </w:r>
      <w:r>
        <w:rPr>
          <w:color w:val="212121"/>
          <w:highlight w:val="white"/>
        </w:rPr>
        <w:t xml:space="preserve"> 3D modeling of the p.Ala240Val OTULIN variant</w:t>
      </w:r>
    </w:p>
    <w:p w:rsidR="00EF27B9" w:rsidRDefault="00000000">
      <w:pPr>
        <w:shd w:val="clear" w:color="auto" w:fill="FFFFFF"/>
        <w:spacing w:before="200" w:line="276" w:lineRule="auto"/>
        <w:rPr>
          <w:rFonts w:ascii="Calibri" w:eastAsia="Calibri" w:hAnsi="Calibri" w:cs="Calibri"/>
        </w:rPr>
      </w:pPr>
      <w:r>
        <w:rPr>
          <w:rFonts w:ascii="Calibri" w:eastAsia="Calibri" w:hAnsi="Calibri" w:cs="Calibri"/>
        </w:rPr>
        <w:t>We performed 3D structural modeling of OTULIN containing the A240V substitution in an alpha helix away from the three amino acids of the catalytic triad (C129, H339, N341).</w:t>
      </w:r>
    </w:p>
    <w:p w:rsidR="00EF27B9" w:rsidRDefault="00000000">
      <w:pPr>
        <w:shd w:val="clear" w:color="auto" w:fill="FFFFFF"/>
        <w:spacing w:line="276" w:lineRule="auto"/>
        <w:rPr>
          <w:rFonts w:ascii="Calibri" w:eastAsia="Calibri" w:hAnsi="Calibri" w:cs="Calibri"/>
        </w:rPr>
      </w:pPr>
      <w:r>
        <w:rPr>
          <w:rFonts w:ascii="Calibri" w:eastAsia="Calibri" w:hAnsi="Calibri" w:cs="Calibri"/>
        </w:rPr>
        <w:t>Alteration of the amino acid does not lead to different interactions, which remain predominantly non-aromatic hydrophobic. A comparison of the two structures shows that the variant results in a slight stabilization of the protein with an insignificant ∆∆G (the change in Gibbs free energy) of 0.419 Kcal/mol, and no change in electrostatic potential is revealed. Molecular dynamics studies showed only a slight increase in the fluctuation (RMSF) of the amino acids in the loop region (aa. 262-266) that interact with polyubiquitin.</w:t>
      </w:r>
    </w:p>
    <w:p w:rsidR="00EF27B9" w:rsidRDefault="00000000">
      <w:pPr>
        <w:rPr>
          <w:rFonts w:ascii="Calibri" w:eastAsia="Calibri" w:hAnsi="Calibri" w:cs="Calibri"/>
        </w:rPr>
      </w:pPr>
      <w:r>
        <w:br w:type="page"/>
      </w:r>
    </w:p>
    <w:p w:rsidR="00EF27B9" w:rsidRDefault="00000000">
      <w:pPr>
        <w:pStyle w:val="Heading2"/>
      </w:pPr>
      <w:bookmarkStart w:id="4" w:name="_heading=h.da9is1caxz2k" w:colFirst="0" w:colLast="0"/>
      <w:bookmarkEnd w:id="4"/>
      <w:r>
        <w:lastRenderedPageBreak/>
        <w:t>Supplemental Figure legends</w:t>
      </w:r>
    </w:p>
    <w:p w:rsidR="00EF27B9" w:rsidRDefault="00EF27B9"/>
    <w:p w:rsidR="00EF27B9" w:rsidRDefault="00000000">
      <w:pPr>
        <w:widowControl w:val="0"/>
        <w:spacing w:line="276" w:lineRule="auto"/>
        <w:jc w:val="both"/>
        <w:rPr>
          <w:rFonts w:ascii="Calibri" w:eastAsia="Calibri" w:hAnsi="Calibri" w:cs="Calibri"/>
        </w:rPr>
      </w:pPr>
      <w:r>
        <w:rPr>
          <w:rFonts w:ascii="Calibri" w:eastAsia="Calibri" w:hAnsi="Calibri" w:cs="Calibri"/>
          <w:b/>
        </w:rPr>
        <w:t xml:space="preserve">Figure S1. Data collection, curation and extraction using GenIA. </w:t>
      </w:r>
      <w:r>
        <w:rPr>
          <w:rFonts w:ascii="Calibri" w:eastAsia="Calibri" w:hAnsi="Calibri" w:cs="Calibri"/>
        </w:rPr>
        <w:t xml:space="preserve">Flowchart diagram showing the flow of information through the different phases of collection, transformation, storage, query, export and data analysis enabled by the GenIA data structure and used for our systematic review. </w:t>
      </w:r>
    </w:p>
    <w:p w:rsidR="00EF27B9" w:rsidRDefault="00EF27B9">
      <w:pPr>
        <w:widowControl w:val="0"/>
        <w:spacing w:line="276" w:lineRule="auto"/>
        <w:jc w:val="both"/>
        <w:rPr>
          <w:rFonts w:ascii="Calibri" w:eastAsia="Calibri" w:hAnsi="Calibri" w:cs="Calibri"/>
        </w:rPr>
      </w:pPr>
    </w:p>
    <w:p w:rsidR="00EF27B9" w:rsidRDefault="00000000">
      <w:pPr>
        <w:widowControl w:val="0"/>
        <w:spacing w:line="276" w:lineRule="auto"/>
        <w:jc w:val="both"/>
        <w:rPr>
          <w:rFonts w:ascii="Calibri" w:eastAsia="Calibri" w:hAnsi="Calibri" w:cs="Calibri"/>
          <w:color w:val="212121"/>
        </w:rPr>
      </w:pPr>
      <w:r>
        <w:rPr>
          <w:rFonts w:ascii="Calibri" w:eastAsia="Calibri" w:hAnsi="Calibri" w:cs="Calibri"/>
          <w:b/>
        </w:rPr>
        <w:t xml:space="preserve">Figure S2. </w:t>
      </w:r>
      <w:r>
        <w:rPr>
          <w:rFonts w:ascii="Calibri" w:eastAsia="Calibri" w:hAnsi="Calibri" w:cs="Calibri"/>
          <w:b/>
          <w:i/>
        </w:rPr>
        <w:t>In silico</w:t>
      </w:r>
      <w:r>
        <w:rPr>
          <w:rFonts w:ascii="Calibri" w:eastAsia="Calibri" w:hAnsi="Calibri" w:cs="Calibri"/>
          <w:b/>
        </w:rPr>
        <w:t xml:space="preserve"> 3D modeling of OUTLIN’s wildtype and OTULIN’s W199R variant.</w:t>
      </w:r>
      <w:r>
        <w:rPr>
          <w:rFonts w:ascii="Calibri" w:eastAsia="Calibri" w:hAnsi="Calibri" w:cs="Calibri"/>
          <w:color w:val="212121"/>
        </w:rPr>
        <w:t xml:space="preserve"> (</w:t>
      </w:r>
      <w:r>
        <w:rPr>
          <w:rFonts w:ascii="Calibri" w:eastAsia="Calibri" w:hAnsi="Calibri" w:cs="Calibri"/>
          <w:b/>
          <w:color w:val="212121"/>
        </w:rPr>
        <w:t>A</w:t>
      </w:r>
      <w:r>
        <w:rPr>
          <w:rFonts w:ascii="Calibri" w:eastAsia="Calibri" w:hAnsi="Calibri" w:cs="Calibri"/>
          <w:color w:val="212121"/>
        </w:rPr>
        <w:t>) Adaptive Poisson-Boltzmann Solver (APSB) analysis performed on wild type (WT) and mutated (W199R) OTULIN. Results are shown using a color-coded surface, with red circles indicating the position of Trp 199 and Arg 199. (</w:t>
      </w:r>
      <w:r>
        <w:rPr>
          <w:rFonts w:ascii="Calibri" w:eastAsia="Calibri" w:hAnsi="Calibri" w:cs="Calibri"/>
          <w:b/>
          <w:color w:val="212121"/>
        </w:rPr>
        <w:t>B</w:t>
      </w:r>
      <w:r>
        <w:rPr>
          <w:rFonts w:ascii="Calibri" w:eastAsia="Calibri" w:hAnsi="Calibri" w:cs="Calibri"/>
          <w:color w:val="212121"/>
        </w:rPr>
        <w:t>) Root-mean-square fluctuation (RMSF) graph of WT (blue) vs W199R (orange). The red arrow indicates the amino acid (aa)281-286 loop. (</w:t>
      </w:r>
      <w:r>
        <w:rPr>
          <w:rFonts w:ascii="Calibri" w:eastAsia="Calibri" w:hAnsi="Calibri" w:cs="Calibri"/>
          <w:b/>
          <w:color w:val="212121"/>
        </w:rPr>
        <w:t>C</w:t>
      </w:r>
      <w:r>
        <w:rPr>
          <w:rFonts w:ascii="Calibri" w:eastAsia="Calibri" w:hAnsi="Calibri" w:cs="Calibri"/>
          <w:color w:val="212121"/>
        </w:rPr>
        <w:t>) Representation of OTULIN (purple cartoon), the aa281-286 loop (yellow sticks), the catalytic CORE (white sticks) and the interaction with polyUb (cyan cartoon). (</w:t>
      </w:r>
      <w:r>
        <w:rPr>
          <w:rFonts w:ascii="Calibri" w:eastAsia="Calibri" w:hAnsi="Calibri" w:cs="Calibri"/>
          <w:b/>
          <w:color w:val="212121"/>
        </w:rPr>
        <w:t>D</w:t>
      </w:r>
      <w:r>
        <w:rPr>
          <w:rFonts w:ascii="Calibri" w:eastAsia="Calibri" w:hAnsi="Calibri" w:cs="Calibri"/>
          <w:color w:val="212121"/>
        </w:rPr>
        <w:t>) ​​Western blot of HEK293 protein lysates after 48h of transfection with LUBAC plasmids (equal amount mix of HOIP, HOIL-1, SHARPIN), OTULIN WT or mutant plasmids, empty vector, together with equal amounts of NEMO and HA-tag Ub plasmid. (</w:t>
      </w:r>
      <w:r>
        <w:rPr>
          <w:rFonts w:ascii="Calibri" w:eastAsia="Calibri" w:hAnsi="Calibri" w:cs="Calibri"/>
          <w:b/>
          <w:color w:val="212121"/>
        </w:rPr>
        <w:t>E</w:t>
      </w:r>
      <w:r>
        <w:rPr>
          <w:rFonts w:ascii="Calibri" w:eastAsia="Calibri" w:hAnsi="Calibri" w:cs="Calibri"/>
          <w:color w:val="212121"/>
        </w:rPr>
        <w:t>) Agarose gel showing PCR amplification products of total RNA from HEK 293T cells, which was retro-transcribed into cDNA. HEK cells were either untransfected or were transiently expressing the OTULIN wild-type or OTULIN-W199R plasmids. GAPDH amplification was used as a loading control. The “No RT” negative control PCR used the same cDNA samples but without RT enzyme.</w:t>
      </w:r>
    </w:p>
    <w:p w:rsidR="00EF27B9" w:rsidRDefault="00EF27B9">
      <w:pPr>
        <w:widowControl w:val="0"/>
        <w:spacing w:line="276" w:lineRule="auto"/>
        <w:jc w:val="both"/>
        <w:rPr>
          <w:rFonts w:ascii="Calibri" w:eastAsia="Calibri" w:hAnsi="Calibri" w:cs="Calibri"/>
          <w:color w:val="212121"/>
        </w:rPr>
      </w:pPr>
    </w:p>
    <w:p w:rsidR="00EF27B9" w:rsidRDefault="00000000">
      <w:pPr>
        <w:widowControl w:val="0"/>
        <w:spacing w:line="276" w:lineRule="auto"/>
        <w:jc w:val="both"/>
        <w:rPr>
          <w:rFonts w:ascii="Calibri" w:eastAsia="Calibri" w:hAnsi="Calibri" w:cs="Calibri"/>
        </w:rPr>
      </w:pPr>
      <w:r>
        <w:rPr>
          <w:rFonts w:ascii="Calibri" w:eastAsia="Calibri" w:hAnsi="Calibri" w:cs="Calibri"/>
          <w:b/>
        </w:rPr>
        <w:t xml:space="preserve">Figure S3. Pedigrees of all 16 families with members affected by OTULIN-related diseases (ORAS, DN-ORAS, IMD107). </w:t>
      </w:r>
      <w:r>
        <w:rPr>
          <w:rFonts w:ascii="Calibri" w:eastAsia="Calibri" w:hAnsi="Calibri" w:cs="Calibri"/>
        </w:rPr>
        <w:t>Each family cohort is assigned a unique letter and each individual in the family is assigned a number associated with that letter along with the known disease-related variant(s) they carry. Symbols are filled according to each individual’s clinical status.</w:t>
      </w:r>
    </w:p>
    <w:p w:rsidR="00EF27B9" w:rsidRDefault="00EF27B9">
      <w:pPr>
        <w:widowControl w:val="0"/>
        <w:spacing w:line="276" w:lineRule="auto"/>
        <w:jc w:val="both"/>
        <w:rPr>
          <w:rFonts w:ascii="Calibri" w:eastAsia="Calibri" w:hAnsi="Calibri" w:cs="Calibri"/>
          <w:b/>
        </w:rPr>
      </w:pPr>
    </w:p>
    <w:p w:rsidR="00EF27B9" w:rsidRDefault="00000000">
      <w:pPr>
        <w:widowControl w:val="0"/>
        <w:spacing w:line="276" w:lineRule="auto"/>
        <w:jc w:val="both"/>
        <w:rPr>
          <w:rFonts w:ascii="Calibri" w:eastAsia="Calibri" w:hAnsi="Calibri" w:cs="Calibri"/>
          <w:sz w:val="26"/>
          <w:szCs w:val="26"/>
        </w:rPr>
      </w:pPr>
      <w:r>
        <w:rPr>
          <w:rFonts w:ascii="Calibri" w:eastAsia="Calibri" w:hAnsi="Calibri" w:cs="Calibri"/>
          <w:b/>
        </w:rPr>
        <w:t xml:space="preserve">Figure S4. Functional characterization of OTULIN dysfunction in patient cells. </w:t>
      </w:r>
      <w:r>
        <w:rPr>
          <w:rFonts w:ascii="Calibri" w:eastAsia="Calibri" w:hAnsi="Calibri" w:cs="Calibri"/>
        </w:rPr>
        <w:t>Matrix/grid of rows with specific assays on the y-axis and individuals (using the same codes found in their pedigrees and the supplementary tables) on the x-axis.</w:t>
      </w:r>
      <w:r>
        <w:rPr>
          <w:rFonts w:ascii="Calibri" w:eastAsia="Calibri" w:hAnsi="Calibri" w:cs="Calibri"/>
          <w:sz w:val="26"/>
          <w:szCs w:val="26"/>
        </w:rPr>
        <w:t xml:space="preserve"> </w:t>
      </w:r>
      <w:r>
        <w:rPr>
          <w:rFonts w:ascii="Calibri" w:eastAsia="Calibri" w:hAnsi="Calibri" w:cs="Calibri"/>
        </w:rPr>
        <w:t xml:space="preserve">This figure needs to be examined together with the details provided in </w:t>
      </w:r>
      <w:r>
        <w:rPr>
          <w:rFonts w:ascii="Calibri" w:eastAsia="Calibri" w:hAnsi="Calibri" w:cs="Calibri"/>
          <w:color w:val="4A86E8"/>
        </w:rPr>
        <w:t>Table S3</w:t>
      </w:r>
      <w:r>
        <w:rPr>
          <w:rFonts w:ascii="Calibri" w:eastAsia="Calibri" w:hAnsi="Calibri" w:cs="Calibri"/>
        </w:rPr>
        <w:t xml:space="preserve"> for accurate interpretation of the results.</w:t>
      </w:r>
    </w:p>
    <w:p w:rsidR="00EF27B9" w:rsidRDefault="00EF27B9">
      <w:pPr>
        <w:widowControl w:val="0"/>
        <w:spacing w:line="276" w:lineRule="auto"/>
        <w:jc w:val="both"/>
        <w:rPr>
          <w:rFonts w:ascii="Calibri" w:eastAsia="Calibri" w:hAnsi="Calibri" w:cs="Calibri"/>
        </w:rPr>
        <w:sectPr w:rsidR="00EF27B9" w:rsidSect="000236B8">
          <w:headerReference w:type="default" r:id="rId7"/>
          <w:footerReference w:type="even" r:id="rId8"/>
          <w:footerReference w:type="default" r:id="rId9"/>
          <w:pgSz w:w="11906" w:h="16838"/>
          <w:pgMar w:top="1134" w:right="1134" w:bottom="1134" w:left="1134" w:header="709" w:footer="850" w:gutter="0"/>
          <w:lnNumType w:countBy="1" w:restart="continuous"/>
          <w:pgNumType w:start="1"/>
          <w:cols w:space="720"/>
          <w:docGrid w:linePitch="326"/>
        </w:sectPr>
      </w:pPr>
    </w:p>
    <w:p w:rsidR="00EF27B9" w:rsidRDefault="00000000">
      <w:pPr>
        <w:pStyle w:val="Heading2"/>
      </w:pPr>
      <w:bookmarkStart w:id="5" w:name="_heading=h.azs05fi8mlgb" w:colFirst="0" w:colLast="0"/>
      <w:bookmarkEnd w:id="5"/>
      <w:r>
        <w:lastRenderedPageBreak/>
        <w:t>Table S1. All individuals from all reported families (116)</w:t>
      </w:r>
    </w:p>
    <w:p w:rsidR="00EF27B9" w:rsidRDefault="00EF27B9">
      <w:pPr>
        <w:jc w:val="both"/>
        <w:rPr>
          <w:rFonts w:ascii="Calibri" w:eastAsia="Calibri" w:hAnsi="Calibri" w:cs="Calibri"/>
          <w:color w:val="212121"/>
          <w:sz w:val="16"/>
          <w:szCs w:val="16"/>
        </w:rPr>
      </w:pPr>
    </w:p>
    <w:tbl>
      <w:tblPr>
        <w:tblStyle w:val="a0"/>
        <w:tblW w:w="15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50"/>
        <w:gridCol w:w="720"/>
        <w:gridCol w:w="855"/>
        <w:gridCol w:w="1005"/>
        <w:gridCol w:w="315"/>
        <w:gridCol w:w="840"/>
        <w:gridCol w:w="1140"/>
        <w:gridCol w:w="840"/>
        <w:gridCol w:w="945"/>
        <w:gridCol w:w="915"/>
        <w:gridCol w:w="2460"/>
        <w:gridCol w:w="1245"/>
        <w:gridCol w:w="885"/>
        <w:gridCol w:w="1200"/>
        <w:gridCol w:w="945"/>
      </w:tblGrid>
      <w:tr w:rsidR="00EF27B9">
        <w:trPr>
          <w:trHeight w:val="283"/>
          <w:tblHeader/>
        </w:trPr>
        <w:tc>
          <w:tcPr>
            <w:tcW w:w="7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SubjectID</w:t>
            </w:r>
          </w:p>
        </w:tc>
        <w:tc>
          <w:tcPr>
            <w:tcW w:w="72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Tree_pos</w:t>
            </w:r>
          </w:p>
        </w:tc>
        <w:tc>
          <w:tcPr>
            <w:tcW w:w="8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GenIA_UID</w:t>
            </w:r>
          </w:p>
        </w:tc>
        <w:tc>
          <w:tcPr>
            <w:tcW w:w="100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GenIA_FamID</w:t>
            </w:r>
          </w:p>
        </w:tc>
        <w:tc>
          <w:tcPr>
            <w:tcW w:w="3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Sex</w:t>
            </w:r>
          </w:p>
        </w:tc>
        <w:tc>
          <w:tcPr>
            <w:tcW w:w="8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Dis_status</w:t>
            </w:r>
          </w:p>
        </w:tc>
        <w:tc>
          <w:tcPr>
            <w:tcW w:w="11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Diagnosis</w:t>
            </w:r>
          </w:p>
        </w:tc>
        <w:tc>
          <w:tcPr>
            <w:tcW w:w="8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AAD</w:t>
            </w:r>
          </w:p>
        </w:tc>
        <w:tc>
          <w:tcPr>
            <w:tcW w:w="9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Origin</w:t>
            </w:r>
          </w:p>
        </w:tc>
        <w:tc>
          <w:tcPr>
            <w:tcW w:w="9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Population</w:t>
            </w:r>
          </w:p>
        </w:tc>
        <w:tc>
          <w:tcPr>
            <w:tcW w:w="24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Pub_codes</w:t>
            </w:r>
          </w:p>
        </w:tc>
        <w:tc>
          <w:tcPr>
            <w:tcW w:w="12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Variant(s)</w:t>
            </w:r>
          </w:p>
        </w:tc>
        <w:tc>
          <w:tcPr>
            <w:tcW w:w="8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Zygositi(es)</w:t>
            </w:r>
          </w:p>
        </w:tc>
        <w:tc>
          <w:tcPr>
            <w:tcW w:w="120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Relevance</w:t>
            </w:r>
          </w:p>
        </w:tc>
        <w:tc>
          <w:tcPr>
            <w:tcW w:w="9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EF27B9" w:rsidRDefault="00000000">
            <w:pPr>
              <w:jc w:val="both"/>
              <w:rPr>
                <w:rFonts w:ascii="Calibri" w:eastAsia="Calibri" w:hAnsi="Calibri" w:cs="Calibri"/>
                <w:b/>
                <w:sz w:val="16"/>
                <w:szCs w:val="16"/>
              </w:rPr>
            </w:pPr>
            <w:r>
              <w:rPr>
                <w:rFonts w:ascii="Calibri" w:eastAsia="Calibri" w:hAnsi="Calibri" w:cs="Calibri"/>
                <w:b/>
                <w:sz w:val="16"/>
                <w:szCs w:val="16"/>
              </w:rPr>
              <w:t>Variant_IDs</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[Fam.1:0.1]; PMID:27559085 [Fam.1:I.2]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[Fam.1:0.2]; PMID:27559085 [Fam.1:I.1]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105077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[Fam.1:0.3]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105078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[Fam.1:0.4]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[Fam.1:I.1]; PMID:27559085 [Fam.1:II.6]</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[Fam.1:I.2]; PMID:27559085 [Fam.1:II.5]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[Fam.1:I.3]; PMID:27559085 [Fam.1:II.4]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[Fam.1:I.4]; PMID:27559085 [Fam.1:II.3]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A009</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II.5</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105076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II.6</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[Fam.1:I.6]; PMID:27559085 [Fam.1:II.2]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II.7</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[Fam.1:I.7]; PMID:27559085 [Fam.1:II.1]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II.8</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105079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[Fam.1:I.8]</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II.9</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[Fam.1:I.9]</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[Fam.1:III.1]; PMID:27559085 [Fam.1:III.4]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[Fam.1:III.2]; PMID:27559085 [Fam.1:III.3]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A017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[Fam.1:IV.1(IV:1)]; PMID:27559085 [Fam.1:III.5]; PMID:35587511 [Fam.G:I.2(2)]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A019</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[Fam.1:IV.2(IV:2)]; PMID:27559085 [Fam.1:IV.6]; PMID:35587511 [Fam.G:I.1(1)]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[Fam.1:III.3]; PMID:27559085 [Fam.1:III.2]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[Fam.1:III.4]; PMID:27559085 [Fam.1:III.1]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-0.5</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[Fam.1:V.1]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A023</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V.2</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104554</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[Fam.1:V.2(V:2)]; PMID:27559085 [Fam.1:V.2(P1)]; PMID:35587511 [Fam.G:II.2(4)]; PMID:34797715 [P1]</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[Fam.1:V.3]; PMID:27559085 [Fam.1:V.1]; PMID:35587511 [Fam.G:II.1(3)]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-0.5</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[Fam.1:V.4]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V.5</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[Fam.1:V.5]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A027</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V.6</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104568</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1.3</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[Fam.1:IV.3(IV:3)]; PMID:32231246 [IV:3(IV.3)]; PMID:27559085 [Fam.1:IV.1(P4)]</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A028</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V.7</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104570</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5.0</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[Fam.1:IV.4(IV:4)]; PMID:27559085 [Fam.1:IV.3(NA)]</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L272P</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A029</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V.8</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104569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[Fam.1:IV.5]; PMID:27559085 [Fam.1:IV.2]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A030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V.9</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105085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-0.8</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[Fam.1:IV.6]</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A031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V.10</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[Fam.1:IV.7]; PMID:27559085 [Fam.1:IV.4]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A032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V.11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215551</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Pakistani</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PMID:27523608 [Fam.1:IV.8]; PMID:27559085 [Fam.1:IV.5]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B033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215552</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[Fam.2:I.2]; PMID:35587511 [Fam.I:I.2(2)]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Y244C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B034</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104576</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215552</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[Fam.2:I.1]; PMID:35587511 [Fam.I:I.1(1)]</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Y244C</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B035</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104575</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215552</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[Fam.2:II.1(P2)]; PMID:35587511 [Fam.I:II.2(4)]; PMID:34797715 [P2]</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Y244C</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B036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104578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215552</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[Fam.2:II.2]; PMID:35587511 [Fam.I:II.1(3)]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Y244C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C037</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104582</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215553</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[Fam.3:I.2]; PMID:35587511 [Fam.H:I.2(2)]</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G174Dfs*2</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C038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215553</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[Fam.3:I.1]; PMID:35587511 [Fam.H:I.1(1)]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G174Dfs*2</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C039</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104580</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215553</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Turkey</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Turkish</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PMID:27559085 [Fam.3:II.1(P3)]; PMID:35587511 [Fam.H:II.1(3)]; PMID:34797715 [P3]</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G174Dfs*2</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[Fam.Patient:0.1]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[Fam.Patient:0.2]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[Fam.Patient:II.1]; PMID:35587511 [Fam.K:I.2(2)]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[Fam.Patient:II.2]; PMID:35587511 [Fam.K:I.1(1)]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D048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[Fam.Patient:III.1]; PMID:35587511 [Fam.K:II.1(3)]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D049</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IV.2</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104583</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[Patient(III.2)]; PMID:35587511 [Fam.K:II.2(4)]</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D050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Israel</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Arab</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PMID:30804083 [Fam.Patient:III.3]; PMID:35587511 [Fam.K:II.3(5)]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G281R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1419</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E059</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III.4</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[Fam.Patient:III.4]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[Fam.Patient:IV.1]; PMID:35587511 [Fam.J:I.1(1)]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E062</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IV.2</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104604</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[Fam.Patient:IV.2]; PMID:35587511 [Fam.J:I.2(2)]</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Suspected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-0.1</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[Fam.Patient:V.1]; PMID:35587511 [Fam.J:II.2(4)]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104606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[Fam.Patient:V.2]; PMID:35587511 [Fam.J:II.1(3)]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E065</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V.3</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104592</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215555</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0.7</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Iranian</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PMID:30796585 [Patient(V.3)]; PMID:35587511 [Fam.J:II.3(5)]</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EX6+2T&gt;C</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1418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F066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Germany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Greek</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PMID:35170849 [Fam.Patient:I.1]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W167S &amp; M86I</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 &amp; 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 &amp; 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1421,1420</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F067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Germany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Greek</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PMID:35170849 [Fam.Patient:I.2]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W167S &amp; M86I</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 &amp; 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 &amp; 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1421,1420</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F068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Germany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Greek</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PMID:35170849 [Fam.Patient:II.1]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F069</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104612</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215557</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Germany</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Greek</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PMID:35170849 [Patient(II.2)]</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W167S &amp; M86I</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 &amp; HET</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Yes, combined</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1421,1420</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F070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Germany</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Greek</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PMID:35170849 [Fam.Patient:II.3]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G071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104621</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215558</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Dutch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[Fam.A:I.2(2)]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D246V</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1424</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G072</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104620</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215558</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Dutch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[Fam.A:I.1(1)]</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D246V</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1424</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G073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104623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215558</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Dutch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[Fam.A:II.1(3)]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D246V</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1424</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G074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104624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215558</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Dutch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[Fam.A:II.2(4)]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D246V</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1424</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G075</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104619</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215558</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19.0</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Dutch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[Fam.A:II.3(5)]</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D246V</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1424</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H076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H077</w:t>
            </w:r>
          </w:p>
        </w:tc>
        <w:tc>
          <w:tcPr>
            <w:tcW w:w="72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104645</w:t>
            </w:r>
          </w:p>
        </w:tc>
        <w:tc>
          <w:tcPr>
            <w:tcW w:w="100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[Fam.B:I.1(1)]</w:t>
            </w:r>
          </w:p>
        </w:tc>
        <w:tc>
          <w:tcPr>
            <w:tcW w:w="12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Likely</w:t>
            </w:r>
          </w:p>
        </w:tc>
        <w:tc>
          <w:tcPr>
            <w:tcW w:w="9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H078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H079</w:t>
            </w:r>
          </w:p>
        </w:tc>
        <w:tc>
          <w:tcPr>
            <w:tcW w:w="72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104647</w:t>
            </w:r>
          </w:p>
        </w:tc>
        <w:tc>
          <w:tcPr>
            <w:tcW w:w="100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[Fam.B:II.1(3)]</w:t>
            </w:r>
          </w:p>
        </w:tc>
        <w:tc>
          <w:tcPr>
            <w:tcW w:w="12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OC</w:t>
            </w:r>
          </w:p>
        </w:tc>
        <w:tc>
          <w:tcPr>
            <w:tcW w:w="1200"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Likely</w:t>
            </w:r>
          </w:p>
        </w:tc>
        <w:tc>
          <w:tcPr>
            <w:tcW w:w="945" w:type="dxa"/>
            <w:tcBorders>
              <w:top w:val="single" w:sz="4" w:space="0" w:color="000000"/>
              <w:left w:val="single" w:sz="4" w:space="0" w:color="000000"/>
              <w:bottom w:val="single" w:sz="4" w:space="0" w:color="000000"/>
              <w:right w:val="single" w:sz="4" w:space="0" w:color="000000"/>
            </w:tcBorders>
            <w:shd w:val="clear" w:color="auto" w:fill="FFF2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H080</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104644</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[Fam.B:III.2(5)]</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H081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104649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[Fam.B:III.1]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H082</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III.3</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104650</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[Fam.B:III.3(6)]</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H083</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IV.1</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104651</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[Fam.B:IV.1(7)]</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H084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IV.2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215563</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Argentina</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Argentinian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[Fam.B:IV.2(8)]</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E95*</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1425</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I085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104655</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[Fam.C:I.2(2)]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I086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deceased</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[Fam.C:I.1(1)]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I087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105134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[Fam.C:II.2(4)]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I088</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105133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215564</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[Fam.C:II.1(3)]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D268Tfs*6</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1782</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I089</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104653</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215564</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19.0</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Mexico</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Mexican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[Fam.C:III.1(5)]</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D268Tfs*6</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1782</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J090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[Fam.D:I.2(2)]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N341D</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J091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[Fam.D:I.1(1)]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N341D</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J092</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[Fam.D:II.1(3)]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J093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215565</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[Fam.D:II.2(4)]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N341D</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J094</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104656</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215565</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[Fam.D:II.3(5)]</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N341D</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1426</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K095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104663</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215566</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Belgium</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[Fam.E:I.2(2)]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P254S</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K096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104662</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215566</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Belgium</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[Fam.E:I.1(1)]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P254S</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K097</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104664</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215566</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Belgium</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[Fam.E:II.1(3)]</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P254S</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K098</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104665</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215566</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Belgium</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[Fam.E:II.2(4)]</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P254S</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K099</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II.3</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104661</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215566</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Belgium</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Belgian</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[Fam.E:II.3(5)]</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P254S</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1427</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L100</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104668</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[Fam.F:I.2(2)]</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L101</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[Fam.F:I.1(1)]</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lastRenderedPageBreak/>
              <w:t>L102</w:t>
            </w:r>
          </w:p>
        </w:tc>
        <w:tc>
          <w:tcPr>
            <w:tcW w:w="72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104666</w:t>
            </w:r>
          </w:p>
        </w:tc>
        <w:tc>
          <w:tcPr>
            <w:tcW w:w="100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215567</w:t>
            </w:r>
          </w:p>
        </w:tc>
        <w:tc>
          <w:tcPr>
            <w:tcW w:w="3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IMD107 (AD)</w:t>
            </w:r>
          </w:p>
        </w:tc>
        <w:tc>
          <w:tcPr>
            <w:tcW w:w="84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[Fam.F:II.1(3)]</w:t>
            </w:r>
          </w:p>
        </w:tc>
        <w:tc>
          <w:tcPr>
            <w:tcW w:w="12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R263Q</w:t>
            </w:r>
          </w:p>
        </w:tc>
        <w:tc>
          <w:tcPr>
            <w:tcW w:w="88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CE5CD"/>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1428</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L103</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104669</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[Fam.F:II.2(4)]</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L104</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104670</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215567</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France</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French</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PMID:35587511 [Fam.F:III.1(5)]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M105</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105136</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215649</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GRID:903 [Fam.M:I.1(105)]</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W199R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1791</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M106</w:t>
            </w:r>
          </w:p>
        </w:tc>
        <w:tc>
          <w:tcPr>
            <w:tcW w:w="72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105137</w:t>
            </w:r>
          </w:p>
        </w:tc>
        <w:tc>
          <w:tcPr>
            <w:tcW w:w="100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215649</w:t>
            </w:r>
          </w:p>
        </w:tc>
        <w:tc>
          <w:tcPr>
            <w:tcW w:w="3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Morocco</w:t>
            </w:r>
          </w:p>
        </w:tc>
        <w:tc>
          <w:tcPr>
            <w:tcW w:w="91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Moroccan</w:t>
            </w:r>
          </w:p>
        </w:tc>
        <w:tc>
          <w:tcPr>
            <w:tcW w:w="246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GRID:903 [Fam.M:I.2(106)]</w:t>
            </w:r>
          </w:p>
        </w:tc>
        <w:tc>
          <w:tcPr>
            <w:tcW w:w="12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W199R</w:t>
            </w:r>
          </w:p>
        </w:tc>
        <w:tc>
          <w:tcPr>
            <w:tcW w:w="88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1791</w:t>
            </w:r>
          </w:p>
        </w:tc>
      </w:tr>
      <w:tr w:rsidR="00EF27B9">
        <w:trPr>
          <w:trHeight w:val="324"/>
        </w:trPr>
        <w:tc>
          <w:tcPr>
            <w:tcW w:w="75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M107</w:t>
            </w:r>
          </w:p>
        </w:tc>
        <w:tc>
          <w:tcPr>
            <w:tcW w:w="72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105135</w:t>
            </w:r>
          </w:p>
        </w:tc>
        <w:tc>
          <w:tcPr>
            <w:tcW w:w="100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215649</w:t>
            </w:r>
          </w:p>
        </w:tc>
        <w:tc>
          <w:tcPr>
            <w:tcW w:w="3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ORAS (AR)</w:t>
            </w:r>
          </w:p>
        </w:tc>
        <w:tc>
          <w:tcPr>
            <w:tcW w:w="84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0.2</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Morocco</w:t>
            </w:r>
          </w:p>
        </w:tc>
        <w:tc>
          <w:tcPr>
            <w:tcW w:w="91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Moroccan</w:t>
            </w:r>
          </w:p>
        </w:tc>
        <w:tc>
          <w:tcPr>
            <w:tcW w:w="246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GRID:903 [Fam.M:II.1(107)]</w:t>
            </w:r>
          </w:p>
        </w:tc>
        <w:tc>
          <w:tcPr>
            <w:tcW w:w="12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W199R</w:t>
            </w:r>
          </w:p>
        </w:tc>
        <w:tc>
          <w:tcPr>
            <w:tcW w:w="88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HOM</w:t>
            </w:r>
          </w:p>
        </w:tc>
        <w:tc>
          <w:tcPr>
            <w:tcW w:w="1200"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4" w:space="0" w:color="000000"/>
              <w:left w:val="single" w:sz="4" w:space="0" w:color="000000"/>
              <w:bottom w:val="single" w:sz="4" w:space="0" w:color="000000"/>
              <w:right w:val="single" w:sz="4" w:space="0" w:color="000000"/>
            </w:tcBorders>
            <w:shd w:val="clear" w:color="auto" w:fill="F4CCCC"/>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1791</w:t>
            </w:r>
          </w:p>
        </w:tc>
      </w:tr>
      <w:tr w:rsidR="00EF27B9">
        <w:trPr>
          <w:trHeight w:val="324"/>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N108</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105163</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215658</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Australian</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[Fam.1:Patient 1:I.1]</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24"/>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N109</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105164</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215658</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Australian</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[Fam.1:Patient 1:I.2]</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24"/>
        </w:trPr>
        <w:tc>
          <w:tcPr>
            <w:tcW w:w="75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N110</w:t>
            </w:r>
          </w:p>
        </w:tc>
        <w:tc>
          <w:tcPr>
            <w:tcW w:w="72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105162</w:t>
            </w:r>
          </w:p>
        </w:tc>
        <w:tc>
          <w:tcPr>
            <w:tcW w:w="100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215658</w:t>
            </w:r>
          </w:p>
        </w:tc>
        <w:tc>
          <w:tcPr>
            <w:tcW w:w="3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DN-ORAS (AD)</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w:t>
            </w:r>
          </w:p>
        </w:tc>
        <w:tc>
          <w:tcPr>
            <w:tcW w:w="9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Australian</w:t>
            </w:r>
          </w:p>
        </w:tc>
        <w:tc>
          <w:tcPr>
            <w:tcW w:w="246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[Fam.1: Patient 1(II.1)]</w:t>
            </w:r>
          </w:p>
        </w:tc>
        <w:tc>
          <w:tcPr>
            <w:tcW w:w="12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24"/>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O111</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105277</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215684</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 Arabia</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[Fam.2:I.1]</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24"/>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O112</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105278</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215684</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 Arabia</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[Fam.2:I.2]</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15"/>
        </w:trPr>
        <w:tc>
          <w:tcPr>
            <w:tcW w:w="75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O113</w:t>
            </w:r>
          </w:p>
        </w:tc>
        <w:tc>
          <w:tcPr>
            <w:tcW w:w="72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105276</w:t>
            </w:r>
          </w:p>
        </w:tc>
        <w:tc>
          <w:tcPr>
            <w:tcW w:w="100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215684</w:t>
            </w:r>
          </w:p>
        </w:tc>
        <w:tc>
          <w:tcPr>
            <w:tcW w:w="3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DN-ORAS (AD)</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 Arabia</w:t>
            </w:r>
          </w:p>
        </w:tc>
        <w:tc>
          <w:tcPr>
            <w:tcW w:w="9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Saudi</w:t>
            </w:r>
          </w:p>
        </w:tc>
        <w:tc>
          <w:tcPr>
            <w:tcW w:w="246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GRID:912 [Fam.2:II.1(Patient 2)]</w:t>
            </w:r>
          </w:p>
        </w:tc>
        <w:tc>
          <w:tcPr>
            <w:tcW w:w="12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C129S</w:t>
            </w:r>
          </w:p>
        </w:tc>
        <w:tc>
          <w:tcPr>
            <w:tcW w:w="88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1806</w:t>
            </w:r>
          </w:p>
        </w:tc>
      </w:tr>
      <w:tr w:rsidR="00EF27B9">
        <w:trPr>
          <w:trHeight w:val="386"/>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P114</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I.1</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105414</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215763</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M</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Unknown</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PMID:38129331 [Fam.case:I.1]</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A240V</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WT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No</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2082</w:t>
            </w:r>
          </w:p>
        </w:tc>
      </w:tr>
      <w:tr w:rsidR="00EF27B9">
        <w:trPr>
          <w:trHeight w:val="387"/>
        </w:trPr>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P115</w:t>
            </w:r>
          </w:p>
        </w:tc>
        <w:tc>
          <w:tcPr>
            <w:tcW w:w="72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I.2</w:t>
            </w:r>
          </w:p>
        </w:tc>
        <w:tc>
          <w:tcPr>
            <w:tcW w:w="8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105415</w:t>
            </w:r>
          </w:p>
        </w:tc>
        <w:tc>
          <w:tcPr>
            <w:tcW w:w="10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215763</w:t>
            </w:r>
          </w:p>
        </w:tc>
        <w:tc>
          <w:tcPr>
            <w:tcW w:w="3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Unaffected</w:t>
            </w:r>
          </w:p>
        </w:tc>
        <w:tc>
          <w:tcPr>
            <w:tcW w:w="11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8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24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PMID:38129331 [Fam.case:I.2]</w:t>
            </w:r>
          </w:p>
        </w:tc>
        <w:tc>
          <w:tcPr>
            <w:tcW w:w="1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A240V</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Unlikely</w:t>
            </w:r>
          </w:p>
        </w:tc>
        <w:tc>
          <w:tcPr>
            <w:tcW w:w="9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2082</w:t>
            </w:r>
          </w:p>
        </w:tc>
      </w:tr>
      <w:tr w:rsidR="00EF27B9">
        <w:trPr>
          <w:trHeight w:val="375"/>
        </w:trPr>
        <w:tc>
          <w:tcPr>
            <w:tcW w:w="75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b/>
                <w:sz w:val="16"/>
                <w:szCs w:val="16"/>
              </w:rPr>
            </w:pPr>
            <w:r>
              <w:rPr>
                <w:rFonts w:ascii="Calibri" w:eastAsia="Calibri" w:hAnsi="Calibri" w:cs="Calibri"/>
                <w:b/>
                <w:sz w:val="16"/>
                <w:szCs w:val="16"/>
              </w:rPr>
              <w:t>P116</w:t>
            </w:r>
          </w:p>
        </w:tc>
        <w:tc>
          <w:tcPr>
            <w:tcW w:w="72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II.1</w:t>
            </w:r>
          </w:p>
        </w:tc>
        <w:tc>
          <w:tcPr>
            <w:tcW w:w="85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105413</w:t>
            </w:r>
          </w:p>
        </w:tc>
        <w:tc>
          <w:tcPr>
            <w:tcW w:w="100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215763</w:t>
            </w:r>
          </w:p>
        </w:tc>
        <w:tc>
          <w:tcPr>
            <w:tcW w:w="3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F</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Affected</w:t>
            </w:r>
          </w:p>
        </w:tc>
        <w:tc>
          <w:tcPr>
            <w:tcW w:w="11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DN-ORAS (AD)</w:t>
            </w:r>
          </w:p>
        </w:tc>
        <w:tc>
          <w:tcPr>
            <w:tcW w:w="84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Netherlands</w:t>
            </w:r>
          </w:p>
        </w:tc>
        <w:tc>
          <w:tcPr>
            <w:tcW w:w="91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NA</w:t>
            </w:r>
          </w:p>
        </w:tc>
        <w:tc>
          <w:tcPr>
            <w:tcW w:w="246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rPr>
                <w:rFonts w:ascii="Calibri" w:eastAsia="Calibri" w:hAnsi="Calibri" w:cs="Calibri"/>
                <w:sz w:val="16"/>
                <w:szCs w:val="16"/>
              </w:rPr>
            </w:pPr>
            <w:r>
              <w:rPr>
                <w:rFonts w:ascii="Calibri" w:eastAsia="Calibri" w:hAnsi="Calibri" w:cs="Calibri"/>
                <w:sz w:val="16"/>
                <w:szCs w:val="16"/>
              </w:rPr>
              <w:t>PMID:38129331 [case(II.1)]</w:t>
            </w:r>
          </w:p>
        </w:tc>
        <w:tc>
          <w:tcPr>
            <w:tcW w:w="12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A240V</w:t>
            </w:r>
          </w:p>
        </w:tc>
        <w:tc>
          <w:tcPr>
            <w:tcW w:w="88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HET</w:t>
            </w:r>
          </w:p>
        </w:tc>
        <w:tc>
          <w:tcPr>
            <w:tcW w:w="1200"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Yes, alone</w:t>
            </w:r>
          </w:p>
        </w:tc>
        <w:tc>
          <w:tcPr>
            <w:tcW w:w="945" w:type="dxa"/>
            <w:tcBorders>
              <w:top w:val="single" w:sz="6" w:space="0" w:color="000000"/>
              <w:left w:val="single" w:sz="6" w:space="0" w:color="000000"/>
              <w:bottom w:val="single" w:sz="6" w:space="0" w:color="000000"/>
              <w:right w:val="single" w:sz="6" w:space="0" w:color="000000"/>
            </w:tcBorders>
            <w:shd w:val="clear" w:color="auto" w:fill="EA9999"/>
            <w:tcMar>
              <w:top w:w="60" w:type="dxa"/>
              <w:left w:w="60" w:type="dxa"/>
              <w:bottom w:w="60" w:type="dxa"/>
              <w:right w:w="60" w:type="dxa"/>
            </w:tcMar>
          </w:tcPr>
          <w:p w:rsidR="00EF27B9" w:rsidRDefault="00000000">
            <w:pPr>
              <w:jc w:val="both"/>
              <w:rPr>
                <w:rFonts w:ascii="Calibri" w:eastAsia="Calibri" w:hAnsi="Calibri" w:cs="Calibri"/>
                <w:sz w:val="16"/>
                <w:szCs w:val="16"/>
              </w:rPr>
            </w:pPr>
            <w:r>
              <w:rPr>
                <w:rFonts w:ascii="Calibri" w:eastAsia="Calibri" w:hAnsi="Calibri" w:cs="Calibri"/>
                <w:sz w:val="16"/>
                <w:szCs w:val="16"/>
              </w:rPr>
              <w:t>2082</w:t>
            </w:r>
          </w:p>
        </w:tc>
      </w:tr>
    </w:tbl>
    <w:p w:rsidR="00EF27B9" w:rsidRDefault="00EF27B9">
      <w:pPr>
        <w:pBdr>
          <w:top w:val="nil"/>
          <w:left w:val="nil"/>
          <w:bottom w:val="nil"/>
          <w:right w:val="nil"/>
          <w:between w:val="nil"/>
        </w:pBdr>
        <w:jc w:val="both"/>
        <w:rPr>
          <w:rFonts w:ascii="Calibri" w:eastAsia="Calibri" w:hAnsi="Calibri" w:cs="Calibri"/>
          <w:color w:val="212121"/>
          <w:sz w:val="16"/>
          <w:szCs w:val="16"/>
        </w:rPr>
      </w:pPr>
    </w:p>
    <w:p w:rsidR="00EF27B9" w:rsidRDefault="00000000">
      <w:pPr>
        <w:pBdr>
          <w:top w:val="nil"/>
          <w:left w:val="nil"/>
          <w:bottom w:val="nil"/>
          <w:right w:val="nil"/>
          <w:between w:val="nil"/>
        </w:pBdr>
        <w:jc w:val="both"/>
        <w:rPr>
          <w:rFonts w:ascii="Calibri" w:eastAsia="Calibri" w:hAnsi="Calibri" w:cs="Calibri"/>
          <w:color w:val="212121"/>
          <w:sz w:val="20"/>
          <w:szCs w:val="20"/>
        </w:rPr>
      </w:pPr>
      <w:r>
        <w:rPr>
          <w:rFonts w:ascii="Calibri" w:eastAsia="Calibri" w:hAnsi="Calibri" w:cs="Calibri"/>
          <w:color w:val="212121"/>
          <w:sz w:val="20"/>
          <w:szCs w:val="20"/>
        </w:rPr>
        <w:t>GenIA_UID: Unique subject identifier in GenIA’s database; GenIA_FamID: Unique family identifier in GenIA’s database; AAD: age at death in years</w:t>
      </w:r>
    </w:p>
    <w:p w:rsidR="00EF27B9" w:rsidRDefault="00000000">
      <w:pPr>
        <w:jc w:val="both"/>
        <w:rPr>
          <w:rFonts w:ascii="Calibri" w:eastAsia="Calibri" w:hAnsi="Calibri" w:cs="Calibri"/>
          <w:color w:val="212121"/>
          <w:sz w:val="20"/>
          <w:szCs w:val="20"/>
        </w:rPr>
      </w:pPr>
      <w:r>
        <w:rPr>
          <w:rFonts w:ascii="Calibri" w:eastAsia="Calibri" w:hAnsi="Calibri" w:cs="Calibri"/>
          <w:color w:val="212121"/>
          <w:sz w:val="20"/>
          <w:szCs w:val="20"/>
          <w:shd w:val="clear" w:color="auto" w:fill="F4CCCC"/>
        </w:rPr>
        <w:t>ORAS: OTULIN-related autoinflammatory syndrome</w:t>
      </w:r>
      <w:r>
        <w:rPr>
          <w:rFonts w:ascii="Calibri" w:eastAsia="Calibri" w:hAnsi="Calibri" w:cs="Calibri"/>
          <w:color w:val="212121"/>
          <w:sz w:val="20"/>
          <w:szCs w:val="20"/>
        </w:rPr>
        <w:t xml:space="preserve">; </w:t>
      </w:r>
      <w:r>
        <w:rPr>
          <w:rFonts w:ascii="Calibri" w:eastAsia="Calibri" w:hAnsi="Calibri" w:cs="Calibri"/>
          <w:color w:val="212121"/>
          <w:sz w:val="20"/>
          <w:szCs w:val="20"/>
          <w:shd w:val="clear" w:color="auto" w:fill="FCE5CD"/>
        </w:rPr>
        <w:t xml:space="preserve">IMD107: Immunodeficiency 107 (susceptibility to severe </w:t>
      </w:r>
      <w:r>
        <w:rPr>
          <w:rFonts w:ascii="Calibri" w:eastAsia="Calibri" w:hAnsi="Calibri" w:cs="Calibri"/>
          <w:i/>
          <w:color w:val="212121"/>
          <w:sz w:val="20"/>
          <w:szCs w:val="20"/>
          <w:shd w:val="clear" w:color="auto" w:fill="FCE5CD"/>
        </w:rPr>
        <w:t>S. aureus</w:t>
      </w:r>
      <w:r>
        <w:rPr>
          <w:rFonts w:ascii="Calibri" w:eastAsia="Calibri" w:hAnsi="Calibri" w:cs="Calibri"/>
          <w:color w:val="212121"/>
          <w:sz w:val="20"/>
          <w:szCs w:val="20"/>
          <w:shd w:val="clear" w:color="auto" w:fill="FCE5CD"/>
        </w:rPr>
        <w:t xml:space="preserve"> infections);</w:t>
      </w:r>
      <w:r>
        <w:rPr>
          <w:rFonts w:ascii="Calibri" w:eastAsia="Calibri" w:hAnsi="Calibri" w:cs="Calibri"/>
          <w:color w:val="212121"/>
          <w:sz w:val="20"/>
          <w:szCs w:val="20"/>
        </w:rPr>
        <w:t xml:space="preserve"> </w:t>
      </w:r>
      <w:r>
        <w:rPr>
          <w:rFonts w:ascii="Calibri" w:eastAsia="Calibri" w:hAnsi="Calibri" w:cs="Calibri"/>
          <w:color w:val="212121"/>
          <w:sz w:val="20"/>
          <w:szCs w:val="20"/>
          <w:shd w:val="clear" w:color="auto" w:fill="EA9999"/>
        </w:rPr>
        <w:t>DN-ORAS: Dominant Negative OTULIN-related autoinflammatory syndrome)</w:t>
      </w:r>
      <w:r>
        <w:rPr>
          <w:rFonts w:ascii="Calibri" w:eastAsia="Calibri" w:hAnsi="Calibri" w:cs="Calibri"/>
          <w:color w:val="212121"/>
          <w:sz w:val="20"/>
          <w:szCs w:val="20"/>
        </w:rPr>
        <w:t>; AR: autosomal recessive; AD: autosomal dominant; OC: Obligate or presumed carrier</w:t>
      </w:r>
    </w:p>
    <w:p w:rsidR="00EF27B9" w:rsidRDefault="00EF27B9">
      <w:pPr>
        <w:pBdr>
          <w:top w:val="nil"/>
          <w:left w:val="nil"/>
          <w:bottom w:val="nil"/>
          <w:right w:val="nil"/>
          <w:between w:val="nil"/>
        </w:pBdr>
        <w:jc w:val="both"/>
        <w:rPr>
          <w:rFonts w:ascii="Calibri" w:eastAsia="Calibri" w:hAnsi="Calibri" w:cs="Calibri"/>
          <w:color w:val="212121"/>
          <w:sz w:val="20"/>
          <w:szCs w:val="20"/>
        </w:rPr>
      </w:pPr>
    </w:p>
    <w:p w:rsidR="00EF27B9" w:rsidRDefault="00EF27B9">
      <w:pPr>
        <w:pBdr>
          <w:top w:val="nil"/>
          <w:left w:val="nil"/>
          <w:bottom w:val="nil"/>
          <w:right w:val="nil"/>
          <w:between w:val="nil"/>
        </w:pBdr>
        <w:jc w:val="both"/>
        <w:rPr>
          <w:rFonts w:ascii="Calibri" w:eastAsia="Calibri" w:hAnsi="Calibri" w:cs="Calibri"/>
          <w:color w:val="212121"/>
          <w:sz w:val="20"/>
          <w:szCs w:val="20"/>
        </w:rPr>
      </w:pPr>
    </w:p>
    <w:p w:rsidR="00EF27B9" w:rsidRDefault="00EF27B9">
      <w:pPr>
        <w:pBdr>
          <w:top w:val="nil"/>
          <w:left w:val="nil"/>
          <w:bottom w:val="nil"/>
          <w:right w:val="nil"/>
          <w:between w:val="nil"/>
        </w:pBdr>
        <w:jc w:val="both"/>
        <w:rPr>
          <w:rFonts w:ascii="Calibri" w:eastAsia="Calibri" w:hAnsi="Calibri" w:cs="Calibri"/>
          <w:color w:val="212121"/>
          <w:sz w:val="20"/>
          <w:szCs w:val="20"/>
        </w:rPr>
      </w:pPr>
    </w:p>
    <w:p w:rsidR="00EF27B9" w:rsidRDefault="00000000">
      <w:pPr>
        <w:pStyle w:val="Heading2"/>
        <w:rPr>
          <w:b w:val="0"/>
        </w:rPr>
      </w:pPr>
      <w:bookmarkStart w:id="6" w:name="_heading=h.4q5i0ynt07jc" w:colFirst="0" w:colLast="0"/>
      <w:bookmarkEnd w:id="6"/>
      <w:r>
        <w:t xml:space="preserve">Table S2. Treatment outcomes of patients with OTULIN-related diseases. </w:t>
      </w:r>
      <w:r>
        <w:rPr>
          <w:b w:val="0"/>
        </w:rPr>
        <w:t>Table showing reported drugs/treatments given to patients with OTULIN mutations. It complements to Figure 3D</w:t>
      </w:r>
    </w:p>
    <w:p w:rsidR="00EF27B9" w:rsidRDefault="00000000">
      <w:pPr>
        <w:jc w:val="both"/>
        <w:rPr>
          <w:rFonts w:ascii="Calibri" w:eastAsia="Calibri" w:hAnsi="Calibri" w:cs="Calibri"/>
          <w:color w:val="212121"/>
          <w:sz w:val="20"/>
          <w:szCs w:val="20"/>
        </w:rPr>
      </w:pPr>
      <w:r>
        <w:rPr>
          <w:rFonts w:ascii="Calibri" w:eastAsia="Calibri" w:hAnsi="Calibri" w:cs="Calibri"/>
          <w:color w:val="212121"/>
          <w:sz w:val="20"/>
          <w:szCs w:val="20"/>
        </w:rPr>
        <w:t>(excel file)</w:t>
      </w:r>
    </w:p>
    <w:p w:rsidR="00EF27B9" w:rsidRDefault="00EF27B9">
      <w:pPr>
        <w:jc w:val="both"/>
        <w:rPr>
          <w:rFonts w:ascii="Calibri" w:eastAsia="Calibri" w:hAnsi="Calibri" w:cs="Calibri"/>
          <w:color w:val="212121"/>
          <w:sz w:val="20"/>
          <w:szCs w:val="20"/>
        </w:rPr>
      </w:pPr>
    </w:p>
    <w:p w:rsidR="00EF27B9" w:rsidRDefault="00000000">
      <w:pPr>
        <w:pStyle w:val="Heading2"/>
        <w:rPr>
          <w:color w:val="212121"/>
          <w:sz w:val="20"/>
          <w:szCs w:val="20"/>
        </w:rPr>
      </w:pPr>
      <w:bookmarkStart w:id="7" w:name="_heading=h.c2223dgxm3ge" w:colFirst="0" w:colLast="0"/>
      <w:bookmarkEnd w:id="7"/>
      <w:r>
        <w:t xml:space="preserve">Table S3. Functional characterization of OTULIN dysfunction in patient cells. </w:t>
      </w:r>
      <w:r>
        <w:rPr>
          <w:b w:val="0"/>
        </w:rPr>
        <w:t>Table showing the parameters examined, the methods used, and the respective outcomes for all 27 patients affected by OTULIN-related diseases (ORAS, DN-ORAS, IMD107).</w:t>
      </w:r>
    </w:p>
    <w:p w:rsidR="00EF27B9" w:rsidRDefault="00000000">
      <w:pPr>
        <w:jc w:val="both"/>
        <w:rPr>
          <w:rFonts w:ascii="Calibri" w:eastAsia="Calibri" w:hAnsi="Calibri" w:cs="Calibri"/>
          <w:color w:val="212121"/>
          <w:sz w:val="20"/>
          <w:szCs w:val="20"/>
        </w:rPr>
      </w:pPr>
      <w:r>
        <w:rPr>
          <w:rFonts w:ascii="Calibri" w:eastAsia="Calibri" w:hAnsi="Calibri" w:cs="Calibri"/>
          <w:color w:val="212121"/>
          <w:sz w:val="20"/>
          <w:szCs w:val="20"/>
        </w:rPr>
        <w:t>(excel file)</w:t>
      </w:r>
    </w:p>
    <w:p w:rsidR="00EF27B9" w:rsidRDefault="00EF27B9">
      <w:pPr>
        <w:pBdr>
          <w:top w:val="nil"/>
          <w:left w:val="nil"/>
          <w:bottom w:val="nil"/>
          <w:right w:val="nil"/>
          <w:between w:val="nil"/>
        </w:pBdr>
        <w:jc w:val="both"/>
        <w:rPr>
          <w:rFonts w:ascii="Calibri" w:eastAsia="Calibri" w:hAnsi="Calibri" w:cs="Calibri"/>
          <w:color w:val="212121"/>
          <w:sz w:val="20"/>
          <w:szCs w:val="20"/>
        </w:rPr>
      </w:pPr>
    </w:p>
    <w:p w:rsidR="00EF27B9" w:rsidRDefault="00000000">
      <w:pPr>
        <w:pStyle w:val="Heading2"/>
      </w:pPr>
      <w:bookmarkStart w:id="8" w:name="_heading=h.5hfn39vspdu3" w:colFirst="0" w:colLast="0"/>
      <w:bookmarkEnd w:id="8"/>
      <w:r>
        <w:t xml:space="preserve">Table S4. </w:t>
      </w:r>
      <w:r>
        <w:rPr>
          <w:i/>
        </w:rPr>
        <w:t>In vitro</w:t>
      </w:r>
      <w:r>
        <w:t xml:space="preserve"> (or </w:t>
      </w:r>
      <w:r>
        <w:rPr>
          <w:i/>
        </w:rPr>
        <w:t>in silico</w:t>
      </w:r>
      <w:r>
        <w:t>) functional consequences of OTULIN mutants.</w:t>
      </w:r>
      <w:r>
        <w:rPr>
          <w:b w:val="0"/>
        </w:rPr>
        <w:t xml:space="preserve"> Table showing the assays used and respective outcomes for all reported variants in OTULIN, both naturally occurring and artificially generated. In bold the variants with causative association to human OTULIN-related diseases.</w:t>
      </w:r>
    </w:p>
    <w:p w:rsidR="00EF27B9" w:rsidRDefault="00000000">
      <w:pPr>
        <w:jc w:val="both"/>
        <w:rPr>
          <w:rFonts w:ascii="Calibri" w:eastAsia="Calibri" w:hAnsi="Calibri" w:cs="Calibri"/>
          <w:color w:val="212121"/>
          <w:sz w:val="20"/>
          <w:szCs w:val="20"/>
        </w:rPr>
      </w:pPr>
      <w:r>
        <w:rPr>
          <w:rFonts w:ascii="Calibri" w:eastAsia="Calibri" w:hAnsi="Calibri" w:cs="Calibri"/>
          <w:color w:val="212121"/>
          <w:sz w:val="20"/>
          <w:szCs w:val="20"/>
        </w:rPr>
        <w:t>(excel file)</w:t>
      </w:r>
    </w:p>
    <w:p w:rsidR="00EF27B9" w:rsidRDefault="00EF27B9">
      <w:pPr>
        <w:widowControl w:val="0"/>
        <w:spacing w:line="276" w:lineRule="auto"/>
        <w:jc w:val="both"/>
        <w:rPr>
          <w:rFonts w:ascii="Calibri" w:eastAsia="Calibri" w:hAnsi="Calibri" w:cs="Calibri"/>
          <w:color w:val="212121"/>
          <w:sz w:val="20"/>
          <w:szCs w:val="20"/>
        </w:rPr>
      </w:pPr>
    </w:p>
    <w:sectPr w:rsidR="00EF27B9">
      <w:pgSz w:w="16838" w:h="11906" w:orient="landscape"/>
      <w:pgMar w:top="850" w:right="850" w:bottom="850" w:left="850"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236B8" w:rsidRDefault="000236B8">
      <w:r>
        <w:separator/>
      </w:r>
    </w:p>
  </w:endnote>
  <w:endnote w:type="continuationSeparator" w:id="0">
    <w:p w:rsidR="000236B8" w:rsidRDefault="00023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F27B9"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EF27B9" w:rsidRDefault="00EF27B9">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F27B9"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B742E5">
      <w:rPr>
        <w:noProof/>
        <w:color w:val="000000"/>
      </w:rPr>
      <w:t>1</w:t>
    </w:r>
    <w:r>
      <w:rPr>
        <w:color w:val="000000"/>
      </w:rPr>
      <w:fldChar w:fldCharType="end"/>
    </w:r>
  </w:p>
  <w:p w:rsidR="00EF27B9" w:rsidRDefault="00EF27B9">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236B8" w:rsidRDefault="000236B8">
      <w:r>
        <w:separator/>
      </w:r>
    </w:p>
  </w:footnote>
  <w:footnote w:type="continuationSeparator" w:id="0">
    <w:p w:rsidR="000236B8" w:rsidRDefault="00023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F27B9" w:rsidRDefault="00EF27B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7B9"/>
    <w:rsid w:val="000236B8"/>
    <w:rsid w:val="00B742E5"/>
    <w:rsid w:val="00EF27B9"/>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5:docId w15:val="{7368BBCC-072C-A242-AFDB-ED5A7696A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jc w:val="both"/>
      <w:outlineLvl w:val="0"/>
    </w:pPr>
    <w:rPr>
      <w:rFonts w:ascii="Arial" w:eastAsia="Arial" w:hAnsi="Arial" w:cs="Arial"/>
      <w:b/>
      <w:sz w:val="28"/>
      <w:szCs w:val="28"/>
    </w:rPr>
  </w:style>
  <w:style w:type="paragraph" w:styleId="Heading2">
    <w:name w:val="heading 2"/>
    <w:basedOn w:val="Normal"/>
    <w:next w:val="Normal"/>
    <w:uiPriority w:val="9"/>
    <w:unhideWhenUsed/>
    <w:qFormat/>
    <w:pPr>
      <w:keepNext/>
      <w:keepLines/>
      <w:jc w:val="both"/>
      <w:outlineLvl w:val="1"/>
    </w:pPr>
    <w:rPr>
      <w:rFonts w:ascii="Calibri" w:eastAsia="Calibri" w:hAnsi="Calibri" w:cs="Calibri"/>
      <w: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B74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u07vaRpOLP2h6v8JwoPmhJdRUA==">CgMxLjAyDmgudmtldXZpZzJsM3M5Mg5oLmpkcG40dmg0eGJ0MDIOaC55d2o5djk1OXlydmwyDmgueTRkZmFuOW0yeHB5Mg5oLmRhOWlzMWNheHoyazIOaC5henMwNWZpOG1sZ2IyDmguNHE1aTB5bnQwN2pjMg5oLmMyMjIzZGd4bTNnZTIOaC41aGZuMzl2c3BkdTM4AHIhMUhLdmloUE5IeEE3Z2hDaUJxQWlRdWV6bjBCRVNaVnhV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3440</Words>
  <Characters>19614</Characters>
  <Application>Microsoft Office Word</Application>
  <DocSecurity>0</DocSecurity>
  <Lines>163</Lines>
  <Paragraphs>46</Paragraphs>
  <ScaleCrop>false</ScaleCrop>
  <Company/>
  <LinksUpToDate>false</LinksUpToDate>
  <CharactersWithSpaces>23008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2024-02-12T11:02:00Z</dcterms:created>
  <dcterms:modified xsi:type="dcterms:W3CDTF">2024-02-12T11:03:00Z</dcterms:modified>
</cp:coreProperties>
</file>