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050D" w14:textId="77777777" w:rsidR="009E1E45" w:rsidRPr="00224033" w:rsidRDefault="009E1E45" w:rsidP="009E1E45">
      <w:pPr>
        <w:spacing w:after="0" w:line="480" w:lineRule="auto"/>
        <w:rPr>
          <w:rFonts w:ascii="Calibri" w:eastAsia="Times New Roman" w:hAnsi="Calibri" w:cs="Calibri"/>
          <w:b/>
          <w:bCs/>
        </w:rPr>
      </w:pPr>
      <w:r w:rsidRPr="00224033">
        <w:rPr>
          <w:rFonts w:ascii="Calibri" w:eastAsia="Times New Roman" w:hAnsi="Calibri" w:cs="Calibri"/>
          <w:b/>
          <w:bCs/>
        </w:rPr>
        <w:t xml:space="preserve">SUPPLEMENTAL MATERIAL </w:t>
      </w:r>
    </w:p>
    <w:p w14:paraId="7CC9CD4A" w14:textId="77777777" w:rsidR="009E1E45" w:rsidRDefault="009E1E45" w:rsidP="009E1E45">
      <w:pPr>
        <w:spacing w:line="480" w:lineRule="auto"/>
        <w:rPr>
          <w:rFonts w:ascii="Calibri" w:eastAsia="Times New Roman" w:hAnsi="Calibri" w:cs="Calibri"/>
          <w:b/>
          <w:bCs/>
        </w:rPr>
      </w:pPr>
      <w:r w:rsidRPr="00224033">
        <w:rPr>
          <w:rFonts w:ascii="Calibri" w:eastAsia="Times New Roman" w:hAnsi="Calibri" w:cs="Calibri"/>
          <w:b/>
          <w:bCs/>
        </w:rPr>
        <w:t xml:space="preserve">Supplemental Figure 1. </w:t>
      </w:r>
    </w:p>
    <w:p w14:paraId="64D57C9A" w14:textId="77777777" w:rsidR="009E1E45" w:rsidRDefault="009E1E45" w:rsidP="009E1E45">
      <w:pPr>
        <w:spacing w:line="480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/>
          <w:b/>
          <w:bCs/>
        </w:rPr>
        <w:t xml:space="preserve">A. </w:t>
      </w:r>
      <w:r w:rsidRPr="00224033">
        <w:rPr>
          <w:rFonts w:ascii="Calibri" w:eastAsia="Times New Roman" w:hAnsi="Calibri" w:cs="Calibri"/>
          <w:color w:val="000000" w:themeColor="text1"/>
        </w:rPr>
        <w:t>Standardized pictograms designed for this proof-of-concept stud</w:t>
      </w:r>
      <w:r>
        <w:rPr>
          <w:rFonts w:ascii="Calibri" w:eastAsia="Times New Roman" w:hAnsi="Calibri" w:cs="Calibri"/>
          <w:color w:val="000000" w:themeColor="text1"/>
        </w:rPr>
        <w:t xml:space="preserve">y. </w:t>
      </w:r>
    </w:p>
    <w:p w14:paraId="6D1A0F5C" w14:textId="77777777" w:rsidR="009E1E45" w:rsidRPr="00A53FF0" w:rsidRDefault="009E1E45" w:rsidP="009E1E45">
      <w:pPr>
        <w:spacing w:line="480" w:lineRule="auto"/>
        <w:rPr>
          <w:rFonts w:ascii="Calibri" w:eastAsia="Times New Roman" w:hAnsi="Calibri" w:cs="Calibri"/>
          <w:b/>
          <w:bCs/>
        </w:rPr>
      </w:pPr>
      <w:r w:rsidRPr="005355AB">
        <w:rPr>
          <w:rFonts w:ascii="Calibri" w:eastAsia="Times New Roman" w:hAnsi="Calibri" w:cs="Calibri"/>
          <w:b/>
          <w:bCs/>
          <w:color w:val="000000" w:themeColor="text1"/>
        </w:rPr>
        <w:t>B.</w:t>
      </w:r>
      <w:r>
        <w:rPr>
          <w:rFonts w:ascii="Calibri" w:eastAsia="Times New Roman" w:hAnsi="Calibri" w:cs="Calibri"/>
          <w:color w:val="000000" w:themeColor="text1"/>
        </w:rPr>
        <w:t xml:space="preserve"> </w:t>
      </w:r>
      <w:r w:rsidRPr="00224033">
        <w:rPr>
          <w:rFonts w:ascii="Calibri" w:eastAsia="Times New Roman" w:hAnsi="Calibri" w:cs="Calibri"/>
          <w:color w:val="000000" w:themeColor="text1"/>
        </w:rPr>
        <w:t>Simulation of the pictograms for different skin colors</w:t>
      </w:r>
    </w:p>
    <w:p w14:paraId="1BCC4073" w14:textId="77777777" w:rsidR="009E1E45" w:rsidRDefault="009E1E45" w:rsidP="009E1E45">
      <w:pPr>
        <w:spacing w:after="0" w:line="480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/>
          <w:noProof/>
          <w:color w:val="000000" w:themeColor="text1"/>
          <w:lang w:val="nl-NL" w:eastAsia="nl-NL"/>
        </w:rPr>
        <w:drawing>
          <wp:inline distT="0" distB="0" distL="0" distR="0" wp14:anchorId="78F92413" wp14:editId="08E9D6DB">
            <wp:extent cx="5760720" cy="2344420"/>
            <wp:effectExtent l="0" t="0" r="5080" b="5080"/>
            <wp:docPr id="1692128604" name="Afbeelding 1" descr="Afbeelding met schermopname, cirkel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28604" name="Afbeelding 1" descr="Afbeelding met schermopname, cirkel, ontwerp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13135" w14:textId="77777777" w:rsidR="009E1E45" w:rsidRDefault="009E1E45" w:rsidP="009E1E45">
      <w:pPr>
        <w:spacing w:after="200" w:line="276" w:lineRule="auto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br w:type="page"/>
      </w:r>
    </w:p>
    <w:p w14:paraId="45595EEC" w14:textId="77777777" w:rsidR="009E1E45" w:rsidRDefault="009E1E45" w:rsidP="009E1E45">
      <w:pPr>
        <w:spacing w:after="0" w:line="480" w:lineRule="auto"/>
        <w:rPr>
          <w:rFonts w:ascii="Calibri" w:hAnsi="Calibri" w:cs="Calibri"/>
          <w:b/>
          <w:bCs/>
        </w:rPr>
      </w:pPr>
      <w:r>
        <w:rPr>
          <w:rFonts w:ascii="Calibri" w:eastAsia="Times New Roman" w:hAnsi="Calibri" w:cs="Calibri"/>
          <w:b/>
        </w:rPr>
        <w:lastRenderedPageBreak/>
        <w:t xml:space="preserve">Supplemental </w:t>
      </w:r>
      <w:r w:rsidRPr="005355AB">
        <w:rPr>
          <w:rFonts w:ascii="Calibri" w:eastAsia="Times New Roman" w:hAnsi="Calibri" w:cs="Calibri"/>
          <w:b/>
        </w:rPr>
        <w:t>F</w:t>
      </w:r>
      <w:r w:rsidRPr="005355AB">
        <w:rPr>
          <w:rFonts w:ascii="Calibri" w:hAnsi="Calibri" w:cs="Calibri"/>
          <w:b/>
          <w:bCs/>
        </w:rPr>
        <w:t>igure</w:t>
      </w:r>
      <w:r w:rsidRPr="00224033">
        <w:rPr>
          <w:rFonts w:ascii="Calibri" w:hAnsi="Calibri" w:cs="Calibri"/>
          <w:b/>
          <w:bCs/>
          <w:lang w:val="en-GB"/>
        </w:rPr>
        <w:t xml:space="preserve"> </w:t>
      </w:r>
      <w:r>
        <w:rPr>
          <w:rFonts w:ascii="Calibri" w:hAnsi="Calibri" w:cs="Calibri"/>
          <w:b/>
          <w:bCs/>
          <w:lang w:val="en-GB"/>
        </w:rPr>
        <w:t>2</w:t>
      </w:r>
      <w:r w:rsidRPr="00224033">
        <w:rPr>
          <w:rFonts w:ascii="Calibri" w:hAnsi="Calibri" w:cs="Calibri"/>
          <w:lang w:val="en-GB"/>
        </w:rPr>
        <w:t>. Flowchart of study inclusion</w:t>
      </w:r>
      <w:r>
        <w:rPr>
          <w:rFonts w:ascii="Calibri" w:eastAsia="Times New Roman" w:hAnsi="Calibri" w:cs="Calibri"/>
          <w:noProof/>
          <w:lang w:val="nl-NL" w:eastAsia="nl-NL"/>
        </w:rPr>
        <w:drawing>
          <wp:inline distT="0" distB="0" distL="0" distR="0" wp14:anchorId="0DE43CE5" wp14:editId="0800CC8D">
            <wp:extent cx="4876620" cy="5152913"/>
            <wp:effectExtent l="0" t="0" r="635" b="3810"/>
            <wp:docPr id="952164907" name="Afbeelding 1" descr="Afbeelding met tekst, schermopname, Lettertype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164907" name="Afbeelding 1" descr="Afbeelding met tekst, schermopname, Lettertype, Parallel&#10;&#10;Automatisch gegenereerde beschrijvi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314"/>
                    <a:stretch/>
                  </pic:blipFill>
                  <pic:spPr bwMode="auto">
                    <a:xfrm>
                      <a:off x="0" y="0"/>
                      <a:ext cx="4915567" cy="5194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</w:rPr>
        <w:br w:type="page"/>
      </w:r>
    </w:p>
    <w:p w14:paraId="109B6512" w14:textId="77777777" w:rsidR="009E1E45" w:rsidRDefault="009E1E45" w:rsidP="009E1E45">
      <w:pPr>
        <w:spacing w:after="0" w:line="48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Supplemental F</w:t>
      </w:r>
      <w:r w:rsidRPr="00224033">
        <w:rPr>
          <w:rFonts w:ascii="Calibri" w:hAnsi="Calibri" w:cs="Calibri"/>
          <w:b/>
          <w:bCs/>
        </w:rPr>
        <w:t xml:space="preserve">igure </w:t>
      </w:r>
      <w:r>
        <w:rPr>
          <w:rFonts w:ascii="Calibri" w:hAnsi="Calibri" w:cs="Calibri"/>
          <w:b/>
          <w:bCs/>
        </w:rPr>
        <w:t>3.</w:t>
      </w:r>
      <w:r w:rsidRPr="00224033">
        <w:rPr>
          <w:rFonts w:ascii="Calibri" w:hAnsi="Calibri" w:cs="Calibri"/>
          <w:b/>
          <w:bCs/>
        </w:rPr>
        <w:t xml:space="preserve"> </w:t>
      </w:r>
      <w:r w:rsidRPr="00224033">
        <w:rPr>
          <w:rFonts w:ascii="Calibri" w:hAnsi="Calibri" w:cs="Calibri"/>
        </w:rPr>
        <w:t>Interaction between the two traits of gestalt eye opening and facial color</w:t>
      </w:r>
    </w:p>
    <w:p w14:paraId="34811525" w14:textId="77777777" w:rsidR="009E1E45" w:rsidRPr="0005483F" w:rsidRDefault="009E1E45" w:rsidP="009E1E45">
      <w:pPr>
        <w:spacing w:after="0" w:line="48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val="nl-NL" w:eastAsia="nl-NL"/>
        </w:rPr>
        <w:drawing>
          <wp:inline distT="0" distB="0" distL="0" distR="0" wp14:anchorId="21B3E8E8" wp14:editId="0DFAE227">
            <wp:extent cx="4055644" cy="4905487"/>
            <wp:effectExtent l="0" t="0" r="0" b="0"/>
            <wp:docPr id="501344567" name="Afbeelding 2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344567" name="Afbeelding 2" descr="Afbeelding met tekst, schermopname, Lettertype, nummer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176" cy="497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4E95B" w14:textId="77777777" w:rsidR="009E1E45" w:rsidRDefault="009E1E45" w:rsidP="009E1E45">
      <w:pPr>
        <w:spacing w:after="0" w:line="480" w:lineRule="auto"/>
        <w:rPr>
          <w:rFonts w:ascii="Calibri" w:eastAsia="Times New Roman" w:hAnsi="Calibri" w:cs="Calibri"/>
          <w:sz w:val="18"/>
          <w:szCs w:val="18"/>
        </w:rPr>
      </w:pPr>
      <w:r w:rsidRPr="00224033">
        <w:rPr>
          <w:rFonts w:ascii="Calibri" w:hAnsi="Calibri" w:cs="Calibri"/>
          <w:sz w:val="18"/>
          <w:szCs w:val="18"/>
        </w:rPr>
        <w:t xml:space="preserve">SOFA: Sequential Organ Failure Assessment; </w:t>
      </w:r>
      <w:r w:rsidRPr="00224033">
        <w:rPr>
          <w:rFonts w:ascii="Calibri" w:eastAsia="Times New Roman" w:hAnsi="Calibri" w:cs="Calibri"/>
          <w:sz w:val="18"/>
          <w:szCs w:val="18"/>
        </w:rPr>
        <w:t>bars indicate standard error of the mean.</w:t>
      </w:r>
    </w:p>
    <w:p w14:paraId="58493BBF" w14:textId="77777777" w:rsidR="009E1E45" w:rsidRDefault="009E1E45" w:rsidP="009E1E45">
      <w:pPr>
        <w:spacing w:after="0" w:line="480" w:lineRule="auto"/>
        <w:rPr>
          <w:rFonts w:ascii="Calibri" w:eastAsia="Times New Roman" w:hAnsi="Calibri" w:cs="Calibri"/>
          <w:sz w:val="18"/>
          <w:szCs w:val="18"/>
        </w:rPr>
      </w:pPr>
    </w:p>
    <w:p w14:paraId="0C85F99D" w14:textId="77777777" w:rsidR="009E1E45" w:rsidRDefault="009E1E45" w:rsidP="009E1E45">
      <w:pPr>
        <w:spacing w:after="200" w:line="276" w:lineRule="auto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br w:type="page"/>
      </w:r>
    </w:p>
    <w:p w14:paraId="0AC5ACBE" w14:textId="77777777" w:rsidR="009E1E45" w:rsidRPr="00E00B0A" w:rsidRDefault="009E1E45" w:rsidP="009E1E45">
      <w:pPr>
        <w:spacing w:line="480" w:lineRule="auto"/>
        <w:rPr>
          <w:rFonts w:ascii="Calibri" w:eastAsia="Times New Roman" w:hAnsi="Calibri" w:cs="Calibri"/>
        </w:rPr>
      </w:pPr>
      <w:r w:rsidRPr="00E00B0A">
        <w:rPr>
          <w:rFonts w:ascii="Calibri" w:eastAsia="Times New Roman" w:hAnsi="Calibri" w:cs="Calibri"/>
          <w:b/>
          <w:bCs/>
        </w:rPr>
        <w:lastRenderedPageBreak/>
        <w:t xml:space="preserve">Supplemental Table 1. </w:t>
      </w:r>
      <w:r w:rsidRPr="00E00B0A">
        <w:rPr>
          <w:rFonts w:ascii="Calibri" w:eastAsia="Times New Roman" w:hAnsi="Calibri" w:cs="Calibri"/>
        </w:rPr>
        <w:t>The SOFA score</w:t>
      </w:r>
      <w:r>
        <w:rPr>
          <w:rFonts w:ascii="Calibri" w:eastAsia="Times New Roman" w:hAnsi="Calibri" w:cs="Calibri"/>
        </w:rPr>
        <w:t>*</w:t>
      </w:r>
    </w:p>
    <w:tbl>
      <w:tblPr>
        <w:tblStyle w:val="Lijsttabel3-Accent11"/>
        <w:tblW w:w="9598" w:type="dxa"/>
        <w:tblLook w:val="04A0" w:firstRow="1" w:lastRow="0" w:firstColumn="1" w:lastColumn="0" w:noHBand="0" w:noVBand="1"/>
      </w:tblPr>
      <w:tblGrid>
        <w:gridCol w:w="2365"/>
        <w:gridCol w:w="1252"/>
        <w:gridCol w:w="1809"/>
        <w:gridCol w:w="2086"/>
        <w:gridCol w:w="2086"/>
      </w:tblGrid>
      <w:tr w:rsidR="009E1E45" w:rsidRPr="008C5026" w14:paraId="20CAD667" w14:textId="77777777" w:rsidTr="009E1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65" w:type="dxa"/>
            <w:shd w:val="clear" w:color="auto" w:fill="0070C0"/>
            <w:hideMark/>
          </w:tcPr>
          <w:p w14:paraId="5C80AB0C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0"/>
                <w:szCs w:val="20"/>
                <w:lang w:eastAsia="nl-NL"/>
                <w14:ligatures w14:val="standardContextual"/>
              </w:rPr>
            </w:pPr>
          </w:p>
        </w:tc>
        <w:tc>
          <w:tcPr>
            <w:tcW w:w="1252" w:type="dxa"/>
            <w:tcBorders>
              <w:bottom w:val="nil"/>
            </w:tcBorders>
            <w:shd w:val="clear" w:color="auto" w:fill="0070C0"/>
            <w:hideMark/>
          </w:tcPr>
          <w:p w14:paraId="4F2EC3C6" w14:textId="77777777" w:rsidR="009E1E45" w:rsidRPr="008C5026" w:rsidRDefault="009E1E45" w:rsidP="009E1E8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  <w:t>1</w:t>
            </w:r>
          </w:p>
        </w:tc>
        <w:tc>
          <w:tcPr>
            <w:tcW w:w="1809" w:type="dxa"/>
            <w:tcBorders>
              <w:bottom w:val="nil"/>
            </w:tcBorders>
            <w:shd w:val="clear" w:color="auto" w:fill="0070C0"/>
            <w:hideMark/>
          </w:tcPr>
          <w:p w14:paraId="501969A8" w14:textId="77777777" w:rsidR="009E1E45" w:rsidRPr="008C5026" w:rsidRDefault="009E1E45" w:rsidP="009E1E8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  <w:t>2</w:t>
            </w:r>
          </w:p>
        </w:tc>
        <w:tc>
          <w:tcPr>
            <w:tcW w:w="2086" w:type="dxa"/>
            <w:tcBorders>
              <w:bottom w:val="nil"/>
            </w:tcBorders>
            <w:shd w:val="clear" w:color="auto" w:fill="0070C0"/>
            <w:hideMark/>
          </w:tcPr>
          <w:p w14:paraId="79F72CFE" w14:textId="77777777" w:rsidR="009E1E45" w:rsidRPr="008C5026" w:rsidRDefault="009E1E45" w:rsidP="009E1E8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  <w:t>3</w:t>
            </w:r>
          </w:p>
        </w:tc>
        <w:tc>
          <w:tcPr>
            <w:tcW w:w="2086" w:type="dxa"/>
            <w:tcBorders>
              <w:bottom w:val="nil"/>
            </w:tcBorders>
            <w:shd w:val="clear" w:color="auto" w:fill="0070C0"/>
            <w:hideMark/>
          </w:tcPr>
          <w:p w14:paraId="1A85F9BF" w14:textId="77777777" w:rsidR="009E1E45" w:rsidRPr="008C5026" w:rsidRDefault="009E1E45" w:rsidP="009E1E8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  <w:t>4</w:t>
            </w:r>
          </w:p>
        </w:tc>
      </w:tr>
      <w:tr w:rsidR="009E1E45" w:rsidRPr="008C5026" w14:paraId="41E73A82" w14:textId="77777777" w:rsidTr="009E1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top w:val="nil"/>
              <w:left w:val="nil"/>
              <w:bottom w:val="nil"/>
              <w:right w:val="none" w:sz="0" w:space="0" w:color="auto"/>
            </w:tcBorders>
            <w:hideMark/>
          </w:tcPr>
          <w:p w14:paraId="208FE1DF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proofErr w:type="spellStart"/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Respiration</w:t>
            </w:r>
            <w:proofErr w:type="spellEnd"/>
          </w:p>
          <w:p w14:paraId="4AD8E12F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PaO2/FiO2 (</w:t>
            </w:r>
            <w:proofErr w:type="spellStart"/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mmHg</w:t>
            </w:r>
            <w:proofErr w:type="spellEnd"/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)</w:t>
            </w:r>
          </w:p>
        </w:tc>
        <w:tc>
          <w:tcPr>
            <w:tcW w:w="1252" w:type="dxa"/>
            <w:tcBorders>
              <w:top w:val="nil"/>
              <w:bottom w:val="nil"/>
            </w:tcBorders>
            <w:hideMark/>
          </w:tcPr>
          <w:p w14:paraId="7D439240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≤400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hideMark/>
          </w:tcPr>
          <w:p w14:paraId="244E9AB6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≤300</w:t>
            </w:r>
          </w:p>
        </w:tc>
        <w:tc>
          <w:tcPr>
            <w:tcW w:w="2086" w:type="dxa"/>
            <w:tcBorders>
              <w:top w:val="nil"/>
              <w:bottom w:val="nil"/>
            </w:tcBorders>
            <w:hideMark/>
          </w:tcPr>
          <w:p w14:paraId="7691FC86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≤200</w:t>
            </w: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vertAlign w:val="superscript"/>
                <w:lang w:val="nl-NL" w:eastAsia="nl-NL"/>
                <w14:ligatures w14:val="standardContextual"/>
              </w:rPr>
              <w:t>a</w:t>
            </w:r>
          </w:p>
        </w:tc>
        <w:tc>
          <w:tcPr>
            <w:tcW w:w="2086" w:type="dxa"/>
            <w:tcBorders>
              <w:top w:val="nil"/>
              <w:bottom w:val="nil"/>
              <w:right w:val="nil"/>
            </w:tcBorders>
            <w:hideMark/>
          </w:tcPr>
          <w:p w14:paraId="59919AA9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≤100</w:t>
            </w: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vertAlign w:val="superscript"/>
                <w:lang w:val="nl-NL" w:eastAsia="nl-NL"/>
                <w14:ligatures w14:val="standardContextual"/>
              </w:rPr>
              <w:t>a</w:t>
            </w:r>
          </w:p>
        </w:tc>
      </w:tr>
      <w:tr w:rsidR="009E1E45" w:rsidRPr="008C5026" w14:paraId="771C6B18" w14:textId="77777777" w:rsidTr="009E1E8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top w:val="nil"/>
              <w:left w:val="nil"/>
              <w:bottom w:val="nil"/>
              <w:right w:val="none" w:sz="0" w:space="0" w:color="auto"/>
            </w:tcBorders>
            <w:hideMark/>
          </w:tcPr>
          <w:p w14:paraId="5EBC6364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Coagulation</w:t>
            </w:r>
          </w:p>
          <w:p w14:paraId="7C3DEF2E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proofErr w:type="spellStart"/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Platelets</w:t>
            </w:r>
            <w:proofErr w:type="spellEnd"/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 xml:space="preserve"> (x10</w:t>
            </w:r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vertAlign w:val="superscript"/>
                <w:lang w:val="nl-NL" w:eastAsia="nl-NL"/>
                <w14:ligatures w14:val="standardContextual"/>
              </w:rPr>
              <w:t>9</w:t>
            </w:r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 xml:space="preserve"> /l)</w:t>
            </w:r>
          </w:p>
        </w:tc>
        <w:tc>
          <w:tcPr>
            <w:tcW w:w="1252" w:type="dxa"/>
            <w:tcBorders>
              <w:top w:val="nil"/>
              <w:bottom w:val="nil"/>
            </w:tcBorders>
            <w:hideMark/>
          </w:tcPr>
          <w:p w14:paraId="6F0DC194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≤150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hideMark/>
          </w:tcPr>
          <w:p w14:paraId="7DC82CFE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≤100</w:t>
            </w:r>
          </w:p>
        </w:tc>
        <w:tc>
          <w:tcPr>
            <w:tcW w:w="2086" w:type="dxa"/>
            <w:tcBorders>
              <w:top w:val="nil"/>
              <w:bottom w:val="nil"/>
            </w:tcBorders>
            <w:hideMark/>
          </w:tcPr>
          <w:p w14:paraId="03731193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≤50</w:t>
            </w:r>
          </w:p>
        </w:tc>
        <w:tc>
          <w:tcPr>
            <w:tcW w:w="2086" w:type="dxa"/>
            <w:tcBorders>
              <w:top w:val="nil"/>
              <w:bottom w:val="nil"/>
              <w:right w:val="nil"/>
            </w:tcBorders>
            <w:hideMark/>
          </w:tcPr>
          <w:p w14:paraId="7075ED45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≤20</w:t>
            </w:r>
          </w:p>
        </w:tc>
      </w:tr>
      <w:tr w:rsidR="009E1E45" w:rsidRPr="008C5026" w14:paraId="22975548" w14:textId="77777777" w:rsidTr="009E1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top w:val="nil"/>
              <w:left w:val="nil"/>
              <w:bottom w:val="nil"/>
              <w:right w:val="none" w:sz="0" w:space="0" w:color="auto"/>
            </w:tcBorders>
            <w:hideMark/>
          </w:tcPr>
          <w:p w14:paraId="184581AA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proofErr w:type="spellStart"/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Liver</w:t>
            </w:r>
            <w:proofErr w:type="spellEnd"/>
          </w:p>
          <w:p w14:paraId="3D8C19AB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proofErr w:type="spellStart"/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Bilirubin</w:t>
            </w:r>
            <w:proofErr w:type="spellEnd"/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 xml:space="preserve"> (</w:t>
            </w:r>
            <w:proofErr w:type="spellStart"/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μmol</w:t>
            </w:r>
            <w:proofErr w:type="spellEnd"/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/l)</w:t>
            </w:r>
          </w:p>
        </w:tc>
        <w:tc>
          <w:tcPr>
            <w:tcW w:w="1252" w:type="dxa"/>
            <w:tcBorders>
              <w:top w:val="nil"/>
              <w:bottom w:val="nil"/>
            </w:tcBorders>
            <w:hideMark/>
          </w:tcPr>
          <w:p w14:paraId="42C196D4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20-32</w:t>
            </w:r>
          </w:p>
        </w:tc>
        <w:tc>
          <w:tcPr>
            <w:tcW w:w="1809" w:type="dxa"/>
            <w:tcBorders>
              <w:top w:val="nil"/>
              <w:bottom w:val="nil"/>
            </w:tcBorders>
            <w:hideMark/>
          </w:tcPr>
          <w:p w14:paraId="17C41776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33-101</w:t>
            </w:r>
          </w:p>
        </w:tc>
        <w:tc>
          <w:tcPr>
            <w:tcW w:w="2086" w:type="dxa"/>
            <w:tcBorders>
              <w:top w:val="nil"/>
              <w:bottom w:val="nil"/>
            </w:tcBorders>
            <w:hideMark/>
          </w:tcPr>
          <w:p w14:paraId="58C4D88A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102-204</w:t>
            </w:r>
          </w:p>
        </w:tc>
        <w:tc>
          <w:tcPr>
            <w:tcW w:w="2086" w:type="dxa"/>
            <w:tcBorders>
              <w:top w:val="nil"/>
              <w:bottom w:val="nil"/>
              <w:right w:val="nil"/>
            </w:tcBorders>
            <w:hideMark/>
          </w:tcPr>
          <w:p w14:paraId="12B41BB3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&gt;204</w:t>
            </w:r>
          </w:p>
        </w:tc>
      </w:tr>
      <w:tr w:rsidR="009E1E45" w:rsidRPr="008C5026" w14:paraId="6C0DF937" w14:textId="77777777" w:rsidTr="009E1E83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top w:val="nil"/>
              <w:left w:val="nil"/>
              <w:bottom w:val="nil"/>
              <w:right w:val="none" w:sz="0" w:space="0" w:color="auto"/>
            </w:tcBorders>
            <w:hideMark/>
          </w:tcPr>
          <w:p w14:paraId="22AF67ED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proofErr w:type="spellStart"/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Cardiovascular</w:t>
            </w:r>
            <w:proofErr w:type="spellEnd"/>
          </w:p>
          <w:p w14:paraId="3E32AE7D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kern w:val="2"/>
                <w:sz w:val="20"/>
                <w:szCs w:val="20"/>
                <w:vertAlign w:val="superscript"/>
                <w:lang w:val="nl-NL" w:eastAsia="nl-NL"/>
                <w14:ligatures w14:val="standardContextual"/>
              </w:rPr>
            </w:pPr>
            <w:proofErr w:type="spellStart"/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Hypotension</w:t>
            </w:r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vertAlign w:val="superscript"/>
                <w:lang w:val="nl-NL" w:eastAsia="nl-NL"/>
                <w14:ligatures w14:val="standardContextual"/>
              </w:rPr>
              <w:t>b</w:t>
            </w:r>
            <w:proofErr w:type="spellEnd"/>
          </w:p>
        </w:tc>
        <w:tc>
          <w:tcPr>
            <w:tcW w:w="1252" w:type="dxa"/>
            <w:tcBorders>
              <w:top w:val="nil"/>
              <w:bottom w:val="nil"/>
            </w:tcBorders>
            <w:hideMark/>
          </w:tcPr>
          <w:p w14:paraId="395CBE83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 xml:space="preserve">MAP &lt;70 </w:t>
            </w:r>
            <w:proofErr w:type="spellStart"/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mmHg</w:t>
            </w:r>
            <w:proofErr w:type="spellEnd"/>
          </w:p>
        </w:tc>
        <w:tc>
          <w:tcPr>
            <w:tcW w:w="1809" w:type="dxa"/>
            <w:tcBorders>
              <w:top w:val="nil"/>
              <w:bottom w:val="nil"/>
            </w:tcBorders>
            <w:hideMark/>
          </w:tcPr>
          <w:p w14:paraId="36057DE8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nl-NL"/>
                <w14:ligatures w14:val="standardContextual"/>
              </w:rPr>
              <w:t>Dopamine ≤5 or dobutamine (any dose)</w:t>
            </w:r>
          </w:p>
        </w:tc>
        <w:tc>
          <w:tcPr>
            <w:tcW w:w="2086" w:type="dxa"/>
            <w:tcBorders>
              <w:top w:val="nil"/>
              <w:bottom w:val="nil"/>
            </w:tcBorders>
            <w:hideMark/>
          </w:tcPr>
          <w:p w14:paraId="0BBC10B7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nl-NL"/>
                <w14:ligatures w14:val="standardContextual"/>
              </w:rPr>
              <w:t>Dopamine &gt;5 or epinephrine ≤0.1 or norepinephrine ≤0.1</w:t>
            </w:r>
          </w:p>
        </w:tc>
        <w:tc>
          <w:tcPr>
            <w:tcW w:w="2086" w:type="dxa"/>
            <w:tcBorders>
              <w:top w:val="nil"/>
              <w:bottom w:val="nil"/>
              <w:right w:val="nil"/>
            </w:tcBorders>
            <w:hideMark/>
          </w:tcPr>
          <w:p w14:paraId="48D9F161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nl-NL"/>
                <w14:ligatures w14:val="standardContextual"/>
              </w:rPr>
              <w:t>Dopamine &gt;15 or epinephrine &gt;0.1 or norepinephrine &gt;0.1</w:t>
            </w:r>
          </w:p>
        </w:tc>
      </w:tr>
      <w:tr w:rsidR="009E1E45" w:rsidRPr="008C5026" w14:paraId="0E444B0A" w14:textId="77777777" w:rsidTr="009E1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top w:val="nil"/>
              <w:left w:val="nil"/>
              <w:bottom w:val="nil"/>
              <w:right w:val="none" w:sz="0" w:space="0" w:color="auto"/>
            </w:tcBorders>
            <w:hideMark/>
          </w:tcPr>
          <w:p w14:paraId="6F1EB128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CNS</w:t>
            </w:r>
          </w:p>
          <w:p w14:paraId="077F473E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 xml:space="preserve">Glasgow Coma </w:t>
            </w:r>
            <w:proofErr w:type="spellStart"/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Scale</w:t>
            </w:r>
            <w:proofErr w:type="spellEnd"/>
          </w:p>
        </w:tc>
        <w:tc>
          <w:tcPr>
            <w:tcW w:w="1252" w:type="dxa"/>
            <w:tcBorders>
              <w:top w:val="nil"/>
              <w:bottom w:val="nil"/>
            </w:tcBorders>
            <w:hideMark/>
          </w:tcPr>
          <w:p w14:paraId="38DCC4CE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13-14</w:t>
            </w:r>
          </w:p>
        </w:tc>
        <w:tc>
          <w:tcPr>
            <w:tcW w:w="1809" w:type="dxa"/>
            <w:tcBorders>
              <w:top w:val="nil"/>
              <w:bottom w:val="nil"/>
            </w:tcBorders>
            <w:hideMark/>
          </w:tcPr>
          <w:p w14:paraId="0876DDEB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10-12</w:t>
            </w:r>
          </w:p>
        </w:tc>
        <w:tc>
          <w:tcPr>
            <w:tcW w:w="2086" w:type="dxa"/>
            <w:tcBorders>
              <w:top w:val="nil"/>
              <w:bottom w:val="nil"/>
            </w:tcBorders>
            <w:hideMark/>
          </w:tcPr>
          <w:p w14:paraId="532C33FF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6-9</w:t>
            </w:r>
          </w:p>
        </w:tc>
        <w:tc>
          <w:tcPr>
            <w:tcW w:w="2086" w:type="dxa"/>
            <w:tcBorders>
              <w:top w:val="nil"/>
              <w:bottom w:val="nil"/>
              <w:right w:val="nil"/>
            </w:tcBorders>
            <w:hideMark/>
          </w:tcPr>
          <w:p w14:paraId="61D39D3E" w14:textId="77777777" w:rsidR="009E1E45" w:rsidRPr="008C5026" w:rsidRDefault="009E1E45" w:rsidP="009E1E8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&lt;6</w:t>
            </w:r>
          </w:p>
        </w:tc>
      </w:tr>
      <w:tr w:rsidR="009E1E45" w:rsidRPr="008C5026" w14:paraId="449DDBCA" w14:textId="77777777" w:rsidTr="009E1E83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top w:val="nil"/>
              <w:left w:val="nil"/>
              <w:bottom w:val="single" w:sz="4" w:space="0" w:color="auto"/>
              <w:right w:val="none" w:sz="0" w:space="0" w:color="auto"/>
            </w:tcBorders>
            <w:hideMark/>
          </w:tcPr>
          <w:p w14:paraId="6CFF673E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eastAsia="nl-NL"/>
                <w14:ligatures w14:val="standardContextual"/>
              </w:rPr>
              <w:t>Renal</w:t>
            </w:r>
          </w:p>
          <w:p w14:paraId="1D28A099" w14:textId="77777777" w:rsidR="009E1E45" w:rsidRPr="008C5026" w:rsidRDefault="009E1E45" w:rsidP="009E1E83">
            <w:pPr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kern w:val="2"/>
                <w:sz w:val="20"/>
                <w:szCs w:val="20"/>
                <w:lang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eastAsia="nl-NL"/>
                <w14:ligatures w14:val="standardContextual"/>
              </w:rPr>
              <w:t>Creatinine (</w:t>
            </w:r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μ</w:t>
            </w:r>
            <w:r w:rsidRPr="008C5026">
              <w:rPr>
                <w:rFonts w:ascii="Calibri" w:eastAsia="Times New Roman" w:hAnsi="Calibri" w:cs="Calibri"/>
                <w:b w:val="0"/>
                <w:bCs w:val="0"/>
                <w:color w:val="000000"/>
                <w:kern w:val="2"/>
                <w:sz w:val="20"/>
                <w:szCs w:val="20"/>
                <w:lang w:eastAsia="nl-NL"/>
                <w14:ligatures w14:val="standardContextual"/>
              </w:rPr>
              <w:t>mol/l) or Urine output (ml/day)</w:t>
            </w:r>
          </w:p>
        </w:tc>
        <w:tc>
          <w:tcPr>
            <w:tcW w:w="1252" w:type="dxa"/>
            <w:tcBorders>
              <w:top w:val="nil"/>
              <w:bottom w:val="single" w:sz="4" w:space="0" w:color="auto"/>
            </w:tcBorders>
            <w:hideMark/>
          </w:tcPr>
          <w:p w14:paraId="3AA5D6CA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110-170</w:t>
            </w:r>
          </w:p>
        </w:tc>
        <w:tc>
          <w:tcPr>
            <w:tcW w:w="1809" w:type="dxa"/>
            <w:tcBorders>
              <w:top w:val="nil"/>
              <w:bottom w:val="single" w:sz="4" w:space="0" w:color="auto"/>
            </w:tcBorders>
            <w:hideMark/>
          </w:tcPr>
          <w:p w14:paraId="072DC89F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171-299</w:t>
            </w:r>
          </w:p>
        </w:tc>
        <w:tc>
          <w:tcPr>
            <w:tcW w:w="2086" w:type="dxa"/>
            <w:tcBorders>
              <w:top w:val="nil"/>
              <w:bottom w:val="single" w:sz="4" w:space="0" w:color="auto"/>
            </w:tcBorders>
            <w:hideMark/>
          </w:tcPr>
          <w:p w14:paraId="027628F3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 xml:space="preserve">300-440 or </w:t>
            </w:r>
          </w:p>
          <w:p w14:paraId="0A0D93B3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proofErr w:type="gramStart"/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urine</w:t>
            </w:r>
            <w:proofErr w:type="gramEnd"/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 xml:space="preserve"> output &lt;500 </w:t>
            </w:r>
          </w:p>
        </w:tc>
        <w:tc>
          <w:tcPr>
            <w:tcW w:w="2086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14:paraId="45E7EDF4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 xml:space="preserve">&gt;440 or </w:t>
            </w:r>
          </w:p>
          <w:p w14:paraId="6DA095C0" w14:textId="77777777" w:rsidR="009E1E45" w:rsidRPr="008C5026" w:rsidRDefault="009E1E45" w:rsidP="009E1E8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2"/>
                <w:sz w:val="20"/>
                <w:szCs w:val="20"/>
                <w:lang w:val="nl-NL" w:eastAsia="nl-NL"/>
                <w14:ligatures w14:val="standardContextual"/>
              </w:rPr>
            </w:pPr>
            <w:proofErr w:type="gramStart"/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>urine</w:t>
            </w:r>
            <w:proofErr w:type="gramEnd"/>
            <w:r w:rsidRPr="008C5026"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nl-NL" w:eastAsia="nl-NL"/>
                <w14:ligatures w14:val="standardContextual"/>
              </w:rPr>
              <w:t xml:space="preserve"> output &lt;200</w:t>
            </w:r>
          </w:p>
        </w:tc>
      </w:tr>
    </w:tbl>
    <w:p w14:paraId="7705A394" w14:textId="77777777" w:rsidR="009E1E45" w:rsidRPr="00E00B0A" w:rsidRDefault="009E1E45" w:rsidP="009E1E45">
      <w:pPr>
        <w:rPr>
          <w:rFonts w:ascii="Calibri" w:hAnsi="Calibri" w:cs="Calibri"/>
          <w:sz w:val="18"/>
          <w:szCs w:val="18"/>
        </w:rPr>
      </w:pPr>
      <w:r w:rsidRPr="00E00B0A">
        <w:rPr>
          <w:rFonts w:ascii="Calibri" w:hAnsi="Calibri" w:cs="Calibri"/>
          <w:sz w:val="18"/>
          <w:szCs w:val="18"/>
        </w:rPr>
        <w:t>a: with respiratory support; b: adrenergic agents administered for at least one hour (doses given are in µg/kg × min).</w:t>
      </w:r>
    </w:p>
    <w:p w14:paraId="2E6164BF" w14:textId="77777777" w:rsidR="009E1E45" w:rsidRDefault="009E1E45" w:rsidP="009E1E45">
      <w:pPr>
        <w:rPr>
          <w:rFonts w:ascii="Calibri" w:hAnsi="Calibri" w:cs="Calibri"/>
          <w:sz w:val="18"/>
          <w:szCs w:val="18"/>
          <w:lang w:val="en-GB"/>
        </w:rPr>
      </w:pPr>
      <w:r w:rsidRPr="00E00B0A">
        <w:rPr>
          <w:rFonts w:ascii="Calibri" w:hAnsi="Calibri" w:cs="Calibri"/>
          <w:sz w:val="18"/>
          <w:szCs w:val="18"/>
        </w:rPr>
        <w:t xml:space="preserve">Abbreviations: MAP: mean arterial pressure; CNS: central nervous system; </w:t>
      </w:r>
      <w:r w:rsidRPr="00224033">
        <w:rPr>
          <w:rFonts w:ascii="Calibri" w:hAnsi="Calibri" w:cs="Calibri"/>
          <w:sz w:val="18"/>
          <w:szCs w:val="18"/>
          <w:lang w:val="en-GB"/>
        </w:rPr>
        <w:t>SOFA: Sequential Organ Failure Assessment</w:t>
      </w:r>
    </w:p>
    <w:p w14:paraId="6962B027" w14:textId="77777777" w:rsidR="009E1E45" w:rsidRPr="007F1159" w:rsidRDefault="009E1E45" w:rsidP="009E1E45">
      <w:pPr>
        <w:rPr>
          <w:rFonts w:ascii="Calibri" w:hAnsi="Calibri" w:cs="Calibri"/>
          <w:sz w:val="18"/>
          <w:szCs w:val="18"/>
        </w:rPr>
      </w:pPr>
      <w:r w:rsidRPr="007F1159">
        <w:rPr>
          <w:rFonts w:ascii="Calibri" w:hAnsi="Calibri" w:cs="Calibri"/>
          <w:sz w:val="18"/>
          <w:szCs w:val="18"/>
        </w:rPr>
        <w:t xml:space="preserve">*After completing the data, every patient had a SOFA score for each day </w:t>
      </w:r>
      <w:r>
        <w:rPr>
          <w:rFonts w:ascii="Calibri" w:hAnsi="Calibri" w:cs="Calibri"/>
          <w:sz w:val="18"/>
          <w:szCs w:val="18"/>
        </w:rPr>
        <w:t>at</w:t>
      </w:r>
      <w:r w:rsidRPr="007F1159">
        <w:rPr>
          <w:rFonts w:ascii="Calibri" w:hAnsi="Calibri" w:cs="Calibri"/>
          <w:sz w:val="18"/>
          <w:szCs w:val="18"/>
        </w:rPr>
        <w:t xml:space="preserve"> the ICU, resulting in 852 serial SOFA scores. On day one of admission, all patients had a SOFA score; on day two, 214 (94%) patients had a SOFA score, and on day three, 139 (61%) patients, and on day four, 96 (42%) patients had a SOFA score. On day five, 72 (32%) patients, day six, 58 (25%), and day seven, 45 (20%) patients had a SOFA score.</w:t>
      </w:r>
    </w:p>
    <w:p w14:paraId="0A0CADED" w14:textId="77777777" w:rsidR="009E1E45" w:rsidRPr="00A53FF0" w:rsidRDefault="009E1E45" w:rsidP="009E1E45">
      <w:pPr>
        <w:spacing w:line="360" w:lineRule="auto"/>
        <w:rPr>
          <w:rFonts w:ascii="Calibri" w:hAnsi="Calibri" w:cs="Calibri"/>
          <w:lang w:val="en-GB"/>
        </w:rPr>
      </w:pPr>
    </w:p>
    <w:p w14:paraId="237903D6" w14:textId="77777777" w:rsidR="009E1E45" w:rsidRPr="00CE35FF" w:rsidRDefault="009E1E45" w:rsidP="009E1E45">
      <w:pPr>
        <w:spacing w:line="360" w:lineRule="auto"/>
        <w:rPr>
          <w:rFonts w:ascii="Calibri" w:hAnsi="Calibri" w:cs="Calibri"/>
          <w:b/>
          <w:bCs/>
        </w:rPr>
      </w:pPr>
      <w:r w:rsidRPr="00CE35FF">
        <w:rPr>
          <w:rFonts w:ascii="Calibri" w:hAnsi="Calibri" w:cs="Calibri"/>
          <w:b/>
          <w:bCs/>
        </w:rPr>
        <w:t>Reference</w:t>
      </w:r>
    </w:p>
    <w:p w14:paraId="7494FF0F" w14:textId="77777777" w:rsidR="009E1E45" w:rsidRPr="00F55D56" w:rsidRDefault="009E1E45" w:rsidP="009E1E45">
      <w:pPr>
        <w:spacing w:line="360" w:lineRule="auto"/>
        <w:rPr>
          <w:rFonts w:ascii="Calibri" w:hAnsi="Calibri" w:cs="Calibri"/>
        </w:rPr>
      </w:pPr>
      <w:r w:rsidRPr="008C4AB0">
        <w:rPr>
          <w:rFonts w:ascii="Calibri" w:hAnsi="Calibri" w:cs="Calibri"/>
        </w:rPr>
        <w:t>V</w:t>
      </w:r>
      <w:r w:rsidRPr="008C4AB0">
        <w:rPr>
          <w:rFonts w:ascii="Calibri" w:hAnsi="Calibri" w:cs="Calibri"/>
          <w:noProof/>
        </w:rPr>
        <w:t xml:space="preserve">incent JL, Moreno R, Takala J, et al.: The SOFA (Sepsis-related Organ Failure Assessment) score to describe organ dysfunction/failure. On behalf of the Working Group on Sepsis-Related Problems of the European Society of Intensive Care Medicine. </w:t>
      </w:r>
      <w:r w:rsidRPr="00F55D56">
        <w:rPr>
          <w:rFonts w:ascii="Calibri" w:hAnsi="Calibri" w:cs="Calibri"/>
          <w:i/>
          <w:iCs/>
          <w:noProof/>
        </w:rPr>
        <w:t>Intensive Care Med</w:t>
      </w:r>
      <w:r w:rsidRPr="00F55D56">
        <w:rPr>
          <w:rFonts w:ascii="Calibri" w:hAnsi="Calibri" w:cs="Calibri"/>
          <w:noProof/>
        </w:rPr>
        <w:t xml:space="preserve"> 1996; 22:707–10</w:t>
      </w:r>
    </w:p>
    <w:p w14:paraId="1309C5E2" w14:textId="77777777" w:rsidR="009E1E45" w:rsidRPr="00224033" w:rsidRDefault="009E1E45" w:rsidP="009E1E45">
      <w:pPr>
        <w:spacing w:after="0" w:line="480" w:lineRule="auto"/>
        <w:rPr>
          <w:rFonts w:ascii="Calibri" w:eastAsia="Times New Roman" w:hAnsi="Calibri" w:cs="Calibri"/>
        </w:rPr>
      </w:pPr>
    </w:p>
    <w:p w14:paraId="1D7F3B52" w14:textId="77777777" w:rsidR="00AA25F6" w:rsidRDefault="00AA25F6"/>
    <w:sectPr w:rsidR="00AA25F6" w:rsidSect="0089279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lnNumType w:countBy="1" w:restart="continuous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140494177"/>
      <w:docPartObj>
        <w:docPartGallery w:val="Page Numbers (Bottom of Page)"/>
        <w:docPartUnique/>
      </w:docPartObj>
    </w:sdtPr>
    <w:sdtContent>
      <w:p w14:paraId="6CC2ABC9" w14:textId="77777777" w:rsidR="00000000" w:rsidRDefault="00000000" w:rsidP="00F213D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3453203" w14:textId="77777777" w:rsidR="00000000" w:rsidRDefault="00000000" w:rsidP="0046174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Times New Roman" w:hAnsi="Times New Roman" w:cs="Times New Roman"/>
      </w:rPr>
      <w:id w:val="-1028177836"/>
      <w:docPartObj>
        <w:docPartGallery w:val="Page Numbers (Bottom of Page)"/>
        <w:docPartUnique/>
      </w:docPartObj>
    </w:sdtPr>
    <w:sdtContent>
      <w:p w14:paraId="58D41073" w14:textId="77777777" w:rsidR="00000000" w:rsidRPr="00461745" w:rsidRDefault="00000000" w:rsidP="00F213D0">
        <w:pPr>
          <w:pStyle w:val="Voettekst"/>
          <w:framePr w:wrap="none" w:vAnchor="text" w:hAnchor="margin" w:xAlign="right" w:y="1"/>
          <w:rPr>
            <w:rStyle w:val="Paginanummer"/>
            <w:rFonts w:ascii="Times New Roman" w:hAnsi="Times New Roman" w:cs="Times New Roman"/>
          </w:rPr>
        </w:pPr>
        <w:r w:rsidRPr="00461745">
          <w:rPr>
            <w:rStyle w:val="Paginanummer"/>
            <w:rFonts w:ascii="Times New Roman" w:hAnsi="Times New Roman" w:cs="Times New Roman"/>
          </w:rPr>
          <w:fldChar w:fldCharType="begin"/>
        </w:r>
        <w:r w:rsidRPr="00461745">
          <w:rPr>
            <w:rStyle w:val="Paginanummer"/>
            <w:rFonts w:ascii="Times New Roman" w:hAnsi="Times New Roman" w:cs="Times New Roman"/>
          </w:rPr>
          <w:instrText xml:space="preserve"> PAGE </w:instrText>
        </w:r>
        <w:r w:rsidRPr="00461745">
          <w:rPr>
            <w:rStyle w:val="Paginanummer"/>
            <w:rFonts w:ascii="Times New Roman" w:hAnsi="Times New Roman" w:cs="Times New Roman"/>
          </w:rPr>
          <w:fldChar w:fldCharType="separate"/>
        </w:r>
        <w:r>
          <w:rPr>
            <w:rStyle w:val="Paginanummer"/>
            <w:rFonts w:ascii="Times New Roman" w:hAnsi="Times New Roman" w:cs="Times New Roman"/>
            <w:noProof/>
          </w:rPr>
          <w:t>8</w:t>
        </w:r>
        <w:r w:rsidRPr="00461745">
          <w:rPr>
            <w:rStyle w:val="Paginanummer"/>
            <w:rFonts w:ascii="Times New Roman" w:hAnsi="Times New Roman" w:cs="Times New Roman"/>
          </w:rPr>
          <w:fldChar w:fldCharType="end"/>
        </w:r>
      </w:p>
    </w:sdtContent>
  </w:sdt>
  <w:p w14:paraId="5A8800AA" w14:textId="77777777" w:rsidR="00000000" w:rsidRPr="00461745" w:rsidRDefault="00000000" w:rsidP="00461745">
    <w:pPr>
      <w:pStyle w:val="Voettekst"/>
      <w:ind w:right="360"/>
      <w:rPr>
        <w:rFonts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45"/>
    <w:rsid w:val="000306BA"/>
    <w:rsid w:val="0012341D"/>
    <w:rsid w:val="0079607F"/>
    <w:rsid w:val="00892797"/>
    <w:rsid w:val="009B3F95"/>
    <w:rsid w:val="009E1E45"/>
    <w:rsid w:val="00AA25F6"/>
    <w:rsid w:val="00F7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545159"/>
  <w15:chartTrackingRefBased/>
  <w15:docId w15:val="{C98E381A-F41F-B341-91D1-7DC13407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1E45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9E1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1E45"/>
    <w:rPr>
      <w:kern w:val="0"/>
      <w:sz w:val="22"/>
      <w:szCs w:val="22"/>
      <w:lang w:val="en-US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9E1E45"/>
  </w:style>
  <w:style w:type="table" w:customStyle="1" w:styleId="Lijsttabel3-Accent11">
    <w:name w:val="Lijsttabel 3 - Accent 11"/>
    <w:basedOn w:val="Standaardtabel"/>
    <w:next w:val="Lijsttabel3-Accent1"/>
    <w:uiPriority w:val="48"/>
    <w:rsid w:val="009E1E45"/>
    <w:rPr>
      <w:kern w:val="0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9E1E4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9E1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EGM (icv)</dc:creator>
  <cp:keywords/>
  <dc:description/>
  <cp:lastModifiedBy>Cox, EGM (icv)</cp:lastModifiedBy>
  <cp:revision>2</cp:revision>
  <dcterms:created xsi:type="dcterms:W3CDTF">2024-02-09T10:12:00Z</dcterms:created>
  <dcterms:modified xsi:type="dcterms:W3CDTF">2024-02-09T10:12:00Z</dcterms:modified>
</cp:coreProperties>
</file>