
<file path=[Content_Types].xml><?xml version="1.0" encoding="utf-8"?>
<Types xmlns="http://schemas.openxmlformats.org/package/2006/content-types">
  <Default Extension="wmf" ContentType="image/x-wmf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LineNumbers/>
        <w:rPr>
          <w:rFonts w:hint="default" w:ascii="Cambria" w:hAnsi="Cambria" w:cs="Cambria"/>
          <w:b/>
          <w:sz w:val="30"/>
          <w:szCs w:val="30"/>
        </w:rPr>
      </w:pPr>
      <w:bookmarkStart w:id="0" w:name="_Hlk147999461"/>
      <w:bookmarkEnd w:id="0"/>
      <w:r>
        <w:rPr>
          <w:rFonts w:hint="default" w:ascii="Cambria" w:hAnsi="Cambria" w:eastAsia="宋体" w:cs="Cambria"/>
          <w:b/>
          <w:bCs/>
          <w:sz w:val="30"/>
          <w:szCs w:val="30"/>
        </w:rPr>
        <w:t>Self-assembled copper-based nanoparticles</w:t>
      </w:r>
      <w:r>
        <w:rPr>
          <w:rFonts w:hint="default" w:ascii="Cambria" w:hAnsi="Cambria" w:cs="Cambria"/>
          <w:b/>
          <w:sz w:val="30"/>
          <w:szCs w:val="30"/>
        </w:rPr>
        <w:t xml:space="preserve"> </w:t>
      </w:r>
      <w:r>
        <w:rPr>
          <w:rFonts w:hint="default" w:ascii="Cambria" w:hAnsi="Cambria" w:eastAsia="宋体" w:cs="Cambria"/>
          <w:b/>
          <w:bCs/>
          <w:sz w:val="30"/>
          <w:szCs w:val="30"/>
        </w:rPr>
        <w:t xml:space="preserve">for </w:t>
      </w:r>
      <w:bookmarkStart w:id="1" w:name="_Hlk152084045"/>
      <w:bookmarkStart w:id="2" w:name="_Hlk152094610"/>
      <w:r>
        <w:rPr>
          <w:rFonts w:hint="default" w:ascii="Cambria" w:hAnsi="Cambria" w:eastAsia="宋体" w:cs="Cambria"/>
          <w:b/>
          <w:bCs/>
          <w:sz w:val="30"/>
          <w:szCs w:val="30"/>
        </w:rPr>
        <w:t>enzyme catalysis</w:t>
      </w:r>
      <w:bookmarkEnd w:id="1"/>
      <w:r>
        <w:rPr>
          <w:rFonts w:hint="default" w:ascii="Cambria" w:hAnsi="Cambria" w:eastAsia="宋体" w:cs="Cambria"/>
          <w:b/>
          <w:bCs/>
          <w:sz w:val="30"/>
          <w:szCs w:val="30"/>
        </w:rPr>
        <w:t xml:space="preserve">-enhanced </w:t>
      </w:r>
      <w:r>
        <w:rPr>
          <w:rFonts w:hint="default" w:ascii="Cambria" w:hAnsi="Cambria" w:cs="Cambria"/>
          <w:b/>
          <w:sz w:val="30"/>
          <w:szCs w:val="30"/>
        </w:rPr>
        <w:t>chemodynamic</w:t>
      </w:r>
      <w:r>
        <w:rPr>
          <w:rFonts w:hint="default" w:ascii="Cambria" w:hAnsi="Cambria" w:eastAsia="宋体" w:cs="Cambria"/>
          <w:b/>
          <w:bCs/>
          <w:sz w:val="30"/>
          <w:szCs w:val="30"/>
        </w:rPr>
        <w:t>/</w:t>
      </w:r>
      <w:r>
        <w:rPr>
          <w:rFonts w:hint="default" w:ascii="Cambria" w:hAnsi="Cambria" w:cs="Cambria"/>
          <w:b/>
          <w:sz w:val="30"/>
          <w:szCs w:val="30"/>
        </w:rPr>
        <w:t>photodynamic</w:t>
      </w:r>
      <w:r>
        <w:rPr>
          <w:rFonts w:hint="default" w:ascii="Cambria" w:hAnsi="Cambria" w:eastAsia="宋体" w:cs="Cambria"/>
          <w:b/>
          <w:bCs/>
          <w:sz w:val="30"/>
          <w:szCs w:val="30"/>
        </w:rPr>
        <w:t>/antiangiogenic tritherapy against hepatocellular carcinoma</w:t>
      </w:r>
      <w:bookmarkEnd w:id="2"/>
    </w:p>
    <w:p>
      <w:pPr>
        <w:jc w:val="center"/>
      </w:pPr>
      <w:bookmarkStart w:id="15" w:name="_GoBack"/>
      <w:bookmarkEnd w:id="15"/>
    </w:p>
    <w:p>
      <w:pPr>
        <w:jc w:val="left"/>
        <w:rPr>
          <w:rFonts w:hint="default" w:ascii="Cambria" w:hAnsi="Cambria" w:cs="Cambria"/>
          <w:b/>
          <w:bCs/>
          <w:sz w:val="24"/>
          <w:szCs w:val="24"/>
        </w:rPr>
      </w:pPr>
      <w:r>
        <w:rPr>
          <w:rFonts w:hint="default" w:ascii="Cambria" w:hAnsi="Cambria" w:cs="Cambria"/>
          <w:b/>
          <w:bCs/>
          <w:sz w:val="24"/>
          <w:szCs w:val="24"/>
          <w:lang w:val="en-US" w:eastAsia="zh-CN"/>
        </w:rPr>
        <w:t>Supplementary Data</w:t>
      </w:r>
    </w:p>
    <w:p>
      <w:pPr>
        <w:jc w:val="center"/>
        <w:rPr>
          <w:rFonts w:hint="default" w:ascii="Cambria" w:hAnsi="Cambria" w:cs="Cambria"/>
        </w:rPr>
      </w:pPr>
    </w:p>
    <w:p>
      <w:pPr>
        <w:jc w:val="center"/>
        <w:rPr>
          <w:rFonts w:hint="default" w:ascii="Cambria" w:hAnsi="Cambria" w:cs="Cambria"/>
        </w:rPr>
      </w:pPr>
      <w:r>
        <w:rPr>
          <w:rFonts w:hint="default" w:ascii="Cambria" w:hAnsi="Cambria" w:cs="Cambria"/>
        </w:rPr>
        <w:drawing>
          <wp:inline distT="0" distB="0" distL="0" distR="0">
            <wp:extent cx="3355975" cy="2707640"/>
            <wp:effectExtent l="0" t="0" r="9525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55975" cy="270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default" w:ascii="Cambria" w:hAnsi="Cambria" w:cs="Cambria"/>
          <w:sz w:val="24"/>
          <w:szCs w:val="24"/>
        </w:rPr>
      </w:pPr>
      <w:r>
        <w:rPr>
          <w:rFonts w:hint="default" w:ascii="Cambria" w:hAnsi="Cambria" w:cs="Cambria"/>
          <w:b/>
          <w:sz w:val="24"/>
          <w:szCs w:val="24"/>
        </w:rPr>
        <w:t>Figure S1</w:t>
      </w:r>
      <w:r>
        <w:rPr>
          <w:rFonts w:hint="default" w:ascii="Cambria" w:hAnsi="Cambria" w:cs="Cambria"/>
          <w:sz w:val="24"/>
          <w:szCs w:val="24"/>
        </w:rPr>
        <w:t xml:space="preserve">. </w:t>
      </w:r>
      <w:r>
        <w:rPr>
          <w:rFonts w:hint="default" w:ascii="Cambria" w:hAnsi="Cambria" w:cs="Cambria"/>
          <w:color w:val="000000"/>
          <w:sz w:val="24"/>
          <w:szCs w:val="24"/>
        </w:rPr>
        <w:t xml:space="preserve">UV-vis spectra of TMB solutions after incubation with </w:t>
      </w:r>
      <w:r>
        <w:rPr>
          <w:rFonts w:hint="default" w:ascii="Cambria" w:hAnsi="Cambria" w:cs="Cambria"/>
          <w:sz w:val="24"/>
          <w:szCs w:val="24"/>
        </w:rPr>
        <w:t>pristine H</w:t>
      </w:r>
      <w:r>
        <w:rPr>
          <w:rFonts w:hint="default" w:ascii="Cambria" w:hAnsi="Cambria" w:cs="Cambria"/>
          <w:sz w:val="24"/>
          <w:szCs w:val="24"/>
          <w:vertAlign w:val="subscript"/>
        </w:rPr>
        <w:t>2</w:t>
      </w:r>
      <w:r>
        <w:rPr>
          <w:rFonts w:hint="default" w:ascii="Cambria" w:hAnsi="Cambria" w:cs="Cambria"/>
          <w:sz w:val="24"/>
          <w:szCs w:val="24"/>
        </w:rPr>
        <w:t>O</w:t>
      </w:r>
      <w:r>
        <w:rPr>
          <w:rFonts w:hint="default" w:ascii="Cambria" w:hAnsi="Cambria" w:cs="Cambria"/>
          <w:sz w:val="24"/>
          <w:szCs w:val="24"/>
          <w:vertAlign w:val="subscript"/>
        </w:rPr>
        <w:t>2</w:t>
      </w:r>
      <w:r>
        <w:rPr>
          <w:rFonts w:hint="default" w:ascii="Cambria" w:hAnsi="Cambria" w:cs="Cambria"/>
          <w:sz w:val="24"/>
          <w:szCs w:val="24"/>
        </w:rPr>
        <w:t>, TCCHA and H</w:t>
      </w:r>
      <w:r>
        <w:rPr>
          <w:rFonts w:hint="default" w:ascii="Cambria" w:hAnsi="Cambria" w:cs="Cambria"/>
          <w:sz w:val="24"/>
          <w:szCs w:val="24"/>
          <w:vertAlign w:val="subscript"/>
        </w:rPr>
        <w:t>2</w:t>
      </w:r>
      <w:r>
        <w:rPr>
          <w:rFonts w:hint="default" w:ascii="Cambria" w:hAnsi="Cambria" w:cs="Cambria"/>
          <w:sz w:val="24"/>
          <w:szCs w:val="24"/>
        </w:rPr>
        <w:t>O</w:t>
      </w:r>
      <w:r>
        <w:rPr>
          <w:rFonts w:hint="default" w:ascii="Cambria" w:hAnsi="Cambria" w:cs="Cambria"/>
          <w:sz w:val="24"/>
          <w:szCs w:val="24"/>
          <w:vertAlign w:val="subscript"/>
        </w:rPr>
        <w:t>2</w:t>
      </w:r>
      <w:r>
        <w:rPr>
          <w:rFonts w:hint="default" w:ascii="Cambria" w:hAnsi="Cambria" w:cs="Cambria"/>
          <w:sz w:val="24"/>
          <w:szCs w:val="24"/>
        </w:rPr>
        <w:t>/TCCHA mixture solutions.</w:t>
      </w:r>
    </w:p>
    <w:p>
      <w:pPr>
        <w:spacing w:line="360" w:lineRule="auto"/>
        <w:jc w:val="center"/>
        <w:rPr>
          <w:rFonts w:hint="default" w:ascii="Cambria" w:hAnsi="Cambria" w:cs="Cambria"/>
          <w:sz w:val="24"/>
          <w:szCs w:val="24"/>
        </w:rPr>
      </w:pPr>
    </w:p>
    <w:p>
      <w:pPr>
        <w:spacing w:line="360" w:lineRule="auto"/>
        <w:jc w:val="center"/>
        <w:rPr>
          <w:rFonts w:hint="default" w:ascii="Cambria" w:hAnsi="Cambria" w:cs="Cambria"/>
          <w:sz w:val="24"/>
          <w:szCs w:val="24"/>
        </w:rPr>
      </w:pPr>
    </w:p>
    <w:p>
      <w:pPr>
        <w:spacing w:line="360" w:lineRule="auto"/>
        <w:jc w:val="center"/>
        <w:rPr>
          <w:rFonts w:hint="default" w:ascii="Cambria" w:hAnsi="Cambria" w:cs="Cambria"/>
          <w:sz w:val="24"/>
          <w:szCs w:val="24"/>
        </w:rPr>
      </w:pPr>
      <w:r>
        <w:rPr>
          <w:rFonts w:hint="default" w:ascii="Cambria" w:hAnsi="Cambria" w:cs="Cambria"/>
          <w:sz w:val="24"/>
          <w:szCs w:val="24"/>
        </w:rPr>
        <w:drawing>
          <wp:inline distT="0" distB="0" distL="0" distR="0">
            <wp:extent cx="2418715" cy="2537460"/>
            <wp:effectExtent l="0" t="0" r="6985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8715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default" w:ascii="Cambria" w:hAnsi="Cambria" w:cs="Cambria"/>
          <w:color w:val="000000"/>
          <w:sz w:val="24"/>
          <w:szCs w:val="24"/>
        </w:rPr>
      </w:pPr>
      <w:bookmarkStart w:id="3" w:name="OLE_LINK103"/>
      <w:bookmarkStart w:id="4" w:name="OLE_LINK104"/>
      <w:r>
        <w:rPr>
          <w:rFonts w:hint="default" w:ascii="Cambria" w:hAnsi="Cambria" w:cs="Cambria"/>
          <w:b/>
          <w:sz w:val="24"/>
          <w:szCs w:val="24"/>
        </w:rPr>
        <w:t>Figure S2</w:t>
      </w:r>
      <w:r>
        <w:rPr>
          <w:rFonts w:hint="default" w:ascii="Cambria" w:hAnsi="Cambria" w:cs="Cambria"/>
          <w:sz w:val="24"/>
          <w:szCs w:val="24"/>
        </w:rPr>
        <w:t>.</w:t>
      </w:r>
      <w:bookmarkEnd w:id="3"/>
      <w:bookmarkEnd w:id="4"/>
      <w:r>
        <w:rPr>
          <w:rFonts w:hint="default" w:ascii="Cambria" w:hAnsi="Cambria" w:cs="Cambria"/>
          <w:sz w:val="24"/>
          <w:szCs w:val="24"/>
        </w:rPr>
        <w:t xml:space="preserve"> </w:t>
      </w:r>
      <w:bookmarkStart w:id="5" w:name="OLE_LINK101"/>
      <w:bookmarkStart w:id="6" w:name="OLE_LINK102"/>
      <w:r>
        <w:rPr>
          <w:rFonts w:hint="default" w:ascii="Cambria" w:hAnsi="Cambria" w:cs="Cambria"/>
          <w:sz w:val="24"/>
          <w:szCs w:val="24"/>
        </w:rPr>
        <w:t>Photographs of TCCHA with or without 20 mM of GSH incubation under UV light irradiation.</w:t>
      </w:r>
      <w:bookmarkEnd w:id="5"/>
      <w:bookmarkEnd w:id="6"/>
    </w:p>
    <w:p>
      <w:pPr>
        <w:spacing w:line="360" w:lineRule="auto"/>
        <w:jc w:val="center"/>
        <w:rPr>
          <w:rFonts w:hint="default" w:ascii="Cambria" w:hAnsi="Cambria" w:cs="Cambria"/>
          <w:sz w:val="24"/>
          <w:szCs w:val="24"/>
        </w:rPr>
      </w:pPr>
    </w:p>
    <w:p>
      <w:pPr>
        <w:spacing w:line="360" w:lineRule="auto"/>
        <w:jc w:val="center"/>
        <w:rPr>
          <w:rFonts w:hint="default" w:ascii="Cambria" w:hAnsi="Cambria" w:cs="Cambria"/>
          <w:sz w:val="24"/>
          <w:szCs w:val="24"/>
          <w:lang w:val="en-US"/>
        </w:rPr>
      </w:pPr>
    </w:p>
    <w:p>
      <w:pPr>
        <w:spacing w:line="360" w:lineRule="auto"/>
        <w:jc w:val="center"/>
        <w:rPr>
          <w:rFonts w:hint="default" w:ascii="Cambria" w:hAnsi="Cambria" w:cs="Cambria"/>
          <w:sz w:val="24"/>
          <w:szCs w:val="24"/>
        </w:rPr>
      </w:pPr>
      <w:r>
        <w:rPr>
          <w:rFonts w:hint="default" w:ascii="Cambria" w:hAnsi="Cambria" w:cs="Cambria"/>
          <w:sz w:val="24"/>
          <w:szCs w:val="24"/>
        </w:rPr>
        <w:drawing>
          <wp:inline distT="0" distB="0" distL="0" distR="0">
            <wp:extent cx="3308985" cy="2813050"/>
            <wp:effectExtent l="0" t="0" r="5715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22512" cy="2824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default" w:ascii="Cambria" w:hAnsi="Cambria" w:cs="Cambria"/>
          <w:sz w:val="24"/>
          <w:szCs w:val="24"/>
        </w:rPr>
      </w:pPr>
      <w:r>
        <w:rPr>
          <w:rFonts w:hint="default" w:ascii="Cambria" w:hAnsi="Cambria" w:cs="Cambria"/>
          <w:b/>
          <w:sz w:val="24"/>
          <w:szCs w:val="24"/>
        </w:rPr>
        <w:t>Figure S3</w:t>
      </w:r>
      <w:r>
        <w:rPr>
          <w:rFonts w:hint="default" w:ascii="Cambria" w:hAnsi="Cambria" w:cs="Cambria"/>
          <w:sz w:val="24"/>
          <w:szCs w:val="24"/>
        </w:rPr>
        <w:t xml:space="preserve">. </w:t>
      </w:r>
      <w:bookmarkStart w:id="7" w:name="OLE_LINK107"/>
      <w:bookmarkStart w:id="8" w:name="OLE_LINK108"/>
      <w:r>
        <w:rPr>
          <w:rFonts w:hint="default" w:ascii="Cambria" w:hAnsi="Cambria" w:cs="Cambria"/>
          <w:color w:val="242021"/>
          <w:sz w:val="24"/>
          <w:szCs w:val="24"/>
        </w:rPr>
        <w:t xml:space="preserve">Cumulative release profiles of Ce6 from TCCHA dispersed in </w:t>
      </w:r>
      <w:r>
        <w:rPr>
          <w:rFonts w:hint="default" w:ascii="Cambria" w:hAnsi="Cambria" w:cs="Cambria"/>
          <w:sz w:val="24"/>
          <w:szCs w:val="24"/>
        </w:rPr>
        <w:t xml:space="preserve">in GSH solutions of varying concentrations. </w:t>
      </w:r>
    </w:p>
    <w:p>
      <w:pPr>
        <w:spacing w:line="360" w:lineRule="auto"/>
        <w:rPr>
          <w:rFonts w:hint="default" w:ascii="Cambria" w:hAnsi="Cambria" w:cs="Cambria"/>
          <w:sz w:val="24"/>
          <w:szCs w:val="24"/>
        </w:rPr>
      </w:pPr>
    </w:p>
    <w:p>
      <w:pPr>
        <w:spacing w:line="360" w:lineRule="auto"/>
        <w:rPr>
          <w:rFonts w:hint="default" w:ascii="Cambria" w:hAnsi="Cambria" w:cs="Cambria"/>
          <w:sz w:val="24"/>
          <w:szCs w:val="24"/>
        </w:rPr>
      </w:pPr>
    </w:p>
    <w:bookmarkEnd w:id="7"/>
    <w:bookmarkEnd w:id="8"/>
    <w:p>
      <w:pPr>
        <w:spacing w:line="360" w:lineRule="auto"/>
        <w:jc w:val="center"/>
        <w:rPr>
          <w:rFonts w:hint="default" w:ascii="Cambria" w:hAnsi="Cambria" w:cs="Cambria"/>
          <w:sz w:val="24"/>
          <w:szCs w:val="24"/>
        </w:rPr>
      </w:pPr>
      <w:r>
        <w:rPr>
          <w:rFonts w:hint="default" w:ascii="Cambria" w:hAnsi="Cambria" w:cs="Cambria"/>
          <w:sz w:val="24"/>
          <w:szCs w:val="24"/>
        </w:rPr>
        <w:drawing>
          <wp:inline distT="0" distB="0" distL="0" distR="0">
            <wp:extent cx="3281680" cy="279019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91364" cy="2798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default" w:ascii="Cambria" w:hAnsi="Cambria" w:cs="Cambria"/>
          <w:sz w:val="24"/>
          <w:szCs w:val="24"/>
        </w:rPr>
      </w:pPr>
      <w:r>
        <w:rPr>
          <w:rFonts w:hint="default" w:ascii="Cambria" w:hAnsi="Cambria" w:cs="Cambria"/>
          <w:b/>
          <w:sz w:val="24"/>
          <w:szCs w:val="24"/>
        </w:rPr>
        <w:t>Figure S4</w:t>
      </w:r>
      <w:r>
        <w:rPr>
          <w:rFonts w:hint="default" w:ascii="Cambria" w:hAnsi="Cambria" w:cs="Cambria"/>
          <w:sz w:val="24"/>
          <w:szCs w:val="24"/>
        </w:rPr>
        <w:t xml:space="preserve">. </w:t>
      </w:r>
      <w:r>
        <w:rPr>
          <w:rFonts w:hint="default" w:ascii="Cambria" w:hAnsi="Cambria" w:cs="Cambria"/>
          <w:color w:val="242021"/>
          <w:sz w:val="24"/>
          <w:szCs w:val="24"/>
        </w:rPr>
        <w:t xml:space="preserve">Cumulative release profiles of AL3818 from TCCHA dispersed in </w:t>
      </w:r>
      <w:r>
        <w:rPr>
          <w:rFonts w:hint="default" w:ascii="Cambria" w:hAnsi="Cambria" w:cs="Cambria"/>
          <w:sz w:val="24"/>
          <w:szCs w:val="24"/>
        </w:rPr>
        <w:t xml:space="preserve">in GSH solutions of varying concentrations. </w:t>
      </w:r>
    </w:p>
    <w:p>
      <w:pPr>
        <w:spacing w:line="360" w:lineRule="auto"/>
        <w:jc w:val="center"/>
        <w:rPr>
          <w:rFonts w:hint="default" w:ascii="Cambria" w:hAnsi="Cambria" w:cs="Cambria"/>
          <w:sz w:val="24"/>
          <w:szCs w:val="24"/>
        </w:rPr>
      </w:pPr>
    </w:p>
    <w:p>
      <w:pPr>
        <w:spacing w:line="360" w:lineRule="auto"/>
        <w:jc w:val="center"/>
        <w:rPr>
          <w:rFonts w:hint="default" w:ascii="Cambria" w:hAnsi="Cambria" w:cs="Cambria"/>
          <w:sz w:val="24"/>
          <w:szCs w:val="24"/>
        </w:rPr>
      </w:pPr>
    </w:p>
    <w:p>
      <w:pPr>
        <w:spacing w:line="360" w:lineRule="auto"/>
        <w:jc w:val="center"/>
        <w:rPr>
          <w:rFonts w:hint="default" w:ascii="Cambria" w:hAnsi="Cambria" w:cs="Cambria"/>
          <w:sz w:val="24"/>
          <w:szCs w:val="24"/>
        </w:rPr>
      </w:pPr>
      <w:r>
        <w:rPr>
          <w:rFonts w:hint="default" w:ascii="Cambria" w:hAnsi="Cambria" w:cs="Cambria"/>
          <w:sz w:val="24"/>
          <w:szCs w:val="24"/>
        </w:rPr>
        <w:drawing>
          <wp:inline distT="0" distB="0" distL="0" distR="0">
            <wp:extent cx="3094355" cy="2676525"/>
            <wp:effectExtent l="0" t="0" r="4445" b="31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9435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default" w:ascii="Cambria" w:hAnsi="Cambria" w:cs="Cambria"/>
          <w:sz w:val="24"/>
          <w:szCs w:val="24"/>
        </w:rPr>
      </w:pPr>
      <w:r>
        <w:rPr>
          <w:rFonts w:hint="default" w:ascii="Cambria" w:hAnsi="Cambria" w:cs="Cambria"/>
          <w:b/>
          <w:sz w:val="24"/>
          <w:szCs w:val="24"/>
        </w:rPr>
        <w:t>Figure S5</w:t>
      </w:r>
      <w:r>
        <w:rPr>
          <w:rFonts w:hint="default" w:ascii="Cambria" w:hAnsi="Cambria" w:cs="Cambria"/>
          <w:sz w:val="24"/>
          <w:szCs w:val="24"/>
        </w:rPr>
        <w:t xml:space="preserve">. </w:t>
      </w:r>
      <w:bookmarkStart w:id="9" w:name="OLE_LINK135"/>
      <w:bookmarkStart w:id="10" w:name="OLE_LINK142"/>
      <w:r>
        <w:rPr>
          <w:rFonts w:hint="default" w:ascii="Cambria" w:hAnsi="Cambria" w:cs="Cambria"/>
          <w:kern w:val="0"/>
          <w:sz w:val="24"/>
          <w:szCs w:val="24"/>
        </w:rPr>
        <w:t>Quantitative analysis</w:t>
      </w:r>
      <w:bookmarkEnd w:id="9"/>
      <w:bookmarkEnd w:id="10"/>
      <w:r>
        <w:rPr>
          <w:rFonts w:hint="default" w:ascii="Cambria" w:hAnsi="Cambria" w:cs="Cambria"/>
          <w:kern w:val="0"/>
          <w:sz w:val="24"/>
          <w:szCs w:val="24"/>
        </w:rPr>
        <w:t xml:space="preserve"> on the relative changes of intracellular Ce6 levels in HepG2 cells group or HA pre-treatment HepG2 cells group (HepG2 + HA) for 1, 4, and 8 h. </w:t>
      </w:r>
      <w:bookmarkStart w:id="11" w:name="OLE_LINK143"/>
      <w:bookmarkStart w:id="12" w:name="OLE_LINK144"/>
    </w:p>
    <w:bookmarkEnd w:id="11"/>
    <w:bookmarkEnd w:id="12"/>
    <w:p>
      <w:pPr>
        <w:spacing w:line="360" w:lineRule="auto"/>
        <w:jc w:val="center"/>
        <w:rPr>
          <w:rFonts w:hint="default" w:ascii="Cambria" w:hAnsi="Cambria" w:cs="Cambria"/>
          <w:sz w:val="24"/>
          <w:szCs w:val="24"/>
        </w:rPr>
      </w:pPr>
    </w:p>
    <w:p>
      <w:pPr>
        <w:spacing w:line="360" w:lineRule="auto"/>
        <w:jc w:val="center"/>
        <w:rPr>
          <w:rFonts w:hint="default" w:ascii="Cambria" w:hAnsi="Cambria" w:cs="Cambria"/>
          <w:sz w:val="24"/>
          <w:szCs w:val="24"/>
        </w:rPr>
      </w:pPr>
    </w:p>
    <w:p>
      <w:pPr>
        <w:spacing w:line="360" w:lineRule="auto"/>
        <w:jc w:val="center"/>
        <w:rPr>
          <w:rFonts w:hint="default" w:ascii="Cambria" w:hAnsi="Cambria" w:cs="Cambria"/>
          <w:sz w:val="24"/>
          <w:szCs w:val="24"/>
        </w:rPr>
      </w:pPr>
      <w:r>
        <w:rPr>
          <w:rFonts w:hint="default" w:ascii="Cambria" w:hAnsi="Cambria" w:cs="Cambria"/>
        </w:rPr>
        <w:drawing>
          <wp:inline distT="0" distB="0" distL="0" distR="0">
            <wp:extent cx="3100070" cy="2511425"/>
            <wp:effectExtent l="0" t="0" r="1143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00070" cy="251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default" w:ascii="Cambria" w:hAnsi="Cambria" w:cs="Cambria"/>
          <w:sz w:val="24"/>
          <w:szCs w:val="24"/>
        </w:rPr>
      </w:pPr>
      <w:r>
        <w:rPr>
          <w:rFonts w:hint="default" w:ascii="Cambria" w:hAnsi="Cambria" w:cs="Cambria"/>
          <w:b/>
          <w:sz w:val="24"/>
          <w:szCs w:val="24"/>
        </w:rPr>
        <w:t>Figure S6</w:t>
      </w:r>
      <w:r>
        <w:rPr>
          <w:rFonts w:hint="default" w:ascii="Cambria" w:hAnsi="Cambria" w:cs="Cambria"/>
          <w:sz w:val="24"/>
          <w:szCs w:val="24"/>
        </w:rPr>
        <w:t xml:space="preserve">. </w:t>
      </w:r>
      <w:bookmarkStart w:id="13" w:name="OLE_LINK145"/>
      <w:bookmarkStart w:id="14" w:name="OLE_LINK152"/>
      <w:r>
        <w:rPr>
          <w:rFonts w:hint="default" w:ascii="Cambria" w:hAnsi="Cambria" w:cs="Cambria"/>
          <w:kern w:val="0"/>
          <w:sz w:val="24"/>
          <w:szCs w:val="24"/>
        </w:rPr>
        <w:t>Quantitative analysis</w:t>
      </w:r>
      <w:r>
        <w:rPr>
          <w:rStyle w:val="10"/>
          <w:rFonts w:hint="default" w:ascii="Cambria" w:hAnsi="Cambria" w:cs="Cambria"/>
          <w:kern w:val="0"/>
          <w:sz w:val="24"/>
          <w:szCs w:val="24"/>
        </w:rPr>
        <w:t xml:space="preserve"> of </w:t>
      </w:r>
      <w:bookmarkEnd w:id="13"/>
      <w:bookmarkEnd w:id="14"/>
      <w:r>
        <w:rPr>
          <w:rStyle w:val="10"/>
          <w:rFonts w:hint="default" w:ascii="Cambria" w:hAnsi="Cambria" w:cs="Cambria"/>
          <w:kern w:val="0"/>
          <w:sz w:val="24"/>
          <w:szCs w:val="24"/>
        </w:rPr>
        <w:t>H</w:t>
      </w:r>
      <w:r>
        <w:rPr>
          <w:rStyle w:val="10"/>
          <w:rFonts w:hint="default" w:ascii="Cambria" w:hAnsi="Cambria" w:cs="Cambria"/>
          <w:kern w:val="0"/>
          <w:sz w:val="24"/>
          <w:szCs w:val="24"/>
          <w:vertAlign w:val="subscript"/>
        </w:rPr>
        <w:t>2</w:t>
      </w:r>
      <w:r>
        <w:rPr>
          <w:rStyle w:val="10"/>
          <w:rFonts w:hint="default" w:ascii="Cambria" w:hAnsi="Cambria" w:cs="Cambria"/>
          <w:kern w:val="0"/>
          <w:sz w:val="24"/>
          <w:szCs w:val="24"/>
        </w:rPr>
        <w:t>O</w:t>
      </w:r>
      <w:r>
        <w:rPr>
          <w:rStyle w:val="10"/>
          <w:rFonts w:hint="default" w:ascii="Cambria" w:hAnsi="Cambria" w:cs="Cambria"/>
          <w:kern w:val="0"/>
          <w:sz w:val="24"/>
          <w:szCs w:val="24"/>
          <w:vertAlign w:val="subscript"/>
        </w:rPr>
        <w:t>2</w:t>
      </w:r>
      <w:r>
        <w:rPr>
          <w:rStyle w:val="10"/>
          <w:rFonts w:hint="default" w:ascii="Cambria" w:hAnsi="Cambria" w:cs="Cambria"/>
          <w:kern w:val="0"/>
          <w:sz w:val="24"/>
          <w:szCs w:val="24"/>
        </w:rPr>
        <w:t xml:space="preserve"> levels in HepG2 cells after </w:t>
      </w:r>
      <w:r>
        <w:rPr>
          <w:rFonts w:hint="default" w:ascii="Cambria" w:hAnsi="Cambria" w:cs="Cambria"/>
          <w:kern w:val="0"/>
          <w:sz w:val="24"/>
          <w:szCs w:val="24"/>
        </w:rPr>
        <w:t>various concentrations of TCCHA</w:t>
      </w:r>
      <w:r>
        <w:rPr>
          <w:rStyle w:val="10"/>
          <w:rFonts w:hint="default" w:ascii="Cambria" w:hAnsi="Cambria" w:cs="Cambria"/>
          <w:kern w:val="0"/>
          <w:sz w:val="24"/>
          <w:szCs w:val="24"/>
        </w:rPr>
        <w:t xml:space="preserve"> treatment with or without </w:t>
      </w:r>
      <w:r>
        <w:rPr>
          <w:rFonts w:hint="default" w:ascii="Cambria" w:hAnsi="Cambria" w:cs="Cambria"/>
          <w:color w:val="242021"/>
          <w:kern w:val="0"/>
          <w:sz w:val="24"/>
          <w:szCs w:val="24"/>
        </w:rPr>
        <w:t>H</w:t>
      </w:r>
      <w:r>
        <w:rPr>
          <w:rFonts w:hint="default" w:ascii="Cambria" w:hAnsi="Cambria" w:cs="Cambria"/>
          <w:color w:val="242021"/>
          <w:kern w:val="0"/>
          <w:sz w:val="24"/>
          <w:szCs w:val="24"/>
          <w:vertAlign w:val="subscript"/>
        </w:rPr>
        <w:t>2</w:t>
      </w:r>
      <w:r>
        <w:rPr>
          <w:rFonts w:hint="default" w:ascii="Cambria" w:hAnsi="Cambria" w:cs="Cambria"/>
          <w:color w:val="242021"/>
          <w:kern w:val="0"/>
          <w:sz w:val="24"/>
          <w:szCs w:val="24"/>
        </w:rPr>
        <w:t>O</w:t>
      </w:r>
      <w:r>
        <w:rPr>
          <w:rFonts w:hint="default" w:ascii="Cambria" w:hAnsi="Cambria" w:cs="Cambria"/>
          <w:color w:val="242021"/>
          <w:kern w:val="0"/>
          <w:sz w:val="24"/>
          <w:szCs w:val="24"/>
          <w:vertAlign w:val="subscript"/>
        </w:rPr>
        <w:t>2</w:t>
      </w:r>
      <w:r>
        <w:rPr>
          <w:rFonts w:hint="default" w:ascii="Cambria" w:hAnsi="Cambria" w:cs="Cambria"/>
          <w:color w:val="242021"/>
          <w:kern w:val="0"/>
          <w:sz w:val="24"/>
          <w:szCs w:val="24"/>
        </w:rPr>
        <w:t xml:space="preserve"> pre-treatment</w:t>
      </w:r>
      <w:r>
        <w:rPr>
          <w:rStyle w:val="10"/>
          <w:rFonts w:hint="default" w:ascii="Cambria" w:hAnsi="Cambria" w:cs="Cambria"/>
          <w:kern w:val="0"/>
          <w:sz w:val="24"/>
          <w:szCs w:val="24"/>
        </w:rPr>
        <w:t xml:space="preserve">. </w:t>
      </w:r>
      <w:r>
        <w:rPr>
          <w:rFonts w:hint="default" w:ascii="Cambria" w:hAnsi="Cambria" w:cs="Cambria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Cambria" w:hAnsi="Cambria" w:cs="Cambr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3, ** </w:t>
      </w:r>
      <w:r>
        <w:rPr>
          <w:rFonts w:hint="default" w:ascii="Cambria" w:hAnsi="Cambria" w:cs="Cambria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Cambria" w:hAnsi="Cambria" w:cs="Cambr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0.01.</w:t>
      </w:r>
    </w:p>
    <w:p>
      <w:pPr>
        <w:spacing w:line="360" w:lineRule="auto"/>
        <w:jc w:val="center"/>
        <w:rPr>
          <w:rFonts w:hint="default" w:ascii="Cambria" w:hAnsi="Cambria" w:cs="Cambria"/>
          <w:sz w:val="24"/>
          <w:szCs w:val="24"/>
        </w:rPr>
      </w:pPr>
      <w:r>
        <w:rPr>
          <w:rFonts w:hint="default" w:ascii="Cambria" w:hAnsi="Cambria" w:cs="Cambria"/>
        </w:rPr>
        <w:drawing>
          <wp:inline distT="0" distB="0" distL="0" distR="0">
            <wp:extent cx="3288665" cy="2720975"/>
            <wp:effectExtent l="0" t="0" r="635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88665" cy="272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default" w:ascii="Cambria" w:hAnsi="Cambria" w:cs="Cambria"/>
          <w:sz w:val="24"/>
          <w:szCs w:val="24"/>
        </w:rPr>
      </w:pPr>
      <w:r>
        <w:rPr>
          <w:rFonts w:hint="default" w:ascii="Cambria" w:hAnsi="Cambria" w:cs="Cambria"/>
          <w:b/>
          <w:sz w:val="24"/>
          <w:szCs w:val="24"/>
        </w:rPr>
        <w:t>Figure S7</w:t>
      </w:r>
      <w:r>
        <w:rPr>
          <w:rFonts w:hint="default" w:ascii="Cambria" w:hAnsi="Cambria" w:cs="Cambria"/>
          <w:sz w:val="24"/>
          <w:szCs w:val="24"/>
        </w:rPr>
        <w:t xml:space="preserve">. </w:t>
      </w:r>
      <w:r>
        <w:rPr>
          <w:rFonts w:hint="default" w:ascii="Cambria" w:hAnsi="Cambria" w:cs="Cambria"/>
          <w:kern w:val="0"/>
          <w:sz w:val="24"/>
          <w:szCs w:val="24"/>
        </w:rPr>
        <w:t>Quantitative analysis</w:t>
      </w:r>
      <w:r>
        <w:rPr>
          <w:rStyle w:val="10"/>
          <w:rFonts w:hint="default" w:ascii="Cambria" w:hAnsi="Cambria" w:cs="Cambria"/>
          <w:kern w:val="0"/>
          <w:sz w:val="24"/>
          <w:szCs w:val="24"/>
        </w:rPr>
        <w:t xml:space="preserve"> of</w:t>
      </w:r>
      <w:r>
        <w:rPr>
          <w:rFonts w:hint="default" w:ascii="Cambria" w:hAnsi="Cambria" w:cs="Cambria"/>
          <w:kern w:val="0"/>
          <w:sz w:val="24"/>
          <w:szCs w:val="24"/>
        </w:rPr>
        <w:t xml:space="preserve"> Levels of HIF-1α after various concentrations of TCCHA treatment with or without hypoxia pre-treatment. </w:t>
      </w:r>
      <w:r>
        <w:rPr>
          <w:rFonts w:hint="default" w:ascii="Cambria" w:hAnsi="Cambria" w:cs="Cambria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Cambria" w:hAnsi="Cambria" w:cs="Cambr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= 3, ** </w:t>
      </w:r>
      <w:r>
        <w:rPr>
          <w:rFonts w:hint="default" w:ascii="Cambria" w:hAnsi="Cambria" w:cs="Cambria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Cambria" w:hAnsi="Cambria" w:cs="Cambr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&lt; 0.01.</w:t>
      </w:r>
    </w:p>
    <w:p>
      <w:pPr>
        <w:spacing w:line="360" w:lineRule="auto"/>
        <w:jc w:val="center"/>
        <w:rPr>
          <w:rFonts w:hint="default" w:ascii="Cambria" w:hAnsi="Cambria" w:cs="Cambria"/>
          <w:sz w:val="24"/>
          <w:szCs w:val="24"/>
        </w:rPr>
      </w:pPr>
    </w:p>
    <w:p>
      <w:pPr>
        <w:spacing w:line="360" w:lineRule="auto"/>
        <w:jc w:val="center"/>
        <w:rPr>
          <w:rFonts w:hint="default" w:ascii="Cambria" w:hAnsi="Cambria" w:cs="Cambria"/>
          <w:sz w:val="24"/>
          <w:szCs w:val="24"/>
        </w:rPr>
      </w:pPr>
    </w:p>
    <w:p>
      <w:pPr>
        <w:spacing w:line="360" w:lineRule="auto"/>
        <w:jc w:val="center"/>
        <w:rPr>
          <w:rFonts w:hint="default" w:ascii="Cambria" w:hAnsi="Cambria" w:cs="Cambria"/>
          <w:sz w:val="24"/>
          <w:szCs w:val="24"/>
        </w:rPr>
      </w:pPr>
      <w:r>
        <w:rPr>
          <w:rFonts w:hint="default" w:ascii="Cambria" w:hAnsi="Cambria" w:cs="Cambria"/>
          <w:sz w:val="24"/>
          <w:szCs w:val="24"/>
        </w:rPr>
        <w:drawing>
          <wp:inline distT="0" distB="0" distL="0" distR="0">
            <wp:extent cx="3502660" cy="2894330"/>
            <wp:effectExtent l="0" t="0" r="2540" b="127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02660" cy="289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default" w:ascii="Cambria" w:hAnsi="Cambria" w:cs="Cambr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Cambria" w:hAnsi="Cambria" w:cs="Cambria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Figure S8</w:t>
      </w:r>
      <w:r>
        <w:rPr>
          <w:rFonts w:hint="default" w:ascii="Cambria" w:hAnsi="Cambria" w:cs="Cambria"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. The fluorescence intensity of DCF in Figure 4E</w:t>
      </w:r>
    </w:p>
    <w:p>
      <w:pPr>
        <w:jc w:val="center"/>
        <w:rPr>
          <w:rFonts w:hint="default" w:ascii="Cambria" w:hAnsi="Cambria" w:cs="Cambria"/>
        </w:rPr>
      </w:pPr>
    </w:p>
    <w:p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cwNGM3OTNjYjdjOTM2OTBhNTZhNWE2M2UxMjlmNmMifQ=="/>
  </w:docVars>
  <w:rsids>
    <w:rsidRoot w:val="001B6231"/>
    <w:rsid w:val="00076850"/>
    <w:rsid w:val="000F7E0D"/>
    <w:rsid w:val="00115349"/>
    <w:rsid w:val="00177C1F"/>
    <w:rsid w:val="001A7F45"/>
    <w:rsid w:val="001B6231"/>
    <w:rsid w:val="0023389D"/>
    <w:rsid w:val="00240D19"/>
    <w:rsid w:val="00296759"/>
    <w:rsid w:val="002B194D"/>
    <w:rsid w:val="002B2A5F"/>
    <w:rsid w:val="003003C6"/>
    <w:rsid w:val="00446D6B"/>
    <w:rsid w:val="00456F12"/>
    <w:rsid w:val="00471FC1"/>
    <w:rsid w:val="00473940"/>
    <w:rsid w:val="004A478A"/>
    <w:rsid w:val="00512D9A"/>
    <w:rsid w:val="00562694"/>
    <w:rsid w:val="005855A4"/>
    <w:rsid w:val="00643DFE"/>
    <w:rsid w:val="00697D19"/>
    <w:rsid w:val="006D0917"/>
    <w:rsid w:val="006D5FB3"/>
    <w:rsid w:val="007042D8"/>
    <w:rsid w:val="00807567"/>
    <w:rsid w:val="00810EE3"/>
    <w:rsid w:val="008118F0"/>
    <w:rsid w:val="008313DA"/>
    <w:rsid w:val="008E70C4"/>
    <w:rsid w:val="00910C6E"/>
    <w:rsid w:val="00916455"/>
    <w:rsid w:val="00942CD7"/>
    <w:rsid w:val="009F006D"/>
    <w:rsid w:val="00A00391"/>
    <w:rsid w:val="00A062EE"/>
    <w:rsid w:val="00A20DAE"/>
    <w:rsid w:val="00A64C6C"/>
    <w:rsid w:val="00AA4078"/>
    <w:rsid w:val="00AE5CAB"/>
    <w:rsid w:val="00B92CB0"/>
    <w:rsid w:val="00BC3EDC"/>
    <w:rsid w:val="00BE2CE1"/>
    <w:rsid w:val="00BE31E8"/>
    <w:rsid w:val="00C354AA"/>
    <w:rsid w:val="00CB0DFA"/>
    <w:rsid w:val="00CF4C8F"/>
    <w:rsid w:val="00D10722"/>
    <w:rsid w:val="00D10D87"/>
    <w:rsid w:val="00D4481B"/>
    <w:rsid w:val="00D63928"/>
    <w:rsid w:val="00D826CC"/>
    <w:rsid w:val="00D914C8"/>
    <w:rsid w:val="00DB7AC0"/>
    <w:rsid w:val="00DF7B8F"/>
    <w:rsid w:val="00E30DE1"/>
    <w:rsid w:val="00E32ABB"/>
    <w:rsid w:val="00E9453E"/>
    <w:rsid w:val="00EA4DC3"/>
    <w:rsid w:val="00F02AD3"/>
    <w:rsid w:val="00F541C6"/>
    <w:rsid w:val="00FB1A64"/>
    <w:rsid w:val="00FB45CD"/>
    <w:rsid w:val="00FC4AB2"/>
    <w:rsid w:val="50C404CB"/>
    <w:rsid w:val="73BE5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GB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:lang w:val="en-US"/>
    </w:rPr>
  </w:style>
  <w:style w:type="character" w:styleId="7">
    <w:name w:val="Hyperlink"/>
    <w:basedOn w:val="6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autoRedefine/>
    <w:qFormat/>
    <w:uiPriority w:val="99"/>
    <w:rPr>
      <w:sz w:val="18"/>
      <w:szCs w:val="18"/>
      <w:lang w:val="en-GB"/>
    </w:rPr>
  </w:style>
  <w:style w:type="character" w:customStyle="1" w:styleId="9">
    <w:name w:val="页脚 字符"/>
    <w:basedOn w:val="6"/>
    <w:link w:val="2"/>
    <w:uiPriority w:val="99"/>
    <w:rPr>
      <w:sz w:val="18"/>
      <w:szCs w:val="18"/>
      <w:lang w:val="en-GB"/>
    </w:rPr>
  </w:style>
  <w:style w:type="character" w:customStyle="1" w:styleId="10">
    <w:name w:val="fontstyle01"/>
    <w:basedOn w:val="6"/>
    <w:autoRedefine/>
    <w:qFormat/>
    <w:uiPriority w:val="0"/>
    <w:rPr>
      <w:rFonts w:hint="default" w:ascii="TimesNewRomanPSMT" w:hAnsi="TimesNewRomanPSMT"/>
      <w:color w:val="000000"/>
      <w:sz w:val="22"/>
      <w:szCs w:val="22"/>
    </w:rPr>
  </w:style>
  <w:style w:type="character" w:customStyle="1" w:styleId="11">
    <w:name w:val="Unresolved Mention"/>
    <w:basedOn w:val="6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263</Words>
  <Characters>1501</Characters>
  <Lines>12</Lines>
  <Paragraphs>3</Paragraphs>
  <TotalTime>1</TotalTime>
  <ScaleCrop>false</ScaleCrop>
  <LinksUpToDate>false</LinksUpToDate>
  <CharactersWithSpaces>1761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2023-12-15T07:25:00Z</dcterms:created>
  <dc:creator>Weijun Xu</dc:creator>
  <cp:lastModifiedBy>杨成成</cp:lastModifiedBy>
  <dcterms:modified xsi:type="dcterms:W3CDTF">2023-12-31T02:15:04Z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165990057F424707A2510729BD7B312E_12</vt:lpwstr>
  </property>
</Properties>
</file>