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7C00B" w14:textId="77777777" w:rsidR="00755764" w:rsidRPr="00154C9E" w:rsidRDefault="00755764" w:rsidP="00154C9E">
      <w:pPr>
        <w:shd w:val="clear" w:color="auto" w:fill="FFFFFF"/>
        <w:spacing w:before="100" w:beforeAutospacing="1" w:after="100" w:afterAutospacing="1" w:line="360" w:lineRule="auto"/>
        <w:jc w:val="both"/>
        <w:outlineLvl w:val="2"/>
        <w:rPr>
          <w:rFonts w:asciiTheme="majorBidi" w:eastAsia="Times New Roman" w:hAnsiTheme="majorBidi" w:cstheme="majorBidi"/>
          <w:b/>
          <w:bCs/>
          <w:color w:val="3C4245"/>
          <w:kern w:val="0"/>
          <w:sz w:val="24"/>
          <w:szCs w:val="24"/>
          <w14:ligatures w14:val="none"/>
        </w:rPr>
      </w:pPr>
      <w:r w:rsidRPr="00154C9E">
        <w:rPr>
          <w:rFonts w:asciiTheme="majorBidi" w:eastAsia="Times New Roman" w:hAnsiTheme="majorBidi" w:cstheme="majorBidi"/>
          <w:b/>
          <w:bCs/>
          <w:color w:val="3C4245"/>
          <w:kern w:val="0"/>
          <w:sz w:val="24"/>
          <w:szCs w:val="24"/>
          <w14:ligatures w14:val="none"/>
        </w:rPr>
        <w:t>Project summary</w:t>
      </w:r>
    </w:p>
    <w:p w14:paraId="31A85E4A" w14:textId="77777777" w:rsidR="00652A79" w:rsidRPr="00154C9E" w:rsidRDefault="00755764" w:rsidP="00154C9E">
      <w:pPr>
        <w:spacing w:line="360" w:lineRule="auto"/>
        <w:jc w:val="both"/>
        <w:rPr>
          <w:rFonts w:asciiTheme="majorBidi" w:hAnsiTheme="majorBidi" w:cstheme="majorBidi"/>
          <w:sz w:val="24"/>
          <w:szCs w:val="24"/>
        </w:rPr>
      </w:pPr>
      <w:r w:rsidRPr="00154C9E">
        <w:rPr>
          <w:rFonts w:asciiTheme="majorBidi" w:hAnsiTheme="majorBidi" w:cstheme="majorBidi"/>
          <w:b/>
          <w:bCs/>
          <w:sz w:val="24"/>
          <w:szCs w:val="24"/>
        </w:rPr>
        <w:t>Objective</w:t>
      </w:r>
      <w:r w:rsidRPr="00154C9E">
        <w:rPr>
          <w:rFonts w:asciiTheme="majorBidi" w:hAnsiTheme="majorBidi" w:cstheme="majorBidi"/>
          <w:sz w:val="24"/>
          <w:szCs w:val="24"/>
        </w:rPr>
        <w:t xml:space="preserve">: The oxidative stress caused by the creation and breakdown of reactive oxygen species </w:t>
      </w:r>
      <w:r w:rsidR="00DC4015" w:rsidRPr="00154C9E">
        <w:rPr>
          <w:rFonts w:asciiTheme="majorBidi" w:hAnsiTheme="majorBidi" w:cstheme="majorBidi"/>
          <w:sz w:val="24"/>
          <w:szCs w:val="24"/>
        </w:rPr>
        <w:t>affects</w:t>
      </w:r>
      <w:r w:rsidRPr="00154C9E">
        <w:rPr>
          <w:rFonts w:asciiTheme="majorBidi" w:hAnsiTheme="majorBidi" w:cstheme="majorBidi"/>
          <w:sz w:val="24"/>
          <w:szCs w:val="24"/>
        </w:rPr>
        <w:t xml:space="preserve"> glucose tolerance, B-cell function, insulin resistance, and metabolites containing free fatty acids. Functioning foods are therefore becoming increasingly popular because they provide health </w:t>
      </w:r>
      <w:r w:rsidR="00DC4015" w:rsidRPr="00154C9E">
        <w:rPr>
          <w:rFonts w:asciiTheme="majorBidi" w:hAnsiTheme="majorBidi" w:cstheme="majorBidi"/>
          <w:sz w:val="24"/>
          <w:szCs w:val="24"/>
        </w:rPr>
        <w:t>benefits</w:t>
      </w:r>
      <w:r w:rsidRPr="00154C9E">
        <w:rPr>
          <w:rFonts w:asciiTheme="majorBidi" w:hAnsiTheme="majorBidi" w:cstheme="majorBidi"/>
          <w:sz w:val="24"/>
          <w:szCs w:val="24"/>
        </w:rPr>
        <w:t xml:space="preserve"> and prevent oxidative stress. This research aims to assess strategies to alleviate oxidative stress and </w:t>
      </w:r>
      <w:r w:rsidR="00DC4015" w:rsidRPr="00154C9E">
        <w:rPr>
          <w:rFonts w:asciiTheme="majorBidi" w:hAnsiTheme="majorBidi" w:cstheme="majorBidi"/>
          <w:sz w:val="24"/>
          <w:szCs w:val="24"/>
        </w:rPr>
        <w:t>inflammation</w:t>
      </w:r>
      <w:r w:rsidRPr="00154C9E">
        <w:rPr>
          <w:rFonts w:asciiTheme="majorBidi" w:hAnsiTheme="majorBidi" w:cstheme="majorBidi"/>
          <w:sz w:val="24"/>
          <w:szCs w:val="24"/>
        </w:rPr>
        <w:t xml:space="preserve"> in patients with type 2 diabetes (T2DM). In the present study, the metabolic </w:t>
      </w:r>
      <w:r w:rsidR="00DC4015" w:rsidRPr="00154C9E">
        <w:rPr>
          <w:rFonts w:asciiTheme="majorBidi" w:hAnsiTheme="majorBidi" w:cstheme="majorBidi"/>
          <w:sz w:val="24"/>
          <w:szCs w:val="24"/>
        </w:rPr>
        <w:t>effect</w:t>
      </w:r>
      <w:r w:rsidRPr="00154C9E">
        <w:rPr>
          <w:rFonts w:asciiTheme="majorBidi" w:hAnsiTheme="majorBidi" w:cstheme="majorBidi"/>
          <w:sz w:val="24"/>
          <w:szCs w:val="24"/>
        </w:rPr>
        <w:t xml:space="preserve"> wheat bread </w:t>
      </w:r>
      <w:r w:rsidR="00DC4015" w:rsidRPr="00154C9E">
        <w:rPr>
          <w:rFonts w:asciiTheme="majorBidi" w:hAnsiTheme="majorBidi" w:cstheme="majorBidi"/>
          <w:sz w:val="24"/>
          <w:szCs w:val="24"/>
        </w:rPr>
        <w:t>fortified</w:t>
      </w:r>
      <w:r w:rsidRPr="00154C9E">
        <w:rPr>
          <w:rFonts w:asciiTheme="majorBidi" w:hAnsiTheme="majorBidi" w:cstheme="majorBidi"/>
          <w:sz w:val="24"/>
          <w:szCs w:val="24"/>
        </w:rPr>
        <w:t xml:space="preserve"> with pomegranate peel </w:t>
      </w:r>
      <w:r w:rsidR="00DC4015" w:rsidRPr="00154C9E">
        <w:rPr>
          <w:rFonts w:asciiTheme="majorBidi" w:hAnsiTheme="majorBidi" w:cstheme="majorBidi"/>
          <w:sz w:val="24"/>
          <w:szCs w:val="24"/>
        </w:rPr>
        <w:t>powder (</w:t>
      </w:r>
      <w:r w:rsidRPr="00154C9E">
        <w:rPr>
          <w:rFonts w:asciiTheme="majorBidi" w:hAnsiTheme="majorBidi" w:cstheme="majorBidi"/>
          <w:sz w:val="24"/>
          <w:szCs w:val="24"/>
        </w:rPr>
        <w:t>PPP) will be assessed in participants with type 2 diabetes.</w:t>
      </w:r>
    </w:p>
    <w:p w14:paraId="69D98DFE" w14:textId="77777777" w:rsidR="00652A79" w:rsidRPr="00154C9E" w:rsidRDefault="00755764" w:rsidP="00154C9E">
      <w:p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 </w:t>
      </w:r>
      <w:r w:rsidRPr="00154C9E">
        <w:rPr>
          <w:rFonts w:asciiTheme="majorBidi" w:hAnsiTheme="majorBidi" w:cstheme="majorBidi"/>
          <w:b/>
          <w:bCs/>
          <w:sz w:val="24"/>
          <w:szCs w:val="24"/>
        </w:rPr>
        <w:t>Methods</w:t>
      </w:r>
      <w:r w:rsidRPr="00154C9E">
        <w:rPr>
          <w:rFonts w:asciiTheme="majorBidi" w:hAnsiTheme="majorBidi" w:cstheme="majorBidi"/>
          <w:sz w:val="24"/>
          <w:szCs w:val="24"/>
        </w:rPr>
        <w:t xml:space="preserve"> </w:t>
      </w:r>
      <w:r w:rsidRPr="00154C9E">
        <w:rPr>
          <w:rFonts w:asciiTheme="majorBidi" w:hAnsiTheme="majorBidi" w:cstheme="majorBidi"/>
          <w:b/>
          <w:bCs/>
          <w:sz w:val="24"/>
          <w:szCs w:val="24"/>
        </w:rPr>
        <w:t>and population</w:t>
      </w:r>
      <w:r w:rsidRPr="00154C9E">
        <w:rPr>
          <w:rFonts w:asciiTheme="majorBidi" w:hAnsiTheme="majorBidi" w:cstheme="majorBidi"/>
          <w:sz w:val="24"/>
          <w:szCs w:val="24"/>
        </w:rPr>
        <w:t>: A randomized, triple-blind, placebo-controlled, and parallel arms clinical trial will be conducted on 90 patients with T2DM.</w:t>
      </w:r>
    </w:p>
    <w:p w14:paraId="795485C3" w14:textId="23360138" w:rsidR="00755764" w:rsidRPr="00154C9E" w:rsidRDefault="00755764" w:rsidP="00154C9E">
      <w:p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 </w:t>
      </w:r>
      <w:r w:rsidRPr="00154C9E">
        <w:rPr>
          <w:rFonts w:asciiTheme="majorBidi" w:hAnsiTheme="majorBidi" w:cstheme="majorBidi"/>
          <w:b/>
          <w:bCs/>
          <w:sz w:val="24"/>
          <w:szCs w:val="24"/>
        </w:rPr>
        <w:t>Time frame</w:t>
      </w:r>
      <w:r w:rsidRPr="00154C9E">
        <w:rPr>
          <w:rFonts w:asciiTheme="majorBidi" w:hAnsiTheme="majorBidi" w:cstheme="majorBidi"/>
          <w:sz w:val="24"/>
          <w:szCs w:val="24"/>
        </w:rPr>
        <w:t xml:space="preserve">: Run-in courses will last for two weeks. The intervention and control groups will receive wheat bread with and without PPP, respectively. </w:t>
      </w:r>
    </w:p>
    <w:p w14:paraId="721766E6" w14:textId="4DC28E29" w:rsidR="00B902B2" w:rsidRPr="00154C9E" w:rsidRDefault="00755764" w:rsidP="00154C9E">
      <w:pPr>
        <w:spacing w:line="360" w:lineRule="auto"/>
        <w:jc w:val="both"/>
        <w:rPr>
          <w:rFonts w:asciiTheme="majorBidi" w:hAnsiTheme="majorBidi" w:cstheme="majorBidi"/>
          <w:sz w:val="24"/>
          <w:szCs w:val="24"/>
        </w:rPr>
      </w:pPr>
      <w:r w:rsidRPr="00154C9E">
        <w:rPr>
          <w:rFonts w:asciiTheme="majorBidi" w:hAnsiTheme="majorBidi" w:cstheme="majorBidi"/>
          <w:b/>
          <w:bCs/>
          <w:sz w:val="24"/>
          <w:szCs w:val="24"/>
          <w:shd w:val="clear" w:color="auto" w:fill="FFFFFF"/>
        </w:rPr>
        <w:t xml:space="preserve">Expected </w:t>
      </w:r>
      <w:r w:rsidR="00DC4015" w:rsidRPr="00154C9E">
        <w:rPr>
          <w:rFonts w:asciiTheme="majorBidi" w:hAnsiTheme="majorBidi" w:cstheme="majorBidi"/>
          <w:b/>
          <w:bCs/>
          <w:sz w:val="24"/>
          <w:szCs w:val="24"/>
          <w:shd w:val="clear" w:color="auto" w:fill="FFFFFF"/>
        </w:rPr>
        <w:t>outcomes</w:t>
      </w:r>
      <w:r w:rsidR="00DC4015" w:rsidRPr="00154C9E">
        <w:rPr>
          <w:rFonts w:asciiTheme="majorBidi" w:hAnsiTheme="majorBidi" w:cstheme="majorBidi"/>
          <w:b/>
          <w:bCs/>
          <w:color w:val="3C4245"/>
          <w:sz w:val="24"/>
          <w:szCs w:val="24"/>
          <w:shd w:val="clear" w:color="auto" w:fill="FFFFFF"/>
        </w:rPr>
        <w:t>:</w:t>
      </w:r>
      <w:r w:rsidRPr="00154C9E">
        <w:rPr>
          <w:rFonts w:asciiTheme="majorBidi" w:hAnsiTheme="majorBidi" w:cstheme="majorBidi"/>
          <w:b/>
          <w:bCs/>
          <w:color w:val="3C4245"/>
          <w:sz w:val="24"/>
          <w:szCs w:val="24"/>
          <w:shd w:val="clear" w:color="auto" w:fill="FFFFFF"/>
        </w:rPr>
        <w:t xml:space="preserve"> </w:t>
      </w:r>
      <w:r w:rsidRPr="00154C9E">
        <w:rPr>
          <w:rFonts w:asciiTheme="majorBidi" w:hAnsiTheme="majorBidi" w:cstheme="majorBidi"/>
          <w:sz w:val="24"/>
          <w:szCs w:val="24"/>
        </w:rPr>
        <w:t xml:space="preserve">Anthropometric data, fasting plasma glucose, hemoglobin A1C, lipid </w:t>
      </w:r>
      <w:r w:rsidR="00DC4015" w:rsidRPr="00154C9E">
        <w:rPr>
          <w:rFonts w:asciiTheme="majorBidi" w:hAnsiTheme="majorBidi" w:cstheme="majorBidi"/>
          <w:sz w:val="24"/>
          <w:szCs w:val="24"/>
        </w:rPr>
        <w:t>profile</w:t>
      </w:r>
      <w:r w:rsidRPr="00154C9E">
        <w:rPr>
          <w:rFonts w:asciiTheme="majorBidi" w:hAnsiTheme="majorBidi" w:cstheme="majorBidi"/>
          <w:sz w:val="24"/>
          <w:szCs w:val="24"/>
        </w:rPr>
        <w:t>, insulin level, high-sensitivity C-reactive protein (</w:t>
      </w:r>
      <w:proofErr w:type="spellStart"/>
      <w:r w:rsidRPr="00154C9E">
        <w:rPr>
          <w:rFonts w:asciiTheme="majorBidi" w:hAnsiTheme="majorBidi" w:cstheme="majorBidi"/>
          <w:sz w:val="24"/>
          <w:szCs w:val="24"/>
        </w:rPr>
        <w:t>hs</w:t>
      </w:r>
      <w:proofErr w:type="spellEnd"/>
      <w:r w:rsidRPr="00154C9E">
        <w:rPr>
          <w:rFonts w:asciiTheme="majorBidi" w:hAnsiTheme="majorBidi" w:cstheme="majorBidi"/>
          <w:sz w:val="24"/>
          <w:szCs w:val="24"/>
        </w:rPr>
        <w:t xml:space="preserve">-CRP), malondialdehyde (MDA), Total antioxidant </w:t>
      </w:r>
      <w:r w:rsidR="00DC4015" w:rsidRPr="00154C9E">
        <w:rPr>
          <w:rFonts w:asciiTheme="majorBidi" w:hAnsiTheme="majorBidi" w:cstheme="majorBidi"/>
          <w:sz w:val="24"/>
          <w:szCs w:val="24"/>
        </w:rPr>
        <w:t>capacity (</w:t>
      </w:r>
      <w:r w:rsidRPr="00154C9E">
        <w:rPr>
          <w:rFonts w:asciiTheme="majorBidi" w:hAnsiTheme="majorBidi" w:cstheme="majorBidi"/>
          <w:sz w:val="24"/>
          <w:szCs w:val="24"/>
        </w:rPr>
        <w:t xml:space="preserve">TAC), and mood state, will be measured at the baseline and three months post-intervention. Beta-cell function (HOMA-B) and insulin resistance (HOMA-IR) will also be assessed. Discussion This trial will provide novel data on the impact of </w:t>
      </w:r>
      <w:r w:rsidR="00DC4015" w:rsidRPr="00154C9E">
        <w:rPr>
          <w:rFonts w:asciiTheme="majorBidi" w:hAnsiTheme="majorBidi" w:cstheme="majorBidi"/>
          <w:sz w:val="24"/>
          <w:szCs w:val="24"/>
        </w:rPr>
        <w:t>fortified</w:t>
      </w:r>
      <w:r w:rsidRPr="00154C9E">
        <w:rPr>
          <w:rFonts w:asciiTheme="majorBidi" w:hAnsiTheme="majorBidi" w:cstheme="majorBidi"/>
          <w:sz w:val="24"/>
          <w:szCs w:val="24"/>
        </w:rPr>
        <w:t xml:space="preserve"> bread with PPP on metabolic </w:t>
      </w:r>
      <w:r w:rsidR="00DC4015" w:rsidRPr="00154C9E">
        <w:rPr>
          <w:rFonts w:asciiTheme="majorBidi" w:hAnsiTheme="majorBidi" w:cstheme="majorBidi"/>
          <w:sz w:val="24"/>
          <w:szCs w:val="24"/>
        </w:rPr>
        <w:t>profile</w:t>
      </w:r>
      <w:r w:rsidRPr="00154C9E">
        <w:rPr>
          <w:rFonts w:asciiTheme="majorBidi" w:hAnsiTheme="majorBidi" w:cstheme="majorBidi"/>
          <w:sz w:val="24"/>
          <w:szCs w:val="24"/>
        </w:rPr>
        <w:t xml:space="preserve"> and mood state of patients with type 2 diabetes. The results will demonstrate the potential of such intervention in glycemic indices, antioxidant status, </w:t>
      </w:r>
      <w:r w:rsidR="00DC4015" w:rsidRPr="00154C9E">
        <w:rPr>
          <w:rFonts w:asciiTheme="majorBidi" w:hAnsiTheme="majorBidi" w:cstheme="majorBidi"/>
          <w:sz w:val="24"/>
          <w:szCs w:val="24"/>
        </w:rPr>
        <w:t>inflammation</w:t>
      </w:r>
      <w:r w:rsidRPr="00154C9E">
        <w:rPr>
          <w:rFonts w:asciiTheme="majorBidi" w:hAnsiTheme="majorBidi" w:cstheme="majorBidi"/>
          <w:sz w:val="24"/>
          <w:szCs w:val="24"/>
        </w:rPr>
        <w:t xml:space="preserve"> and mood in these patients</w:t>
      </w:r>
      <w:r w:rsidR="00025F82" w:rsidRPr="00154C9E">
        <w:rPr>
          <w:rFonts w:asciiTheme="majorBidi" w:hAnsiTheme="majorBidi" w:cstheme="majorBidi"/>
          <w:sz w:val="24"/>
          <w:szCs w:val="24"/>
        </w:rPr>
        <w:t>.</w:t>
      </w:r>
    </w:p>
    <w:p w14:paraId="76E7E331" w14:textId="77777777" w:rsidR="00025F82" w:rsidRPr="00154C9E" w:rsidRDefault="00025F82" w:rsidP="00154C9E">
      <w:pPr>
        <w:pStyle w:val="Heading3"/>
        <w:shd w:val="clear" w:color="auto" w:fill="FFFFFF"/>
        <w:spacing w:line="360" w:lineRule="auto"/>
        <w:jc w:val="both"/>
        <w:rPr>
          <w:rFonts w:asciiTheme="majorBidi" w:hAnsiTheme="majorBidi" w:cstheme="majorBidi"/>
          <w:color w:val="3C4245"/>
          <w:sz w:val="24"/>
          <w:szCs w:val="24"/>
        </w:rPr>
      </w:pPr>
      <w:r w:rsidRPr="00154C9E">
        <w:rPr>
          <w:rFonts w:asciiTheme="majorBidi" w:hAnsiTheme="majorBidi" w:cstheme="majorBidi"/>
          <w:color w:val="3C4245"/>
          <w:sz w:val="24"/>
          <w:szCs w:val="24"/>
        </w:rPr>
        <w:t>General information</w:t>
      </w:r>
    </w:p>
    <w:p w14:paraId="102CF384" w14:textId="3AA159DA" w:rsidR="00B53296" w:rsidRPr="00154C9E" w:rsidRDefault="00B53296" w:rsidP="00154C9E">
      <w:pPr>
        <w:numPr>
          <w:ilvl w:val="0"/>
          <w:numId w:val="1"/>
        </w:numPr>
        <w:shd w:val="clear" w:color="auto" w:fill="FFFFFF"/>
        <w:spacing w:before="100" w:beforeAutospacing="1" w:after="100" w:afterAutospacing="1" w:line="360" w:lineRule="auto"/>
        <w:jc w:val="both"/>
        <w:rPr>
          <w:rFonts w:asciiTheme="majorBidi" w:eastAsia="Times New Roman" w:hAnsiTheme="majorBidi" w:cstheme="majorBidi"/>
          <w:b/>
          <w:bCs/>
          <w:color w:val="3C4245"/>
          <w:kern w:val="0"/>
          <w:sz w:val="24"/>
          <w:szCs w:val="24"/>
          <w14:ligatures w14:val="none"/>
        </w:rPr>
      </w:pPr>
      <w:r w:rsidRPr="00154C9E">
        <w:rPr>
          <w:rFonts w:asciiTheme="majorBidi" w:eastAsia="Times New Roman" w:hAnsiTheme="majorBidi" w:cstheme="majorBidi"/>
          <w:b/>
          <w:bCs/>
          <w:color w:val="3C4245"/>
          <w:kern w:val="0"/>
          <w:sz w:val="24"/>
          <w:szCs w:val="24"/>
          <w14:ligatures w14:val="none"/>
        </w:rPr>
        <w:t>Protocol title, protocol identifying number (if any), and date:</w:t>
      </w:r>
    </w:p>
    <w:p w14:paraId="5C00E56B" w14:textId="3E902C32" w:rsidR="005D7283" w:rsidRPr="00154C9E" w:rsidRDefault="009311E4" w:rsidP="00154C9E">
      <w:pPr>
        <w:numPr>
          <w:ilvl w:val="0"/>
          <w:numId w:val="1"/>
        </w:numPr>
        <w:shd w:val="clear" w:color="auto" w:fill="FFFFFF"/>
        <w:spacing w:before="100" w:beforeAutospacing="1" w:after="100" w:afterAutospacing="1" w:line="360" w:lineRule="auto"/>
        <w:jc w:val="both"/>
        <w:rPr>
          <w:rFonts w:asciiTheme="majorBidi" w:eastAsia="Times New Roman" w:hAnsiTheme="majorBidi" w:cstheme="majorBidi"/>
          <w:color w:val="212121"/>
          <w:kern w:val="0"/>
          <w:sz w:val="24"/>
          <w:szCs w:val="24"/>
          <w14:ligatures w14:val="none"/>
        </w:rPr>
      </w:pPr>
      <w:r w:rsidRPr="00154C9E">
        <w:rPr>
          <w:rFonts w:asciiTheme="majorBidi" w:hAnsiTheme="majorBidi" w:cstheme="majorBidi"/>
          <w:sz w:val="24"/>
          <w:szCs w:val="24"/>
        </w:rPr>
        <w:t>Effect</w:t>
      </w:r>
      <w:r w:rsidR="005D7283" w:rsidRPr="00154C9E">
        <w:rPr>
          <w:rFonts w:asciiTheme="majorBidi" w:hAnsiTheme="majorBidi" w:cstheme="majorBidi"/>
          <w:sz w:val="24"/>
          <w:szCs w:val="24"/>
        </w:rPr>
        <w:t xml:space="preserve"> of bread </w:t>
      </w:r>
      <w:r w:rsidRPr="00154C9E">
        <w:rPr>
          <w:rFonts w:asciiTheme="majorBidi" w:hAnsiTheme="majorBidi" w:cstheme="majorBidi"/>
          <w:sz w:val="24"/>
          <w:szCs w:val="24"/>
        </w:rPr>
        <w:t>fortification</w:t>
      </w:r>
      <w:r w:rsidR="005D7283" w:rsidRPr="00154C9E">
        <w:rPr>
          <w:rFonts w:asciiTheme="majorBidi" w:hAnsiTheme="majorBidi" w:cstheme="majorBidi"/>
          <w:sz w:val="24"/>
          <w:szCs w:val="24"/>
        </w:rPr>
        <w:t xml:space="preserve"> with pomegranate peel powder on glycemic indicators, antioxidant status, </w:t>
      </w:r>
      <w:r w:rsidRPr="00154C9E">
        <w:rPr>
          <w:rFonts w:asciiTheme="majorBidi" w:hAnsiTheme="majorBidi" w:cstheme="majorBidi"/>
          <w:sz w:val="24"/>
          <w:szCs w:val="24"/>
        </w:rPr>
        <w:t>inflammation</w:t>
      </w:r>
      <w:r w:rsidR="005D7283" w:rsidRPr="00154C9E">
        <w:rPr>
          <w:rFonts w:asciiTheme="majorBidi" w:hAnsiTheme="majorBidi" w:cstheme="majorBidi"/>
          <w:sz w:val="24"/>
          <w:szCs w:val="24"/>
        </w:rPr>
        <w:t xml:space="preserve"> and mood in patients with type 2 diabetes: study protocol for a randomized, triple</w:t>
      </w:r>
      <w:r w:rsidR="005D7283" w:rsidRPr="00154C9E">
        <w:rPr>
          <w:rFonts w:asciiTheme="majorBidi" w:hAnsiTheme="majorBidi" w:cstheme="majorBidi"/>
          <w:sz w:val="24"/>
          <w:szCs w:val="24"/>
        </w:rPr>
        <w:noBreakHyphen/>
        <w:t>blind, and placebo</w:t>
      </w:r>
      <w:r w:rsidR="005D7283" w:rsidRPr="00154C9E">
        <w:rPr>
          <w:rFonts w:asciiTheme="majorBidi" w:hAnsiTheme="majorBidi" w:cstheme="majorBidi"/>
          <w:sz w:val="24"/>
          <w:szCs w:val="24"/>
        </w:rPr>
        <w:noBreakHyphen/>
        <w:t xml:space="preserve">controlled trial. </w:t>
      </w:r>
      <w:r w:rsidR="005D7283" w:rsidRPr="00154C9E">
        <w:rPr>
          <w:rFonts w:asciiTheme="majorBidi" w:eastAsia="Times New Roman" w:hAnsiTheme="majorBidi" w:cstheme="majorBidi"/>
          <w:color w:val="212121"/>
          <w:kern w:val="0"/>
          <w:sz w:val="24"/>
          <w:szCs w:val="24"/>
          <w14:ligatures w14:val="none"/>
        </w:rPr>
        <w:t>DOI: </w:t>
      </w:r>
      <w:hyperlink r:id="rId5" w:tgtFrame="_blank" w:history="1">
        <w:r w:rsidR="005D7283" w:rsidRPr="00154C9E">
          <w:rPr>
            <w:rFonts w:asciiTheme="majorBidi" w:eastAsia="Times New Roman" w:hAnsiTheme="majorBidi" w:cstheme="majorBidi"/>
            <w:color w:val="0071BC"/>
            <w:kern w:val="0"/>
            <w:sz w:val="24"/>
            <w:szCs w:val="24"/>
            <w:u w:val="single"/>
            <w14:ligatures w14:val="none"/>
          </w:rPr>
          <w:t>10.1007/s40200-022-01168-z</w:t>
        </w:r>
      </w:hyperlink>
    </w:p>
    <w:p w14:paraId="6BCD0EF9" w14:textId="7D9405B8" w:rsidR="00B53296" w:rsidRPr="00154C9E" w:rsidRDefault="00B53296" w:rsidP="00154C9E">
      <w:pPr>
        <w:numPr>
          <w:ilvl w:val="0"/>
          <w:numId w:val="1"/>
        </w:numPr>
        <w:shd w:val="clear" w:color="auto" w:fill="FFFFFF"/>
        <w:spacing w:before="100" w:beforeAutospacing="1" w:after="100" w:afterAutospacing="1" w:line="360" w:lineRule="auto"/>
        <w:jc w:val="both"/>
        <w:rPr>
          <w:rFonts w:asciiTheme="majorBidi" w:eastAsia="Times New Roman" w:hAnsiTheme="majorBidi" w:cstheme="majorBidi"/>
          <w:b/>
          <w:bCs/>
          <w:color w:val="3C4245"/>
          <w:kern w:val="0"/>
          <w:sz w:val="24"/>
          <w:szCs w:val="24"/>
          <w14:ligatures w14:val="none"/>
        </w:rPr>
      </w:pPr>
      <w:r w:rsidRPr="00154C9E">
        <w:rPr>
          <w:rFonts w:asciiTheme="majorBidi" w:eastAsia="Times New Roman" w:hAnsiTheme="majorBidi" w:cstheme="majorBidi"/>
          <w:b/>
          <w:bCs/>
          <w:kern w:val="0"/>
          <w:sz w:val="24"/>
          <w:szCs w:val="24"/>
          <w14:ligatures w14:val="none"/>
        </w:rPr>
        <w:t>Name and address of the sponsor/funder</w:t>
      </w:r>
      <w:r w:rsidRPr="00154C9E">
        <w:rPr>
          <w:rFonts w:asciiTheme="majorBidi" w:eastAsia="Times New Roman" w:hAnsiTheme="majorBidi" w:cstheme="majorBidi"/>
          <w:b/>
          <w:bCs/>
          <w:color w:val="3C4245"/>
          <w:kern w:val="0"/>
          <w:sz w:val="24"/>
          <w:szCs w:val="24"/>
          <w14:ligatures w14:val="none"/>
        </w:rPr>
        <w:t>:</w:t>
      </w:r>
    </w:p>
    <w:p w14:paraId="05DEFA1C" w14:textId="3026216B" w:rsidR="00025F82" w:rsidRPr="00154C9E" w:rsidRDefault="00B53296" w:rsidP="00154C9E">
      <w:pPr>
        <w:spacing w:line="360" w:lineRule="auto"/>
        <w:jc w:val="both"/>
        <w:rPr>
          <w:rFonts w:asciiTheme="majorBidi" w:hAnsiTheme="majorBidi" w:cstheme="majorBidi"/>
          <w:sz w:val="24"/>
          <w:szCs w:val="24"/>
        </w:rPr>
      </w:pPr>
      <w:r w:rsidRPr="00154C9E">
        <w:rPr>
          <w:rFonts w:asciiTheme="majorBidi" w:hAnsiTheme="majorBidi" w:cstheme="majorBidi"/>
          <w:b/>
          <w:bCs/>
          <w:sz w:val="24"/>
          <w:szCs w:val="24"/>
        </w:rPr>
        <w:lastRenderedPageBreak/>
        <w:t>Funding</w:t>
      </w:r>
      <w:r w:rsidR="00154C9E">
        <w:rPr>
          <w:rFonts w:asciiTheme="majorBidi" w:hAnsiTheme="majorBidi" w:cstheme="majorBidi"/>
          <w:sz w:val="24"/>
          <w:szCs w:val="24"/>
        </w:rPr>
        <w:t xml:space="preserve">: </w:t>
      </w:r>
      <w:r w:rsidRPr="00154C9E">
        <w:rPr>
          <w:rFonts w:asciiTheme="majorBidi" w:hAnsiTheme="majorBidi" w:cstheme="majorBidi"/>
          <w:sz w:val="24"/>
          <w:szCs w:val="24"/>
        </w:rPr>
        <w:t xml:space="preserve">This project was </w:t>
      </w:r>
      <w:r w:rsidR="009311E4" w:rsidRPr="00154C9E">
        <w:rPr>
          <w:rFonts w:asciiTheme="majorBidi" w:hAnsiTheme="majorBidi" w:cstheme="majorBidi"/>
          <w:sz w:val="24"/>
          <w:szCs w:val="24"/>
        </w:rPr>
        <w:t>financially</w:t>
      </w:r>
      <w:r w:rsidRPr="00154C9E">
        <w:rPr>
          <w:rFonts w:asciiTheme="majorBidi" w:hAnsiTheme="majorBidi" w:cstheme="majorBidi"/>
          <w:sz w:val="24"/>
          <w:szCs w:val="24"/>
        </w:rPr>
        <w:t xml:space="preserve"> supported by the Isfahan University of Medical Sciences (grant number 398978). The sponsor </w:t>
      </w:r>
      <w:r w:rsidR="009311E4" w:rsidRPr="00154C9E">
        <w:rPr>
          <w:rFonts w:asciiTheme="majorBidi" w:hAnsiTheme="majorBidi" w:cstheme="majorBidi"/>
          <w:sz w:val="24"/>
          <w:szCs w:val="24"/>
        </w:rPr>
        <w:t>has</w:t>
      </w:r>
      <w:r w:rsidRPr="00154C9E">
        <w:rPr>
          <w:rFonts w:asciiTheme="majorBidi" w:hAnsiTheme="majorBidi" w:cstheme="majorBidi"/>
          <w:sz w:val="24"/>
          <w:szCs w:val="24"/>
        </w:rPr>
        <w:t xml:space="preserve"> no role in study design; collection, management, analysis, and interpretation of data; writing of the report; and the decision to submitting the information for publication</w:t>
      </w:r>
    </w:p>
    <w:p w14:paraId="4921536D" w14:textId="77777777" w:rsidR="009311E4" w:rsidRPr="00154C9E" w:rsidRDefault="00B53296" w:rsidP="00154C9E">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kern w:val="0"/>
          <w:sz w:val="24"/>
          <w:szCs w:val="24"/>
          <w14:ligatures w14:val="none"/>
        </w:rPr>
      </w:pPr>
      <w:r w:rsidRPr="00154C9E">
        <w:rPr>
          <w:rFonts w:asciiTheme="majorBidi" w:eastAsia="Times New Roman" w:hAnsiTheme="majorBidi" w:cstheme="majorBidi"/>
          <w:b/>
          <w:bCs/>
          <w:kern w:val="0"/>
          <w:sz w:val="24"/>
          <w:szCs w:val="24"/>
          <w14:ligatures w14:val="none"/>
        </w:rPr>
        <w:t>Name and title of the investigator(s) who is (are) responsible for conducting the research, and the address and telephone number(s) of the research site(s), including responsibilities of each</w:t>
      </w:r>
      <w:r w:rsidRPr="00154C9E">
        <w:rPr>
          <w:rFonts w:asciiTheme="majorBidi" w:eastAsia="Times New Roman" w:hAnsiTheme="majorBidi" w:cstheme="majorBidi"/>
          <w:kern w:val="0"/>
          <w:sz w:val="24"/>
          <w:szCs w:val="24"/>
          <w14:ligatures w14:val="none"/>
        </w:rPr>
        <w:t xml:space="preserve">: </w:t>
      </w:r>
    </w:p>
    <w:p w14:paraId="24D365B7" w14:textId="158E9CF2" w:rsidR="00B53296" w:rsidRPr="00154C9E" w:rsidRDefault="00B53296" w:rsidP="00154C9E">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3C4245"/>
          <w:kern w:val="0"/>
          <w:sz w:val="24"/>
          <w:szCs w:val="24"/>
          <w14:ligatures w14:val="none"/>
        </w:rPr>
      </w:pPr>
      <w:r w:rsidRPr="00154C9E">
        <w:rPr>
          <w:rFonts w:asciiTheme="majorBidi" w:hAnsiTheme="majorBidi" w:cstheme="majorBidi"/>
          <w:sz w:val="24"/>
          <w:szCs w:val="24"/>
        </w:rPr>
        <w:t>Maryam </w:t>
      </w:r>
      <w:r w:rsidR="009311E4" w:rsidRPr="00154C9E">
        <w:rPr>
          <w:rFonts w:asciiTheme="majorBidi" w:hAnsiTheme="majorBidi" w:cstheme="majorBidi"/>
          <w:sz w:val="24"/>
          <w:szCs w:val="24"/>
        </w:rPr>
        <w:t>Zare,</w:t>
      </w:r>
      <w:r w:rsidRPr="00154C9E">
        <w:rPr>
          <w:rFonts w:asciiTheme="majorBidi" w:hAnsiTheme="majorBidi" w:cstheme="majorBidi"/>
          <w:sz w:val="24"/>
          <w:szCs w:val="24"/>
        </w:rPr>
        <w:t xml:space="preserve"> Amir Hossein </w:t>
      </w:r>
      <w:r w:rsidR="009311E4" w:rsidRPr="00154C9E">
        <w:rPr>
          <w:rFonts w:asciiTheme="majorBidi" w:hAnsiTheme="majorBidi" w:cstheme="majorBidi"/>
          <w:sz w:val="24"/>
          <w:szCs w:val="24"/>
        </w:rPr>
        <w:t>Goli,</w:t>
      </w:r>
      <w:r w:rsidRPr="00154C9E">
        <w:rPr>
          <w:rFonts w:asciiTheme="majorBidi" w:hAnsiTheme="majorBidi" w:cstheme="majorBidi"/>
          <w:sz w:val="24"/>
          <w:szCs w:val="24"/>
        </w:rPr>
        <w:t xml:space="preserve"> Mozhgan </w:t>
      </w:r>
      <w:proofErr w:type="spellStart"/>
      <w:r w:rsidR="009311E4" w:rsidRPr="00154C9E">
        <w:rPr>
          <w:rFonts w:asciiTheme="majorBidi" w:hAnsiTheme="majorBidi" w:cstheme="majorBidi"/>
          <w:sz w:val="24"/>
          <w:szCs w:val="24"/>
        </w:rPr>
        <w:t>Karimifar</w:t>
      </w:r>
      <w:proofErr w:type="spellEnd"/>
      <w:r w:rsidR="009311E4" w:rsidRPr="00154C9E">
        <w:rPr>
          <w:rFonts w:asciiTheme="majorBidi" w:hAnsiTheme="majorBidi" w:cstheme="majorBidi"/>
          <w:sz w:val="24"/>
          <w:szCs w:val="24"/>
        </w:rPr>
        <w:t>,</w:t>
      </w:r>
      <w:r w:rsidRPr="00154C9E">
        <w:rPr>
          <w:rFonts w:asciiTheme="majorBidi" w:hAnsiTheme="majorBidi" w:cstheme="majorBidi"/>
          <w:sz w:val="24"/>
          <w:szCs w:val="24"/>
        </w:rPr>
        <w:t xml:space="preserve"> Mohammad Javad </w:t>
      </w:r>
      <w:proofErr w:type="spellStart"/>
      <w:proofErr w:type="gramStart"/>
      <w:r w:rsidRPr="00154C9E">
        <w:rPr>
          <w:rFonts w:asciiTheme="majorBidi" w:hAnsiTheme="majorBidi" w:cstheme="majorBidi"/>
          <w:sz w:val="24"/>
          <w:szCs w:val="24"/>
        </w:rPr>
        <w:t>Tarrahi</w:t>
      </w:r>
      <w:proofErr w:type="spellEnd"/>
      <w:r w:rsidRPr="00154C9E">
        <w:rPr>
          <w:rFonts w:asciiTheme="majorBidi" w:hAnsiTheme="majorBidi" w:cstheme="majorBidi"/>
          <w:sz w:val="24"/>
          <w:szCs w:val="24"/>
        </w:rPr>
        <w:t> </w:t>
      </w:r>
      <w:r w:rsidR="00AD184C" w:rsidRPr="00154C9E">
        <w:rPr>
          <w:rFonts w:asciiTheme="majorBidi" w:hAnsiTheme="majorBidi" w:cstheme="majorBidi"/>
          <w:sz w:val="24"/>
          <w:szCs w:val="24"/>
        </w:rPr>
        <w:t>,</w:t>
      </w:r>
      <w:proofErr w:type="gramEnd"/>
      <w:r w:rsidRPr="00154C9E">
        <w:rPr>
          <w:rFonts w:asciiTheme="majorBidi" w:hAnsiTheme="majorBidi" w:cstheme="majorBidi"/>
          <w:sz w:val="24"/>
          <w:szCs w:val="24"/>
        </w:rPr>
        <w:t xml:space="preserve"> </w:t>
      </w:r>
      <w:proofErr w:type="spellStart"/>
      <w:r w:rsidRPr="00154C9E">
        <w:rPr>
          <w:rFonts w:asciiTheme="majorBidi" w:hAnsiTheme="majorBidi" w:cstheme="majorBidi"/>
          <w:sz w:val="24"/>
          <w:szCs w:val="24"/>
        </w:rPr>
        <w:t>Atefe</w:t>
      </w:r>
      <w:proofErr w:type="spellEnd"/>
      <w:r w:rsidRPr="00154C9E">
        <w:rPr>
          <w:rFonts w:asciiTheme="majorBidi" w:hAnsiTheme="majorBidi" w:cstheme="majorBidi"/>
          <w:sz w:val="24"/>
          <w:szCs w:val="24"/>
        </w:rPr>
        <w:t> Rezaei  </w:t>
      </w:r>
      <w:r w:rsidR="00AD184C" w:rsidRPr="00154C9E">
        <w:rPr>
          <w:rFonts w:asciiTheme="majorBidi" w:hAnsiTheme="majorBidi" w:cstheme="majorBidi"/>
          <w:sz w:val="24"/>
          <w:szCs w:val="24"/>
        </w:rPr>
        <w:t>,</w:t>
      </w:r>
      <w:r w:rsidRPr="00154C9E">
        <w:rPr>
          <w:rFonts w:asciiTheme="majorBidi" w:hAnsiTheme="majorBidi" w:cstheme="majorBidi"/>
          <w:sz w:val="24"/>
          <w:szCs w:val="24"/>
        </w:rPr>
        <w:t xml:space="preserve"> </w:t>
      </w:r>
      <w:r w:rsidRPr="00154C9E">
        <w:rPr>
          <w:rFonts w:asciiTheme="majorBidi" w:hAnsiTheme="majorBidi" w:cstheme="majorBidi"/>
          <w:sz w:val="24"/>
          <w:szCs w:val="24"/>
          <w:highlight w:val="yellow"/>
        </w:rPr>
        <w:t>Reza A</w:t>
      </w:r>
      <w:r w:rsidRPr="00154C9E">
        <w:rPr>
          <w:rFonts w:asciiTheme="majorBidi" w:hAnsiTheme="majorBidi" w:cstheme="majorBidi"/>
          <w:sz w:val="24"/>
          <w:szCs w:val="24"/>
        </w:rPr>
        <w:t>mani</w:t>
      </w:r>
    </w:p>
    <w:p w14:paraId="2A7A6D05" w14:textId="77777777" w:rsidR="009311E4" w:rsidRPr="00154C9E" w:rsidRDefault="00472F4C" w:rsidP="00154C9E">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kern w:val="0"/>
          <w:sz w:val="24"/>
          <w:szCs w:val="24"/>
          <w14:ligatures w14:val="none"/>
        </w:rPr>
      </w:pPr>
      <w:r w:rsidRPr="00154C9E">
        <w:rPr>
          <w:rFonts w:asciiTheme="majorBidi" w:eastAsia="Times New Roman" w:hAnsiTheme="majorBidi" w:cstheme="majorBidi"/>
          <w:b/>
          <w:bCs/>
          <w:kern w:val="0"/>
          <w:sz w:val="24"/>
          <w:szCs w:val="24"/>
          <w14:ligatures w14:val="none"/>
        </w:rPr>
        <w:t>Name(s) and address(es) of the clinical laboratory(</w:t>
      </w:r>
      <w:proofErr w:type="spellStart"/>
      <w:r w:rsidRPr="00154C9E">
        <w:rPr>
          <w:rFonts w:asciiTheme="majorBidi" w:eastAsia="Times New Roman" w:hAnsiTheme="majorBidi" w:cstheme="majorBidi"/>
          <w:b/>
          <w:bCs/>
          <w:kern w:val="0"/>
          <w:sz w:val="24"/>
          <w:szCs w:val="24"/>
          <w14:ligatures w14:val="none"/>
        </w:rPr>
        <w:t>ies</w:t>
      </w:r>
      <w:proofErr w:type="spellEnd"/>
      <w:r w:rsidRPr="00154C9E">
        <w:rPr>
          <w:rFonts w:asciiTheme="majorBidi" w:eastAsia="Times New Roman" w:hAnsiTheme="majorBidi" w:cstheme="majorBidi"/>
          <w:b/>
          <w:bCs/>
          <w:kern w:val="0"/>
          <w:sz w:val="24"/>
          <w:szCs w:val="24"/>
          <w14:ligatures w14:val="none"/>
        </w:rPr>
        <w:t>) and other medical and/or technical department(s) and/or institutions involved in the research:</w:t>
      </w:r>
      <w:r w:rsidRPr="00154C9E">
        <w:rPr>
          <w:rFonts w:asciiTheme="majorBidi" w:eastAsia="Times New Roman" w:hAnsiTheme="majorBidi" w:cstheme="majorBidi"/>
          <w:kern w:val="0"/>
          <w:sz w:val="24"/>
          <w:szCs w:val="24"/>
          <w14:ligatures w14:val="none"/>
        </w:rPr>
        <w:t xml:space="preserve"> </w:t>
      </w:r>
    </w:p>
    <w:p w14:paraId="2BE9EE2C" w14:textId="2171EC14" w:rsidR="00472F4C" w:rsidRPr="00154C9E" w:rsidRDefault="00472F4C" w:rsidP="00154C9E">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3C4245"/>
          <w:kern w:val="0"/>
          <w:sz w:val="24"/>
          <w:szCs w:val="24"/>
          <w14:ligatures w14:val="none"/>
        </w:rPr>
      </w:pPr>
      <w:r w:rsidRPr="00154C9E">
        <w:rPr>
          <w:rFonts w:asciiTheme="majorBidi" w:eastAsia="Times New Roman" w:hAnsiTheme="majorBidi" w:cstheme="majorBidi"/>
          <w:color w:val="3C4245"/>
          <w:kern w:val="0"/>
          <w:sz w:val="24"/>
          <w:szCs w:val="24"/>
          <w14:ligatures w14:val="none"/>
        </w:rPr>
        <w:t>Endocrine Metabolic Research Center</w:t>
      </w:r>
    </w:p>
    <w:p w14:paraId="424C3364" w14:textId="2D7981E9" w:rsidR="009311E4" w:rsidRPr="00154C9E" w:rsidRDefault="009311E4" w:rsidP="00154C9E">
      <w:pPr>
        <w:numPr>
          <w:ilvl w:val="0"/>
          <w:numId w:val="4"/>
        </w:numPr>
        <w:shd w:val="clear" w:color="auto" w:fill="FFFFFF"/>
        <w:spacing w:before="100" w:beforeAutospacing="1" w:after="100" w:afterAutospacing="1" w:line="360" w:lineRule="auto"/>
        <w:jc w:val="both"/>
        <w:rPr>
          <w:rFonts w:asciiTheme="majorBidi" w:eastAsia="Times New Roman" w:hAnsiTheme="majorBidi" w:cstheme="majorBidi"/>
          <w:color w:val="3C4245"/>
          <w:kern w:val="0"/>
          <w:sz w:val="24"/>
          <w:szCs w:val="24"/>
          <w14:ligatures w14:val="none"/>
        </w:rPr>
      </w:pPr>
      <w:r w:rsidRPr="00154C9E">
        <w:rPr>
          <w:rFonts w:asciiTheme="majorBidi" w:eastAsia="Times New Roman" w:hAnsiTheme="majorBidi" w:cstheme="majorBidi"/>
          <w:color w:val="3C4245"/>
          <w:kern w:val="0"/>
          <w:sz w:val="24"/>
          <w:szCs w:val="24"/>
          <w14:ligatures w14:val="none"/>
        </w:rPr>
        <w:t>Faculty of Nutrition and Food Science, Nutrition and Food Security Research Center</w:t>
      </w:r>
      <w:r w:rsidR="00154C9E">
        <w:rPr>
          <w:rFonts w:asciiTheme="majorBidi" w:eastAsia="Times New Roman" w:hAnsiTheme="majorBidi" w:cstheme="majorBidi"/>
          <w:color w:val="3C4245"/>
          <w:kern w:val="0"/>
          <w:sz w:val="24"/>
          <w:szCs w:val="24"/>
          <w14:ligatures w14:val="none"/>
        </w:rPr>
        <w:t>, Isfahan University of Medical of science.</w:t>
      </w:r>
    </w:p>
    <w:p w14:paraId="4AEAEFBA" w14:textId="77777777" w:rsidR="00472F4C" w:rsidRPr="00154C9E" w:rsidRDefault="00472F4C" w:rsidP="00154C9E">
      <w:pPr>
        <w:pStyle w:val="Heading3"/>
        <w:shd w:val="clear" w:color="auto" w:fill="FFFFFF"/>
        <w:spacing w:line="360" w:lineRule="auto"/>
        <w:jc w:val="both"/>
        <w:rPr>
          <w:rFonts w:asciiTheme="majorBidi" w:hAnsiTheme="majorBidi" w:cstheme="majorBidi"/>
          <w:sz w:val="24"/>
          <w:szCs w:val="24"/>
          <w:rtl/>
        </w:rPr>
      </w:pPr>
      <w:r w:rsidRPr="00154C9E">
        <w:rPr>
          <w:rFonts w:asciiTheme="majorBidi" w:hAnsiTheme="majorBidi" w:cstheme="majorBidi"/>
          <w:sz w:val="24"/>
          <w:szCs w:val="24"/>
        </w:rPr>
        <w:t>Rationale &amp; background information</w:t>
      </w:r>
    </w:p>
    <w:p w14:paraId="26559B2E" w14:textId="0952D3B4" w:rsidR="00472F4C" w:rsidRPr="00154C9E" w:rsidRDefault="002500E7" w:rsidP="00154C9E">
      <w:pPr>
        <w:pStyle w:val="Heading3"/>
        <w:shd w:val="clear" w:color="auto" w:fill="FFFFFF"/>
        <w:spacing w:line="360" w:lineRule="auto"/>
        <w:jc w:val="both"/>
        <w:rPr>
          <w:rFonts w:asciiTheme="majorBidi" w:hAnsiTheme="majorBidi" w:cstheme="majorBidi"/>
          <w:b w:val="0"/>
          <w:bCs w:val="0"/>
          <w:sz w:val="24"/>
          <w:szCs w:val="24"/>
        </w:rPr>
      </w:pPr>
      <w:r w:rsidRPr="00154C9E">
        <w:rPr>
          <w:rFonts w:asciiTheme="majorBidi" w:hAnsiTheme="majorBidi" w:cstheme="majorBidi"/>
          <w:b w:val="0"/>
          <w:bCs w:val="0"/>
          <w:sz w:val="24"/>
          <w:szCs w:val="24"/>
        </w:rPr>
        <w:t xml:space="preserve">Type 2 diabetes mellitus (T2DM) is a growing global health issue. The disease imposes high healthcare costs and deteriorates the patients’ quality of life. The International Diabetes Federation estimates that there are currently 425 million diabetics worldwide and the number will increase to 629 million by </w:t>
      </w:r>
      <w:r w:rsidR="009311E4" w:rsidRPr="00154C9E">
        <w:rPr>
          <w:rFonts w:asciiTheme="majorBidi" w:hAnsiTheme="majorBidi" w:cstheme="majorBidi"/>
          <w:b w:val="0"/>
          <w:bCs w:val="0"/>
          <w:sz w:val="24"/>
          <w:szCs w:val="24"/>
        </w:rPr>
        <w:t>2045.</w:t>
      </w:r>
      <w:r w:rsidRPr="00154C9E">
        <w:rPr>
          <w:rFonts w:asciiTheme="majorBidi" w:hAnsiTheme="majorBidi" w:cstheme="majorBidi"/>
          <w:b w:val="0"/>
          <w:bCs w:val="0"/>
          <w:sz w:val="24"/>
          <w:szCs w:val="24"/>
        </w:rPr>
        <w:t xml:space="preserve"> Diabetes and insulin resistance are associated with oxidative stress, a pathogenic </w:t>
      </w:r>
      <w:r w:rsidR="009311E4" w:rsidRPr="00154C9E">
        <w:rPr>
          <w:rFonts w:asciiTheme="majorBidi" w:hAnsiTheme="majorBidi" w:cstheme="majorBidi"/>
          <w:b w:val="0"/>
          <w:bCs w:val="0"/>
          <w:sz w:val="24"/>
          <w:szCs w:val="24"/>
        </w:rPr>
        <w:t>mechanism,</w:t>
      </w:r>
      <w:r w:rsidRPr="00154C9E">
        <w:rPr>
          <w:rFonts w:asciiTheme="majorBidi" w:hAnsiTheme="majorBidi" w:cstheme="majorBidi"/>
          <w:b w:val="0"/>
          <w:bCs w:val="0"/>
          <w:sz w:val="24"/>
          <w:szCs w:val="24"/>
        </w:rPr>
        <w:t xml:space="preserve"> which elevates the risk of T2DM complications including nephropathy, neuropathy, retinopathy, and accelerated coronary artery disease. Researches have demonstrated that high glucose levels by </w:t>
      </w:r>
      <w:proofErr w:type="spellStart"/>
      <w:r w:rsidRPr="00154C9E">
        <w:rPr>
          <w:rFonts w:asciiTheme="majorBidi" w:hAnsiTheme="majorBidi" w:cstheme="majorBidi"/>
          <w:b w:val="0"/>
          <w:bCs w:val="0"/>
          <w:sz w:val="24"/>
          <w:szCs w:val="24"/>
        </w:rPr>
        <w:t>fring</w:t>
      </w:r>
      <w:proofErr w:type="spellEnd"/>
      <w:r w:rsidRPr="00154C9E">
        <w:rPr>
          <w:rFonts w:asciiTheme="majorBidi" w:hAnsiTheme="majorBidi" w:cstheme="majorBidi"/>
          <w:b w:val="0"/>
          <w:bCs w:val="0"/>
          <w:sz w:val="24"/>
          <w:szCs w:val="24"/>
        </w:rPr>
        <w:t xml:space="preserve"> reactive oxygen </w:t>
      </w:r>
      <w:r w:rsidR="009311E4" w:rsidRPr="00154C9E">
        <w:rPr>
          <w:rFonts w:asciiTheme="majorBidi" w:hAnsiTheme="majorBidi" w:cstheme="majorBidi"/>
          <w:b w:val="0"/>
          <w:bCs w:val="0"/>
          <w:sz w:val="24"/>
          <w:szCs w:val="24"/>
        </w:rPr>
        <w:t>species (</w:t>
      </w:r>
      <w:r w:rsidRPr="00154C9E">
        <w:rPr>
          <w:rFonts w:asciiTheme="majorBidi" w:hAnsiTheme="majorBidi" w:cstheme="majorBidi"/>
          <w:b w:val="0"/>
          <w:bCs w:val="0"/>
          <w:sz w:val="24"/>
          <w:szCs w:val="24"/>
        </w:rPr>
        <w:t xml:space="preserve">ROS) result in B-cell damages and lead to impaired insulin release and insulin resistance. The antioxidant protect system is accountable for the neutralization of ROS. T2DM is currently managed by lifestyle </w:t>
      </w:r>
      <w:r w:rsidR="009311E4" w:rsidRPr="00154C9E">
        <w:rPr>
          <w:rFonts w:asciiTheme="majorBidi" w:hAnsiTheme="majorBidi" w:cstheme="majorBidi"/>
          <w:b w:val="0"/>
          <w:bCs w:val="0"/>
          <w:sz w:val="24"/>
          <w:szCs w:val="24"/>
        </w:rPr>
        <w:t>modification</w:t>
      </w:r>
      <w:r w:rsidRPr="00154C9E">
        <w:rPr>
          <w:rFonts w:asciiTheme="majorBidi" w:hAnsiTheme="majorBidi" w:cstheme="majorBidi"/>
          <w:b w:val="0"/>
          <w:bCs w:val="0"/>
          <w:sz w:val="24"/>
          <w:szCs w:val="24"/>
        </w:rPr>
        <w:t xml:space="preserve"> and increased physical inactivity. Drug therapy becomes necessary over time to ensure reasonable glycemic control. Medical nutrition therapy has been recommended as an </w:t>
      </w:r>
      <w:r w:rsidR="009311E4" w:rsidRPr="00154C9E">
        <w:rPr>
          <w:rFonts w:asciiTheme="majorBidi" w:hAnsiTheme="majorBidi" w:cstheme="majorBidi"/>
          <w:b w:val="0"/>
          <w:bCs w:val="0"/>
          <w:sz w:val="24"/>
          <w:szCs w:val="24"/>
        </w:rPr>
        <w:t>effective</w:t>
      </w:r>
      <w:r w:rsidRPr="00154C9E">
        <w:rPr>
          <w:rFonts w:asciiTheme="majorBidi" w:hAnsiTheme="majorBidi" w:cstheme="majorBidi"/>
          <w:b w:val="0"/>
          <w:bCs w:val="0"/>
          <w:sz w:val="24"/>
          <w:szCs w:val="24"/>
        </w:rPr>
        <w:t xml:space="preserve"> method of controlling blood glucose levels in patients with T2DM avoiding the side </w:t>
      </w:r>
      <w:r w:rsidR="009311E4" w:rsidRPr="00154C9E">
        <w:rPr>
          <w:rFonts w:asciiTheme="majorBidi" w:hAnsiTheme="majorBidi" w:cstheme="majorBidi"/>
          <w:b w:val="0"/>
          <w:bCs w:val="0"/>
          <w:sz w:val="24"/>
          <w:szCs w:val="24"/>
        </w:rPr>
        <w:t>effects</w:t>
      </w:r>
      <w:r w:rsidRPr="00154C9E">
        <w:rPr>
          <w:rFonts w:asciiTheme="majorBidi" w:hAnsiTheme="majorBidi" w:cstheme="majorBidi"/>
          <w:b w:val="0"/>
          <w:bCs w:val="0"/>
          <w:sz w:val="24"/>
          <w:szCs w:val="24"/>
        </w:rPr>
        <w:t xml:space="preserve"> of medication. Considering the </w:t>
      </w:r>
      <w:r w:rsidR="009311E4" w:rsidRPr="00154C9E">
        <w:rPr>
          <w:rFonts w:asciiTheme="majorBidi" w:hAnsiTheme="majorBidi" w:cstheme="majorBidi"/>
          <w:b w:val="0"/>
          <w:bCs w:val="0"/>
          <w:sz w:val="24"/>
          <w:szCs w:val="24"/>
        </w:rPr>
        <w:t>confirmed</w:t>
      </w:r>
      <w:r w:rsidRPr="00154C9E">
        <w:rPr>
          <w:rFonts w:asciiTheme="majorBidi" w:hAnsiTheme="majorBidi" w:cstheme="majorBidi"/>
          <w:b w:val="0"/>
          <w:bCs w:val="0"/>
          <w:sz w:val="24"/>
          <w:szCs w:val="24"/>
        </w:rPr>
        <w:t xml:space="preserve"> </w:t>
      </w:r>
      <w:r w:rsidR="009311E4" w:rsidRPr="00154C9E">
        <w:rPr>
          <w:rFonts w:asciiTheme="majorBidi" w:hAnsiTheme="majorBidi" w:cstheme="majorBidi"/>
          <w:b w:val="0"/>
          <w:bCs w:val="0"/>
          <w:sz w:val="24"/>
          <w:szCs w:val="24"/>
        </w:rPr>
        <w:t>benefits</w:t>
      </w:r>
      <w:r w:rsidRPr="00154C9E">
        <w:rPr>
          <w:rFonts w:asciiTheme="majorBidi" w:hAnsiTheme="majorBidi" w:cstheme="majorBidi"/>
          <w:b w:val="0"/>
          <w:bCs w:val="0"/>
          <w:sz w:val="24"/>
          <w:szCs w:val="24"/>
        </w:rPr>
        <w:t xml:space="preserve"> of functional food components, these compounds can be a part of public health diet behaviors. Functional food, apart from its main nutritional functions, provides </w:t>
      </w:r>
      <w:r w:rsidR="009311E4" w:rsidRPr="00154C9E">
        <w:rPr>
          <w:rFonts w:asciiTheme="majorBidi" w:hAnsiTheme="majorBidi" w:cstheme="majorBidi"/>
          <w:b w:val="0"/>
          <w:bCs w:val="0"/>
          <w:sz w:val="24"/>
          <w:szCs w:val="24"/>
        </w:rPr>
        <w:lastRenderedPageBreak/>
        <w:t>significant</w:t>
      </w:r>
      <w:r w:rsidRPr="00154C9E">
        <w:rPr>
          <w:rFonts w:asciiTheme="majorBidi" w:hAnsiTheme="majorBidi" w:cstheme="majorBidi"/>
          <w:b w:val="0"/>
          <w:bCs w:val="0"/>
          <w:sz w:val="24"/>
          <w:szCs w:val="24"/>
        </w:rPr>
        <w:t xml:space="preserve"> physiological and healthy </w:t>
      </w:r>
      <w:r w:rsidR="009311E4" w:rsidRPr="00154C9E">
        <w:rPr>
          <w:rFonts w:asciiTheme="majorBidi" w:hAnsiTheme="majorBidi" w:cstheme="majorBidi"/>
          <w:b w:val="0"/>
          <w:bCs w:val="0"/>
          <w:sz w:val="24"/>
          <w:szCs w:val="24"/>
        </w:rPr>
        <w:t>benefits</w:t>
      </w:r>
      <w:r w:rsidRPr="00154C9E">
        <w:rPr>
          <w:rFonts w:asciiTheme="majorBidi" w:hAnsiTheme="majorBidi" w:cstheme="majorBidi"/>
          <w:b w:val="0"/>
          <w:bCs w:val="0"/>
          <w:sz w:val="24"/>
          <w:szCs w:val="24"/>
        </w:rPr>
        <w:t xml:space="preserve">. PPP is discussed as a functional food and a nutritious by-product. Based on previous systematic reviews, PPP consumption has a positive association with chronic disease </w:t>
      </w:r>
      <w:r w:rsidR="009311E4" w:rsidRPr="00154C9E">
        <w:rPr>
          <w:rFonts w:asciiTheme="majorBidi" w:hAnsiTheme="majorBidi" w:cstheme="majorBidi"/>
          <w:b w:val="0"/>
          <w:bCs w:val="0"/>
          <w:sz w:val="24"/>
          <w:szCs w:val="24"/>
        </w:rPr>
        <w:t>prevention.</w:t>
      </w:r>
      <w:r w:rsidRPr="00154C9E">
        <w:rPr>
          <w:rFonts w:asciiTheme="majorBidi" w:hAnsiTheme="majorBidi" w:cstheme="majorBidi"/>
          <w:b w:val="0"/>
          <w:bCs w:val="0"/>
          <w:sz w:val="24"/>
          <w:szCs w:val="24"/>
        </w:rPr>
        <w:t xml:space="preserve"> PPP possesses anti-</w:t>
      </w:r>
      <w:r w:rsidR="009311E4" w:rsidRPr="00154C9E">
        <w:rPr>
          <w:rFonts w:asciiTheme="majorBidi" w:hAnsiTheme="majorBidi" w:cstheme="majorBidi"/>
          <w:b w:val="0"/>
          <w:bCs w:val="0"/>
          <w:sz w:val="24"/>
          <w:szCs w:val="24"/>
        </w:rPr>
        <w:t>inflammatory</w:t>
      </w:r>
      <w:r w:rsidRPr="00154C9E">
        <w:rPr>
          <w:rFonts w:asciiTheme="majorBidi" w:hAnsiTheme="majorBidi" w:cstheme="majorBidi"/>
          <w:b w:val="0"/>
          <w:bCs w:val="0"/>
          <w:sz w:val="24"/>
          <w:szCs w:val="24"/>
        </w:rPr>
        <w:t xml:space="preserve">, hypoglycemic, anti-apoptotic, and prebiotic </w:t>
      </w:r>
      <w:r w:rsidR="009311E4" w:rsidRPr="00154C9E">
        <w:rPr>
          <w:rFonts w:asciiTheme="majorBidi" w:hAnsiTheme="majorBidi" w:cstheme="majorBidi"/>
          <w:b w:val="0"/>
          <w:bCs w:val="0"/>
          <w:sz w:val="24"/>
          <w:szCs w:val="24"/>
        </w:rPr>
        <w:t>properties.</w:t>
      </w:r>
      <w:r w:rsidRPr="00154C9E">
        <w:rPr>
          <w:rFonts w:asciiTheme="majorBidi" w:hAnsiTheme="majorBidi" w:cstheme="majorBidi"/>
          <w:b w:val="0"/>
          <w:bCs w:val="0"/>
          <w:sz w:val="24"/>
          <w:szCs w:val="24"/>
        </w:rPr>
        <w:t xml:space="preserve"> Studies have demonstrated that adherence to pomegranate peel extract reduces the risk of systolic blood pressure, </w:t>
      </w:r>
      <w:proofErr w:type="spellStart"/>
      <w:r w:rsidRPr="00154C9E">
        <w:rPr>
          <w:rFonts w:asciiTheme="majorBidi" w:hAnsiTheme="majorBidi" w:cstheme="majorBidi"/>
          <w:b w:val="0"/>
          <w:bCs w:val="0"/>
          <w:sz w:val="24"/>
          <w:szCs w:val="24"/>
        </w:rPr>
        <w:t>hs</w:t>
      </w:r>
      <w:proofErr w:type="spellEnd"/>
      <w:r w:rsidRPr="00154C9E">
        <w:rPr>
          <w:rFonts w:asciiTheme="majorBidi" w:hAnsiTheme="majorBidi" w:cstheme="majorBidi"/>
          <w:b w:val="0"/>
          <w:bCs w:val="0"/>
          <w:sz w:val="24"/>
          <w:szCs w:val="24"/>
        </w:rPr>
        <w:t xml:space="preserve">-CRP, and Total cholesterol serum levels. This is in line with the </w:t>
      </w:r>
      <w:proofErr w:type="spellStart"/>
      <w:r w:rsidRPr="00154C9E">
        <w:rPr>
          <w:rFonts w:asciiTheme="majorBidi" w:hAnsiTheme="majorBidi" w:cstheme="majorBidi"/>
          <w:b w:val="0"/>
          <w:bCs w:val="0"/>
          <w:sz w:val="24"/>
          <w:szCs w:val="24"/>
        </w:rPr>
        <w:t>Rafraf</w:t>
      </w:r>
      <w:proofErr w:type="spellEnd"/>
      <w:r w:rsidRPr="00154C9E">
        <w:rPr>
          <w:rFonts w:asciiTheme="majorBidi" w:hAnsiTheme="majorBidi" w:cstheme="majorBidi"/>
          <w:b w:val="0"/>
          <w:bCs w:val="0"/>
          <w:sz w:val="24"/>
          <w:szCs w:val="24"/>
        </w:rPr>
        <w:t xml:space="preserve"> study, in which intake of (500 mg) twice daily for two months was associated with decreased Cholesterol, TG, MDA, and TAC levels. PPP consists of an internal network of membranes that makes up almost 30% of the total weight of the fruit. It contains not only f</w:t>
      </w:r>
      <w:r w:rsidR="009C71C9" w:rsidRPr="00154C9E">
        <w:rPr>
          <w:rFonts w:asciiTheme="majorBidi" w:hAnsiTheme="majorBidi" w:cstheme="majorBidi"/>
          <w:b w:val="0"/>
          <w:bCs w:val="0"/>
          <w:sz w:val="24"/>
          <w:szCs w:val="24"/>
        </w:rPr>
        <w:t>i</w:t>
      </w:r>
      <w:r w:rsidRPr="00154C9E">
        <w:rPr>
          <w:rFonts w:asciiTheme="majorBidi" w:hAnsiTheme="majorBidi" w:cstheme="majorBidi"/>
          <w:b w:val="0"/>
          <w:bCs w:val="0"/>
          <w:sz w:val="24"/>
          <w:szCs w:val="24"/>
        </w:rPr>
        <w:t xml:space="preserve">ber, also, ellagic acid, gallic acid and punicalagin. In addition to their free radical-scavenging properties. Also, it </w:t>
      </w:r>
      <w:r w:rsidR="009311E4" w:rsidRPr="00154C9E">
        <w:rPr>
          <w:rFonts w:asciiTheme="majorBidi" w:hAnsiTheme="majorBidi" w:cstheme="majorBidi"/>
          <w:b w:val="0"/>
          <w:bCs w:val="0"/>
          <w:sz w:val="24"/>
          <w:szCs w:val="24"/>
        </w:rPr>
        <w:t>possesses</w:t>
      </w:r>
      <w:r w:rsidRPr="00154C9E">
        <w:rPr>
          <w:rFonts w:asciiTheme="majorBidi" w:hAnsiTheme="majorBidi" w:cstheme="majorBidi"/>
          <w:b w:val="0"/>
          <w:bCs w:val="0"/>
          <w:sz w:val="24"/>
          <w:szCs w:val="24"/>
        </w:rPr>
        <w:t xml:space="preserve"> antibacterial activities against intestinal fora, particularly enteric pathogens, i.e., Escherichia coli, </w:t>
      </w:r>
      <w:proofErr w:type="spellStart"/>
      <w:r w:rsidRPr="00154C9E">
        <w:rPr>
          <w:rFonts w:asciiTheme="majorBidi" w:hAnsiTheme="majorBidi" w:cstheme="majorBidi"/>
          <w:b w:val="0"/>
          <w:bCs w:val="0"/>
          <w:sz w:val="24"/>
          <w:szCs w:val="24"/>
        </w:rPr>
        <w:t>Shigellaspp</w:t>
      </w:r>
      <w:proofErr w:type="spellEnd"/>
      <w:r w:rsidRPr="00154C9E">
        <w:rPr>
          <w:rFonts w:asciiTheme="majorBidi" w:hAnsiTheme="majorBidi" w:cstheme="majorBidi"/>
          <w:b w:val="0"/>
          <w:bCs w:val="0"/>
          <w:sz w:val="24"/>
          <w:szCs w:val="24"/>
        </w:rPr>
        <w:t xml:space="preserve">., Salmonella </w:t>
      </w:r>
      <w:proofErr w:type="spellStart"/>
      <w:r w:rsidRPr="00154C9E">
        <w:rPr>
          <w:rFonts w:asciiTheme="majorBidi" w:hAnsiTheme="majorBidi" w:cstheme="majorBidi"/>
          <w:b w:val="0"/>
          <w:bCs w:val="0"/>
          <w:sz w:val="24"/>
          <w:szCs w:val="24"/>
        </w:rPr>
        <w:t>spp</w:t>
      </w:r>
      <w:proofErr w:type="spellEnd"/>
      <w:r w:rsidRPr="00154C9E">
        <w:rPr>
          <w:rFonts w:asciiTheme="majorBidi" w:hAnsiTheme="majorBidi" w:cstheme="majorBidi"/>
          <w:b w:val="0"/>
          <w:bCs w:val="0"/>
          <w:sz w:val="24"/>
          <w:szCs w:val="24"/>
        </w:rPr>
        <w:t xml:space="preserve"> and Vibrio cholerae.</w:t>
      </w:r>
    </w:p>
    <w:p w14:paraId="460DC6F1" w14:textId="77777777" w:rsidR="009C71C9" w:rsidRPr="00154C9E" w:rsidRDefault="009C71C9" w:rsidP="00154C9E">
      <w:pPr>
        <w:pStyle w:val="Heading3"/>
        <w:shd w:val="clear" w:color="auto" w:fill="FFFFFF"/>
        <w:spacing w:line="360" w:lineRule="auto"/>
        <w:jc w:val="both"/>
        <w:rPr>
          <w:rFonts w:asciiTheme="majorBidi" w:hAnsiTheme="majorBidi" w:cstheme="majorBidi"/>
          <w:color w:val="3C4245"/>
          <w:sz w:val="24"/>
          <w:szCs w:val="24"/>
        </w:rPr>
      </w:pPr>
      <w:r w:rsidRPr="00154C9E">
        <w:rPr>
          <w:rFonts w:asciiTheme="majorBidi" w:hAnsiTheme="majorBidi" w:cstheme="majorBidi"/>
          <w:color w:val="3C4245"/>
          <w:sz w:val="24"/>
          <w:szCs w:val="24"/>
        </w:rPr>
        <w:t>References (of literature cited in preceding sections)</w:t>
      </w:r>
    </w:p>
    <w:p w14:paraId="17A9F303" w14:textId="7256BC52" w:rsidR="00B53296" w:rsidRPr="00154C9E" w:rsidRDefault="009C71C9"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DeFronzo RA, </w:t>
      </w:r>
      <w:proofErr w:type="spellStart"/>
      <w:r w:rsidRPr="00154C9E">
        <w:rPr>
          <w:rFonts w:asciiTheme="majorBidi" w:hAnsiTheme="majorBidi" w:cstheme="majorBidi"/>
          <w:sz w:val="24"/>
          <w:szCs w:val="24"/>
        </w:rPr>
        <w:t>Ferrannini</w:t>
      </w:r>
      <w:proofErr w:type="spellEnd"/>
      <w:r w:rsidRPr="00154C9E">
        <w:rPr>
          <w:rFonts w:asciiTheme="majorBidi" w:hAnsiTheme="majorBidi" w:cstheme="majorBidi"/>
          <w:sz w:val="24"/>
          <w:szCs w:val="24"/>
        </w:rPr>
        <w:t xml:space="preserve"> E, Groop L, Henry RR, Herman WH, Holst JJ, et al. Type 2 diabetes mellitus. Nat Rev Dis Primers. 2015;1(1):1–22.</w:t>
      </w:r>
    </w:p>
    <w:p w14:paraId="27938878" w14:textId="69DC909D"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Guerrero-Fernández de Alba I, et al. Comorbidity in an older population with type-2 diabetes mellitus: </w:t>
      </w:r>
      <w:r w:rsidR="003D1E59" w:rsidRPr="00154C9E">
        <w:rPr>
          <w:rFonts w:asciiTheme="majorBidi" w:hAnsiTheme="majorBidi" w:cstheme="majorBidi"/>
          <w:sz w:val="24"/>
          <w:szCs w:val="24"/>
        </w:rPr>
        <w:t>identification</w:t>
      </w:r>
      <w:r w:rsidRPr="00154C9E">
        <w:rPr>
          <w:rFonts w:asciiTheme="majorBidi" w:hAnsiTheme="majorBidi" w:cstheme="majorBidi"/>
          <w:sz w:val="24"/>
          <w:szCs w:val="24"/>
        </w:rPr>
        <w:t xml:space="preserve"> of the characteristics and healthcare utilization of high-cost patients." Front </w:t>
      </w:r>
      <w:proofErr w:type="spellStart"/>
      <w:r w:rsidRPr="00154C9E">
        <w:rPr>
          <w:rFonts w:asciiTheme="majorBidi" w:hAnsiTheme="majorBidi" w:cstheme="majorBidi"/>
          <w:sz w:val="24"/>
          <w:szCs w:val="24"/>
        </w:rPr>
        <w:t>Pharmacol</w:t>
      </w:r>
      <w:proofErr w:type="spellEnd"/>
      <w:r w:rsidRPr="00154C9E">
        <w:rPr>
          <w:rFonts w:asciiTheme="majorBidi" w:hAnsiTheme="majorBidi" w:cstheme="majorBidi"/>
          <w:sz w:val="24"/>
          <w:szCs w:val="24"/>
        </w:rPr>
        <w:t>. </w:t>
      </w:r>
      <w:r w:rsidR="003D1E59" w:rsidRPr="00154C9E">
        <w:rPr>
          <w:rFonts w:asciiTheme="majorBidi" w:hAnsiTheme="majorBidi" w:cstheme="majorBidi"/>
          <w:sz w:val="24"/>
          <w:szCs w:val="24"/>
        </w:rPr>
        <w:t>2020; 11:586187</w:t>
      </w:r>
      <w:r w:rsidRPr="00154C9E">
        <w:rPr>
          <w:rFonts w:asciiTheme="majorBidi" w:hAnsiTheme="majorBidi" w:cstheme="majorBidi"/>
          <w:sz w:val="24"/>
          <w:szCs w:val="24"/>
        </w:rPr>
        <w:t>.</w:t>
      </w:r>
    </w:p>
    <w:p w14:paraId="07C87998" w14:textId="387370E4"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Mellitus D. Diagnosis and </w:t>
      </w:r>
      <w:r w:rsidR="003D1E59" w:rsidRPr="00154C9E">
        <w:rPr>
          <w:rFonts w:asciiTheme="majorBidi" w:hAnsiTheme="majorBidi" w:cstheme="majorBidi"/>
          <w:sz w:val="24"/>
          <w:szCs w:val="24"/>
        </w:rPr>
        <w:t>classification</w:t>
      </w:r>
      <w:r w:rsidRPr="00154C9E">
        <w:rPr>
          <w:rFonts w:asciiTheme="majorBidi" w:hAnsiTheme="majorBidi" w:cstheme="majorBidi"/>
          <w:sz w:val="24"/>
          <w:szCs w:val="24"/>
        </w:rPr>
        <w:t xml:space="preserve"> of diabetes mellitus. Diabetes Care. 2006;</w:t>
      </w:r>
      <w:r w:rsidR="003D1E59" w:rsidRPr="00154C9E">
        <w:rPr>
          <w:rFonts w:asciiTheme="majorBidi" w:hAnsiTheme="majorBidi" w:cstheme="majorBidi"/>
          <w:sz w:val="24"/>
          <w:szCs w:val="24"/>
        </w:rPr>
        <w:t>29: S</w:t>
      </w:r>
      <w:r w:rsidRPr="00154C9E">
        <w:rPr>
          <w:rFonts w:asciiTheme="majorBidi" w:hAnsiTheme="majorBidi" w:cstheme="majorBidi"/>
          <w:sz w:val="24"/>
          <w:szCs w:val="24"/>
        </w:rPr>
        <w:t>43.</w:t>
      </w:r>
    </w:p>
    <w:p w14:paraId="1BC47F74" w14:textId="6F188EDF"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Hurrle S, Hsu WH. The etiology of oxidative stress in insulin resistance. Biomed J. 2017;40(5):257–62.</w:t>
      </w:r>
    </w:p>
    <w:p w14:paraId="72EF0DB2" w14:textId="24A857D8"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proofErr w:type="spellStart"/>
      <w:r w:rsidRPr="00154C9E">
        <w:rPr>
          <w:rFonts w:asciiTheme="majorBidi" w:hAnsiTheme="majorBidi" w:cstheme="majorBidi"/>
          <w:sz w:val="24"/>
          <w:szCs w:val="24"/>
        </w:rPr>
        <w:t>Matough</w:t>
      </w:r>
      <w:proofErr w:type="spellEnd"/>
      <w:r w:rsidRPr="00154C9E">
        <w:rPr>
          <w:rFonts w:asciiTheme="majorBidi" w:hAnsiTheme="majorBidi" w:cstheme="majorBidi"/>
          <w:sz w:val="24"/>
          <w:szCs w:val="24"/>
        </w:rPr>
        <w:t xml:space="preserve"> FA, Budin SB, Hamid ZA, </w:t>
      </w:r>
      <w:proofErr w:type="spellStart"/>
      <w:r w:rsidRPr="00154C9E">
        <w:rPr>
          <w:rFonts w:asciiTheme="majorBidi" w:hAnsiTheme="majorBidi" w:cstheme="majorBidi"/>
          <w:sz w:val="24"/>
          <w:szCs w:val="24"/>
        </w:rPr>
        <w:t>Alwahaibi</w:t>
      </w:r>
      <w:proofErr w:type="spellEnd"/>
      <w:r w:rsidRPr="00154C9E">
        <w:rPr>
          <w:rFonts w:asciiTheme="majorBidi" w:hAnsiTheme="majorBidi" w:cstheme="majorBidi"/>
          <w:sz w:val="24"/>
          <w:szCs w:val="24"/>
        </w:rPr>
        <w:t xml:space="preserve"> N, Mohamed J. The role of oxidative stress and antioxidants in diabetic complications. Sultan Qaboos Univ Med J. 2012;12(1):5.</w:t>
      </w:r>
    </w:p>
    <w:p w14:paraId="7DBD5412" w14:textId="78AE5F62"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McGavock J, Dart A, </w:t>
      </w:r>
      <w:proofErr w:type="spellStart"/>
      <w:r w:rsidRPr="00154C9E">
        <w:rPr>
          <w:rFonts w:asciiTheme="majorBidi" w:hAnsiTheme="majorBidi" w:cstheme="majorBidi"/>
          <w:sz w:val="24"/>
          <w:szCs w:val="24"/>
        </w:rPr>
        <w:t>Wicklow</w:t>
      </w:r>
      <w:proofErr w:type="spellEnd"/>
      <w:r w:rsidRPr="00154C9E">
        <w:rPr>
          <w:rFonts w:asciiTheme="majorBidi" w:hAnsiTheme="majorBidi" w:cstheme="majorBidi"/>
          <w:sz w:val="24"/>
          <w:szCs w:val="24"/>
        </w:rPr>
        <w:t xml:space="preserve"> B. Lifestyle therapy for the treatment of youth with type 2 diabetes. </w:t>
      </w:r>
      <w:proofErr w:type="spellStart"/>
      <w:r w:rsidRPr="00154C9E">
        <w:rPr>
          <w:rFonts w:asciiTheme="majorBidi" w:hAnsiTheme="majorBidi" w:cstheme="majorBidi"/>
          <w:sz w:val="24"/>
          <w:szCs w:val="24"/>
        </w:rPr>
        <w:t>Curr</w:t>
      </w:r>
      <w:proofErr w:type="spellEnd"/>
      <w:r w:rsidRPr="00154C9E">
        <w:rPr>
          <w:rFonts w:asciiTheme="majorBidi" w:hAnsiTheme="majorBidi" w:cstheme="majorBidi"/>
          <w:sz w:val="24"/>
          <w:szCs w:val="24"/>
        </w:rPr>
        <w:t xml:space="preserve"> </w:t>
      </w:r>
      <w:proofErr w:type="spellStart"/>
      <w:r w:rsidRPr="00154C9E">
        <w:rPr>
          <w:rFonts w:asciiTheme="majorBidi" w:hAnsiTheme="majorBidi" w:cstheme="majorBidi"/>
          <w:sz w:val="24"/>
          <w:szCs w:val="24"/>
        </w:rPr>
        <w:t>DiabRep</w:t>
      </w:r>
      <w:proofErr w:type="spellEnd"/>
      <w:r w:rsidRPr="00154C9E">
        <w:rPr>
          <w:rFonts w:asciiTheme="majorBidi" w:hAnsiTheme="majorBidi" w:cstheme="majorBidi"/>
          <w:sz w:val="24"/>
          <w:szCs w:val="24"/>
        </w:rPr>
        <w:t>. 2015;15(1):568</w:t>
      </w:r>
    </w:p>
    <w:p w14:paraId="3F1E1A0A" w14:textId="1B6C7FE2"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Early KB, Stanley K. Position of the Academy of Nutrition and Dietetics: the role of medical nutrition therapy and registered dietitian nutritionists in the prevention and treatment of prediabetes and type 2 diabetes. J </w:t>
      </w:r>
      <w:proofErr w:type="spellStart"/>
      <w:r w:rsidRPr="00154C9E">
        <w:rPr>
          <w:rFonts w:asciiTheme="majorBidi" w:hAnsiTheme="majorBidi" w:cstheme="majorBidi"/>
          <w:sz w:val="24"/>
          <w:szCs w:val="24"/>
        </w:rPr>
        <w:t>Acad</w:t>
      </w:r>
      <w:proofErr w:type="spellEnd"/>
      <w:r w:rsidRPr="00154C9E">
        <w:rPr>
          <w:rFonts w:asciiTheme="majorBidi" w:hAnsiTheme="majorBidi" w:cstheme="majorBidi"/>
          <w:sz w:val="24"/>
          <w:szCs w:val="24"/>
        </w:rPr>
        <w:t xml:space="preserve"> </w:t>
      </w:r>
      <w:proofErr w:type="spellStart"/>
      <w:r w:rsidRPr="00154C9E">
        <w:rPr>
          <w:rFonts w:asciiTheme="majorBidi" w:hAnsiTheme="majorBidi" w:cstheme="majorBidi"/>
          <w:sz w:val="24"/>
          <w:szCs w:val="24"/>
        </w:rPr>
        <w:t>Nutr</w:t>
      </w:r>
      <w:proofErr w:type="spellEnd"/>
      <w:r w:rsidRPr="00154C9E">
        <w:rPr>
          <w:rFonts w:asciiTheme="majorBidi" w:hAnsiTheme="majorBidi" w:cstheme="majorBidi"/>
          <w:sz w:val="24"/>
          <w:szCs w:val="24"/>
        </w:rPr>
        <w:t xml:space="preserve"> Diet. 2018;118(2):343–53.</w:t>
      </w:r>
    </w:p>
    <w:p w14:paraId="5668EE66" w14:textId="790D9AB6"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lastRenderedPageBreak/>
        <w:t xml:space="preserve">Moreira-Rosário A, et al. Can wheat germ have a </w:t>
      </w:r>
      <w:r w:rsidR="0005492C" w:rsidRPr="00154C9E">
        <w:rPr>
          <w:rFonts w:asciiTheme="majorBidi" w:hAnsiTheme="majorBidi" w:cstheme="majorBidi"/>
          <w:sz w:val="24"/>
          <w:szCs w:val="24"/>
        </w:rPr>
        <w:t>beneficial</w:t>
      </w:r>
      <w:r w:rsidRPr="00154C9E">
        <w:rPr>
          <w:rFonts w:asciiTheme="majorBidi" w:hAnsiTheme="majorBidi" w:cstheme="majorBidi"/>
          <w:sz w:val="24"/>
          <w:szCs w:val="24"/>
        </w:rPr>
        <w:t xml:space="preserve"> </w:t>
      </w:r>
      <w:r w:rsidR="0005492C" w:rsidRPr="00154C9E">
        <w:rPr>
          <w:rFonts w:asciiTheme="majorBidi" w:hAnsiTheme="majorBidi" w:cstheme="majorBidi"/>
          <w:sz w:val="24"/>
          <w:szCs w:val="24"/>
        </w:rPr>
        <w:t>effect</w:t>
      </w:r>
      <w:r w:rsidRPr="00154C9E">
        <w:rPr>
          <w:rFonts w:asciiTheme="majorBidi" w:hAnsiTheme="majorBidi" w:cstheme="majorBidi"/>
          <w:sz w:val="24"/>
          <w:szCs w:val="24"/>
        </w:rPr>
        <w:t xml:space="preserve"> on human health? A study protocol for a randomized </w:t>
      </w:r>
      <w:r w:rsidR="0005492C" w:rsidRPr="00154C9E">
        <w:rPr>
          <w:rFonts w:asciiTheme="majorBidi" w:hAnsiTheme="majorBidi" w:cstheme="majorBidi"/>
          <w:sz w:val="24"/>
          <w:szCs w:val="24"/>
        </w:rPr>
        <w:t>crossover-controlled</w:t>
      </w:r>
      <w:r w:rsidRPr="00154C9E">
        <w:rPr>
          <w:rFonts w:asciiTheme="majorBidi" w:hAnsiTheme="majorBidi" w:cstheme="majorBidi"/>
          <w:sz w:val="24"/>
          <w:szCs w:val="24"/>
        </w:rPr>
        <w:t xml:space="preserve"> trial to evaluate its health </w:t>
      </w:r>
      <w:r w:rsidR="0005492C" w:rsidRPr="00154C9E">
        <w:rPr>
          <w:rFonts w:asciiTheme="majorBidi" w:hAnsiTheme="majorBidi" w:cstheme="majorBidi"/>
          <w:sz w:val="24"/>
          <w:szCs w:val="24"/>
        </w:rPr>
        <w:t>effects</w:t>
      </w:r>
      <w:r w:rsidRPr="00154C9E">
        <w:rPr>
          <w:rFonts w:asciiTheme="majorBidi" w:hAnsiTheme="majorBidi" w:cstheme="majorBidi"/>
          <w:sz w:val="24"/>
          <w:szCs w:val="24"/>
        </w:rPr>
        <w:t>. BMJ Open. 2016;6(11</w:t>
      </w:r>
      <w:r w:rsidR="0005492C" w:rsidRPr="00154C9E">
        <w:rPr>
          <w:rFonts w:asciiTheme="majorBidi" w:hAnsiTheme="majorBidi" w:cstheme="majorBidi"/>
          <w:sz w:val="24"/>
          <w:szCs w:val="24"/>
        </w:rPr>
        <w:t>): e</w:t>
      </w:r>
      <w:r w:rsidRPr="00154C9E">
        <w:rPr>
          <w:rFonts w:asciiTheme="majorBidi" w:hAnsiTheme="majorBidi" w:cstheme="majorBidi"/>
          <w:sz w:val="24"/>
          <w:szCs w:val="24"/>
        </w:rPr>
        <w:t>013098.</w:t>
      </w:r>
    </w:p>
    <w:p w14:paraId="20E0397D" w14:textId="1246CEFD"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proofErr w:type="spellStart"/>
      <w:r w:rsidRPr="00154C9E">
        <w:rPr>
          <w:rFonts w:asciiTheme="majorBidi" w:hAnsiTheme="majorBidi" w:cstheme="majorBidi"/>
          <w:sz w:val="24"/>
          <w:szCs w:val="24"/>
        </w:rPr>
        <w:t>Viuda</w:t>
      </w:r>
      <w:proofErr w:type="spellEnd"/>
      <w:r w:rsidRPr="00154C9E">
        <w:rPr>
          <w:rFonts w:asciiTheme="majorBidi" w:hAnsiTheme="majorBidi" w:cstheme="majorBidi"/>
          <w:sz w:val="24"/>
          <w:szCs w:val="24"/>
        </w:rPr>
        <w:t xml:space="preserve">-Martos M, et al. Role of </w:t>
      </w:r>
      <w:r w:rsidR="0005492C" w:rsidRPr="00154C9E">
        <w:rPr>
          <w:rFonts w:asciiTheme="majorBidi" w:hAnsiTheme="majorBidi" w:cstheme="majorBidi"/>
          <w:sz w:val="24"/>
          <w:szCs w:val="24"/>
        </w:rPr>
        <w:t>fiber</w:t>
      </w:r>
      <w:r w:rsidRPr="00154C9E">
        <w:rPr>
          <w:rFonts w:asciiTheme="majorBidi" w:hAnsiTheme="majorBidi" w:cstheme="majorBidi"/>
          <w:sz w:val="24"/>
          <w:szCs w:val="24"/>
        </w:rPr>
        <w:t xml:space="preserve"> in cardiovascular diseases: a review. </w:t>
      </w:r>
      <w:proofErr w:type="spellStart"/>
      <w:r w:rsidRPr="00154C9E">
        <w:rPr>
          <w:rFonts w:asciiTheme="majorBidi" w:hAnsiTheme="majorBidi" w:cstheme="majorBidi"/>
          <w:sz w:val="24"/>
          <w:szCs w:val="24"/>
        </w:rPr>
        <w:t>Compr</w:t>
      </w:r>
      <w:proofErr w:type="spellEnd"/>
      <w:r w:rsidRPr="00154C9E">
        <w:rPr>
          <w:rFonts w:asciiTheme="majorBidi" w:hAnsiTheme="majorBidi" w:cstheme="majorBidi"/>
          <w:sz w:val="24"/>
          <w:szCs w:val="24"/>
        </w:rPr>
        <w:t xml:space="preserve"> Rev Food Sci Food </w:t>
      </w:r>
      <w:proofErr w:type="spellStart"/>
      <w:r w:rsidRPr="00154C9E">
        <w:rPr>
          <w:rFonts w:asciiTheme="majorBidi" w:hAnsiTheme="majorBidi" w:cstheme="majorBidi"/>
          <w:sz w:val="24"/>
          <w:szCs w:val="24"/>
        </w:rPr>
        <w:t>Saf</w:t>
      </w:r>
      <w:proofErr w:type="spellEnd"/>
      <w:r w:rsidRPr="00154C9E">
        <w:rPr>
          <w:rFonts w:asciiTheme="majorBidi" w:hAnsiTheme="majorBidi" w:cstheme="majorBidi"/>
          <w:sz w:val="24"/>
          <w:szCs w:val="24"/>
        </w:rPr>
        <w:t>. 2010;9(2):240–58.</w:t>
      </w:r>
    </w:p>
    <w:p w14:paraId="21A6D9D4" w14:textId="24EC6853" w:rsidR="00142F25" w:rsidRPr="00154C9E" w:rsidRDefault="00142F25" w:rsidP="00154C9E">
      <w:pPr>
        <w:pStyle w:val="ListParagraph"/>
        <w:numPr>
          <w:ilvl w:val="1"/>
          <w:numId w:val="1"/>
        </w:numPr>
        <w:spacing w:line="360" w:lineRule="auto"/>
        <w:jc w:val="both"/>
        <w:rPr>
          <w:rFonts w:asciiTheme="majorBidi" w:hAnsiTheme="majorBidi" w:cstheme="majorBidi"/>
          <w:sz w:val="24"/>
          <w:szCs w:val="24"/>
        </w:rPr>
      </w:pPr>
      <w:r w:rsidRPr="00154C9E">
        <w:rPr>
          <w:rFonts w:asciiTheme="majorBidi" w:hAnsiTheme="majorBidi" w:cstheme="majorBidi"/>
          <w:sz w:val="24"/>
          <w:szCs w:val="24"/>
        </w:rPr>
        <w:t xml:space="preserve">Ismail T, </w:t>
      </w:r>
      <w:proofErr w:type="spellStart"/>
      <w:r w:rsidRPr="00154C9E">
        <w:rPr>
          <w:rFonts w:asciiTheme="majorBidi" w:hAnsiTheme="majorBidi" w:cstheme="majorBidi"/>
          <w:sz w:val="24"/>
          <w:szCs w:val="24"/>
        </w:rPr>
        <w:t>Sestili</w:t>
      </w:r>
      <w:proofErr w:type="spellEnd"/>
      <w:r w:rsidRPr="00154C9E">
        <w:rPr>
          <w:rFonts w:asciiTheme="majorBidi" w:hAnsiTheme="majorBidi" w:cstheme="majorBidi"/>
          <w:sz w:val="24"/>
          <w:szCs w:val="24"/>
        </w:rPr>
        <w:t xml:space="preserve"> P, Akhtar S. Pomegranate peel and fruit extracts: a review of potential anti-</w:t>
      </w:r>
      <w:r w:rsidR="00E77E9B" w:rsidRPr="00154C9E">
        <w:rPr>
          <w:rFonts w:asciiTheme="majorBidi" w:hAnsiTheme="majorBidi" w:cstheme="majorBidi"/>
          <w:sz w:val="24"/>
          <w:szCs w:val="24"/>
        </w:rPr>
        <w:t>inflammatory</w:t>
      </w:r>
      <w:r w:rsidRPr="00154C9E">
        <w:rPr>
          <w:rFonts w:asciiTheme="majorBidi" w:hAnsiTheme="majorBidi" w:cstheme="majorBidi"/>
          <w:sz w:val="24"/>
          <w:szCs w:val="24"/>
        </w:rPr>
        <w:t xml:space="preserve"> and anti-infective </w:t>
      </w:r>
      <w:r w:rsidR="00E77E9B" w:rsidRPr="00154C9E">
        <w:rPr>
          <w:rFonts w:asciiTheme="majorBidi" w:hAnsiTheme="majorBidi" w:cstheme="majorBidi"/>
          <w:sz w:val="24"/>
          <w:szCs w:val="24"/>
        </w:rPr>
        <w:t>effects</w:t>
      </w:r>
      <w:r w:rsidRPr="00154C9E">
        <w:rPr>
          <w:rFonts w:asciiTheme="majorBidi" w:hAnsiTheme="majorBidi" w:cstheme="majorBidi"/>
          <w:sz w:val="24"/>
          <w:szCs w:val="24"/>
        </w:rPr>
        <w:t xml:space="preserve">. J </w:t>
      </w:r>
      <w:proofErr w:type="spellStart"/>
      <w:r w:rsidRPr="00154C9E">
        <w:rPr>
          <w:rFonts w:asciiTheme="majorBidi" w:hAnsiTheme="majorBidi" w:cstheme="majorBidi"/>
          <w:sz w:val="24"/>
          <w:szCs w:val="24"/>
        </w:rPr>
        <w:t>Ethnopharmacol</w:t>
      </w:r>
      <w:proofErr w:type="spellEnd"/>
      <w:r w:rsidRPr="00154C9E">
        <w:rPr>
          <w:rFonts w:asciiTheme="majorBidi" w:hAnsiTheme="majorBidi" w:cstheme="majorBidi"/>
          <w:sz w:val="24"/>
          <w:szCs w:val="24"/>
        </w:rPr>
        <w:t>. 2012;143(2):397–405.</w:t>
      </w:r>
    </w:p>
    <w:p w14:paraId="329F2383" w14:textId="77777777" w:rsidR="005454C0" w:rsidRPr="00E77E9B" w:rsidRDefault="005454C0" w:rsidP="00154C9E">
      <w:pPr>
        <w:pStyle w:val="Heading3"/>
        <w:shd w:val="clear" w:color="auto" w:fill="FFFFFF"/>
        <w:spacing w:line="360" w:lineRule="auto"/>
        <w:jc w:val="both"/>
        <w:rPr>
          <w:rFonts w:asciiTheme="majorBidi" w:hAnsiTheme="majorBidi" w:cstheme="majorBidi"/>
          <w:sz w:val="24"/>
          <w:szCs w:val="24"/>
        </w:rPr>
      </w:pPr>
      <w:r w:rsidRPr="00E77E9B">
        <w:rPr>
          <w:rFonts w:asciiTheme="majorBidi" w:hAnsiTheme="majorBidi" w:cstheme="majorBidi"/>
          <w:sz w:val="24"/>
          <w:szCs w:val="24"/>
        </w:rPr>
        <w:t>Study goals and objectives</w:t>
      </w:r>
    </w:p>
    <w:p w14:paraId="3E48A310" w14:textId="1E46EF6F" w:rsidR="005454C0" w:rsidRPr="00E77E9B" w:rsidRDefault="005454C0" w:rsidP="00E77E9B">
      <w:pPr>
        <w:spacing w:line="360" w:lineRule="auto"/>
        <w:jc w:val="both"/>
        <w:rPr>
          <w:rFonts w:asciiTheme="majorBidi" w:hAnsiTheme="majorBidi" w:cstheme="majorBidi"/>
          <w:sz w:val="24"/>
          <w:szCs w:val="24"/>
        </w:rPr>
      </w:pPr>
      <w:r w:rsidRPr="00E77E9B">
        <w:rPr>
          <w:rFonts w:asciiTheme="majorBidi" w:hAnsiTheme="majorBidi" w:cstheme="majorBidi"/>
          <w:b/>
          <w:bCs/>
          <w:sz w:val="24"/>
          <w:szCs w:val="24"/>
        </w:rPr>
        <w:t>Objectives</w:t>
      </w:r>
      <w:r w:rsidRPr="00E77E9B">
        <w:rPr>
          <w:rFonts w:asciiTheme="majorBidi" w:hAnsiTheme="majorBidi" w:cstheme="majorBidi"/>
          <w:sz w:val="24"/>
          <w:szCs w:val="24"/>
        </w:rPr>
        <w:t xml:space="preserve">: Since bread is an essential part of the most </w:t>
      </w:r>
      <w:r w:rsidR="0005492C" w:rsidRPr="00E77E9B">
        <w:rPr>
          <w:rFonts w:asciiTheme="majorBidi" w:hAnsiTheme="majorBidi" w:cstheme="majorBidi"/>
          <w:sz w:val="24"/>
          <w:szCs w:val="24"/>
        </w:rPr>
        <w:t>communities’</w:t>
      </w:r>
      <w:r w:rsidRPr="00E77E9B">
        <w:rPr>
          <w:rFonts w:asciiTheme="majorBidi" w:hAnsiTheme="majorBidi" w:cstheme="majorBidi"/>
          <w:sz w:val="24"/>
          <w:szCs w:val="24"/>
        </w:rPr>
        <w:t xml:space="preserve"> diet [13, 14], its fortification can play a significant role in reversing the nutritional </w:t>
      </w:r>
      <w:r w:rsidR="00D73C7C" w:rsidRPr="00E77E9B">
        <w:rPr>
          <w:rFonts w:asciiTheme="majorBidi" w:hAnsiTheme="majorBidi" w:cstheme="majorBidi"/>
          <w:sz w:val="24"/>
          <w:szCs w:val="24"/>
        </w:rPr>
        <w:t>deficiencies</w:t>
      </w:r>
      <w:r w:rsidRPr="00E77E9B">
        <w:rPr>
          <w:rFonts w:asciiTheme="majorBidi" w:hAnsiTheme="majorBidi" w:cstheme="majorBidi"/>
          <w:sz w:val="24"/>
          <w:szCs w:val="24"/>
        </w:rPr>
        <w:t xml:space="preserve"> at the national level. Previous studies mainly assessed the </w:t>
      </w:r>
      <w:r w:rsidR="00D73C7C" w:rsidRPr="00E77E9B">
        <w:rPr>
          <w:rFonts w:asciiTheme="majorBidi" w:hAnsiTheme="majorBidi" w:cstheme="majorBidi"/>
          <w:sz w:val="24"/>
          <w:szCs w:val="24"/>
        </w:rPr>
        <w:t>effects</w:t>
      </w:r>
      <w:r w:rsidRPr="00E77E9B">
        <w:rPr>
          <w:rFonts w:asciiTheme="majorBidi" w:hAnsiTheme="majorBidi" w:cstheme="majorBidi"/>
          <w:sz w:val="24"/>
          <w:szCs w:val="24"/>
        </w:rPr>
        <w:t xml:space="preserve"> of </w:t>
      </w:r>
      <w:r w:rsidR="00D73C7C" w:rsidRPr="00E77E9B">
        <w:rPr>
          <w:rFonts w:asciiTheme="majorBidi" w:hAnsiTheme="majorBidi" w:cstheme="majorBidi"/>
          <w:sz w:val="24"/>
          <w:szCs w:val="24"/>
        </w:rPr>
        <w:t>fortified</w:t>
      </w:r>
      <w:r w:rsidRPr="00E77E9B">
        <w:rPr>
          <w:rFonts w:asciiTheme="majorBidi" w:hAnsiTheme="majorBidi" w:cstheme="majorBidi"/>
          <w:sz w:val="24"/>
          <w:szCs w:val="24"/>
        </w:rPr>
        <w:t xml:space="preserve"> bread with PPP in animal studies and on rheological indices in experimental circumstances [15, 16]. In this study, we will investigate the characteristics of bread with and without PPP, as well as its </w:t>
      </w:r>
      <w:r w:rsidR="00D73C7C" w:rsidRPr="00E77E9B">
        <w:rPr>
          <w:rFonts w:asciiTheme="majorBidi" w:hAnsiTheme="majorBidi" w:cstheme="majorBidi"/>
          <w:sz w:val="24"/>
          <w:szCs w:val="24"/>
        </w:rPr>
        <w:t>effect</w:t>
      </w:r>
      <w:r w:rsidRPr="00E77E9B">
        <w:rPr>
          <w:rFonts w:asciiTheme="majorBidi" w:hAnsiTheme="majorBidi" w:cstheme="majorBidi"/>
          <w:sz w:val="24"/>
          <w:szCs w:val="24"/>
        </w:rPr>
        <w:t xml:space="preserve"> on glycemic indices, lipid </w:t>
      </w:r>
      <w:r w:rsidR="00D73C7C" w:rsidRPr="00E77E9B">
        <w:rPr>
          <w:rFonts w:asciiTheme="majorBidi" w:hAnsiTheme="majorBidi" w:cstheme="majorBidi"/>
          <w:sz w:val="24"/>
          <w:szCs w:val="24"/>
        </w:rPr>
        <w:t>profiles</w:t>
      </w:r>
      <w:r w:rsidRPr="00E77E9B">
        <w:rPr>
          <w:rFonts w:asciiTheme="majorBidi" w:hAnsiTheme="majorBidi" w:cstheme="majorBidi"/>
          <w:sz w:val="24"/>
          <w:szCs w:val="24"/>
        </w:rPr>
        <w:t xml:space="preserve">, </w:t>
      </w:r>
      <w:r w:rsidR="00D73C7C" w:rsidRPr="00E77E9B">
        <w:rPr>
          <w:rFonts w:asciiTheme="majorBidi" w:hAnsiTheme="majorBidi" w:cstheme="majorBidi"/>
          <w:sz w:val="24"/>
          <w:szCs w:val="24"/>
        </w:rPr>
        <w:t>inflammation</w:t>
      </w:r>
      <w:r w:rsidRPr="00E77E9B">
        <w:rPr>
          <w:rFonts w:asciiTheme="majorBidi" w:hAnsiTheme="majorBidi" w:cstheme="majorBidi"/>
          <w:sz w:val="24"/>
          <w:szCs w:val="24"/>
        </w:rPr>
        <w:t>, oxidative stress biomarkers, and mood status in type2 diabetes patients.</w:t>
      </w:r>
    </w:p>
    <w:p w14:paraId="6FF88ACB" w14:textId="5EC43988" w:rsidR="005454C0" w:rsidRPr="00154C9E" w:rsidRDefault="005454C0"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b/>
          <w:bCs/>
          <w:sz w:val="24"/>
          <w:szCs w:val="24"/>
        </w:rPr>
        <w:t>General aim</w:t>
      </w:r>
      <w:r w:rsidRPr="00154C9E">
        <w:rPr>
          <w:rFonts w:asciiTheme="majorBidi" w:hAnsiTheme="majorBidi" w:cstheme="majorBidi"/>
          <w:sz w:val="24"/>
          <w:szCs w:val="24"/>
        </w:rPr>
        <w:t xml:space="preserve">:  The current study aims to evaluate the quality and antioxidant properties of bread </w:t>
      </w:r>
      <w:r w:rsidR="00D73C7C" w:rsidRPr="00154C9E">
        <w:rPr>
          <w:rFonts w:asciiTheme="majorBidi" w:hAnsiTheme="majorBidi" w:cstheme="majorBidi"/>
          <w:sz w:val="24"/>
          <w:szCs w:val="24"/>
        </w:rPr>
        <w:t>fortified</w:t>
      </w:r>
      <w:r w:rsidRPr="00154C9E">
        <w:rPr>
          <w:rFonts w:asciiTheme="majorBidi" w:hAnsiTheme="majorBidi" w:cstheme="majorBidi"/>
          <w:sz w:val="24"/>
          <w:szCs w:val="24"/>
        </w:rPr>
        <w:t xml:space="preserve"> with PPP and to compare the metabolic </w:t>
      </w:r>
      <w:r w:rsidR="00D73C7C" w:rsidRPr="00154C9E">
        <w:rPr>
          <w:rFonts w:asciiTheme="majorBidi" w:hAnsiTheme="majorBidi" w:cstheme="majorBidi"/>
          <w:sz w:val="24"/>
          <w:szCs w:val="24"/>
        </w:rPr>
        <w:t>effects</w:t>
      </w:r>
      <w:r w:rsidRPr="00154C9E">
        <w:rPr>
          <w:rFonts w:asciiTheme="majorBidi" w:hAnsiTheme="majorBidi" w:cstheme="majorBidi"/>
          <w:sz w:val="24"/>
          <w:szCs w:val="24"/>
        </w:rPr>
        <w:t xml:space="preserve"> of the 12-week consumption of </w:t>
      </w:r>
      <w:r w:rsidR="00D73C7C" w:rsidRPr="00154C9E">
        <w:rPr>
          <w:rFonts w:asciiTheme="majorBidi" w:hAnsiTheme="majorBidi" w:cstheme="majorBidi"/>
          <w:sz w:val="24"/>
          <w:szCs w:val="24"/>
        </w:rPr>
        <w:t>fortified</w:t>
      </w:r>
      <w:r w:rsidRPr="00154C9E">
        <w:rPr>
          <w:rFonts w:asciiTheme="majorBidi" w:hAnsiTheme="majorBidi" w:cstheme="majorBidi"/>
          <w:sz w:val="24"/>
          <w:szCs w:val="24"/>
        </w:rPr>
        <w:t xml:space="preserve"> and plain wheat breads in patients with T2DM.</w:t>
      </w:r>
    </w:p>
    <w:p w14:paraId="44760146"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The specific objectives and hypotheses </w:t>
      </w:r>
    </w:p>
    <w:p w14:paraId="08106A8B"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E77E9B">
        <w:rPr>
          <w:rFonts w:asciiTheme="majorBidi" w:hAnsiTheme="majorBidi" w:cstheme="majorBidi"/>
          <w:b/>
          <w:bCs/>
          <w:sz w:val="24"/>
          <w:szCs w:val="24"/>
        </w:rPr>
        <w:t>Aim 1</w:t>
      </w:r>
      <w:r w:rsidRPr="00154C9E">
        <w:rPr>
          <w:rFonts w:asciiTheme="majorBidi" w:hAnsiTheme="majorBidi" w:cstheme="majorBidi"/>
          <w:sz w:val="24"/>
          <w:szCs w:val="24"/>
        </w:rPr>
        <w:t>: To determine the glycemic effect of some breads by measuring circulating levels of pre- and post-prandial blood sugar.</w:t>
      </w:r>
    </w:p>
    <w:p w14:paraId="7A80DC43"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 </w:t>
      </w:r>
      <w:r w:rsidRPr="00E77E9B">
        <w:rPr>
          <w:rFonts w:asciiTheme="majorBidi" w:hAnsiTheme="majorBidi" w:cstheme="majorBidi"/>
          <w:b/>
          <w:bCs/>
          <w:sz w:val="24"/>
          <w:szCs w:val="24"/>
        </w:rPr>
        <w:t>Aim2</w:t>
      </w:r>
      <w:r w:rsidRPr="00154C9E">
        <w:rPr>
          <w:rFonts w:asciiTheme="majorBidi" w:hAnsiTheme="majorBidi" w:cstheme="majorBidi"/>
          <w:sz w:val="24"/>
          <w:szCs w:val="24"/>
        </w:rPr>
        <w:t xml:space="preserve">: To determine the properties of PPP-fortified bread by sensory method and selecting the appropriate PPP percentage. </w:t>
      </w:r>
    </w:p>
    <w:p w14:paraId="53670650"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E77E9B">
        <w:rPr>
          <w:rFonts w:asciiTheme="majorBidi" w:hAnsiTheme="majorBidi" w:cstheme="majorBidi"/>
          <w:b/>
          <w:bCs/>
          <w:sz w:val="24"/>
          <w:szCs w:val="24"/>
        </w:rPr>
        <w:t>Aim 3</w:t>
      </w:r>
      <w:r w:rsidRPr="00154C9E">
        <w:rPr>
          <w:rFonts w:asciiTheme="majorBidi" w:hAnsiTheme="majorBidi" w:cstheme="majorBidi"/>
          <w:sz w:val="24"/>
          <w:szCs w:val="24"/>
        </w:rPr>
        <w:t xml:space="preserve">: To determine the number of polyphenols in bread fortified with PPP and wheat bread. </w:t>
      </w:r>
    </w:p>
    <w:p w14:paraId="27A70AF7"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E77E9B">
        <w:rPr>
          <w:rFonts w:asciiTheme="majorBidi" w:hAnsiTheme="majorBidi" w:cstheme="majorBidi"/>
          <w:b/>
          <w:bCs/>
          <w:sz w:val="24"/>
          <w:szCs w:val="24"/>
        </w:rPr>
        <w:t>Aim 4</w:t>
      </w:r>
      <w:r w:rsidRPr="00154C9E">
        <w:rPr>
          <w:rFonts w:asciiTheme="majorBidi" w:hAnsiTheme="majorBidi" w:cstheme="majorBidi"/>
          <w:sz w:val="24"/>
          <w:szCs w:val="24"/>
        </w:rPr>
        <w:t>: To analyze the antioxidant capacity of bread fortified with PPP and wheat bread using the 2, 2–1-diphenyl1-picrylhydrazyl (DPPH) assay.</w:t>
      </w:r>
    </w:p>
    <w:p w14:paraId="487AF08E"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lastRenderedPageBreak/>
        <w:t xml:space="preserve"> </w:t>
      </w:r>
      <w:r w:rsidRPr="00E77E9B">
        <w:rPr>
          <w:rFonts w:asciiTheme="majorBidi" w:hAnsiTheme="majorBidi" w:cstheme="majorBidi"/>
          <w:b/>
          <w:bCs/>
          <w:sz w:val="24"/>
          <w:szCs w:val="24"/>
        </w:rPr>
        <w:t>Aim 5</w:t>
      </w:r>
      <w:r w:rsidRPr="00154C9E">
        <w:rPr>
          <w:rFonts w:asciiTheme="majorBidi" w:hAnsiTheme="majorBidi" w:cstheme="majorBidi"/>
          <w:sz w:val="24"/>
          <w:szCs w:val="24"/>
        </w:rPr>
        <w:t xml:space="preserve">: To determine the anthropometric indices in the intervention and control groups pre- and post-the intervention. We hypothesize that PPP should reduce body mass index (BMI) and waist circumference. </w:t>
      </w:r>
    </w:p>
    <w:p w14:paraId="42593D31" w14:textId="77777777" w:rsidR="00E77E9B"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6</w:t>
      </w:r>
      <w:r w:rsidRPr="00154C9E">
        <w:rPr>
          <w:rFonts w:asciiTheme="majorBidi" w:hAnsiTheme="majorBidi" w:cstheme="majorBidi"/>
          <w:sz w:val="24"/>
          <w:szCs w:val="24"/>
        </w:rPr>
        <w:t xml:space="preserve">: To determine whether PPP bread improves Fasting blood </w:t>
      </w:r>
      <w:r w:rsidR="0005492C" w:rsidRPr="00154C9E">
        <w:rPr>
          <w:rFonts w:asciiTheme="majorBidi" w:hAnsiTheme="majorBidi" w:cstheme="majorBidi"/>
          <w:sz w:val="24"/>
          <w:szCs w:val="24"/>
        </w:rPr>
        <w:t>glucose (</w:t>
      </w:r>
      <w:r w:rsidRPr="00154C9E">
        <w:rPr>
          <w:rFonts w:asciiTheme="majorBidi" w:hAnsiTheme="majorBidi" w:cstheme="majorBidi"/>
          <w:sz w:val="24"/>
          <w:szCs w:val="24"/>
        </w:rPr>
        <w:t xml:space="preserve">FBS), HbA1c levels and insulin resistance (IR). </w:t>
      </w:r>
    </w:p>
    <w:p w14:paraId="0550C3D2" w14:textId="77777777" w:rsidR="00231271"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7</w:t>
      </w:r>
      <w:r w:rsidRPr="00154C9E">
        <w:rPr>
          <w:rFonts w:asciiTheme="majorBidi" w:hAnsiTheme="majorBidi" w:cstheme="majorBidi"/>
          <w:sz w:val="24"/>
          <w:szCs w:val="24"/>
        </w:rPr>
        <w:t xml:space="preserve">: To determine whether PPP bread decrease the lipid profile, i.e., serum triglyceride (TG), high-density lipoprotein-C (HDL-C), and low-density lipoprotein (LDL), of patients with T2DM. </w:t>
      </w:r>
    </w:p>
    <w:p w14:paraId="596BD93E" w14:textId="77777777" w:rsidR="00231271"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8</w:t>
      </w:r>
      <w:r w:rsidRPr="00154C9E">
        <w:rPr>
          <w:rFonts w:asciiTheme="majorBidi" w:hAnsiTheme="majorBidi" w:cstheme="majorBidi"/>
          <w:sz w:val="24"/>
          <w:szCs w:val="24"/>
        </w:rPr>
        <w:t xml:space="preserve">: To determine mean levels of malondialdehyde (MDA) in the intervention and control groups pre- and post- the intervention. We hypothesize that PPP-fortified wheat bread will reduce serum MDA in these individuals. </w:t>
      </w:r>
    </w:p>
    <w:p w14:paraId="52D820C9" w14:textId="486EB03C" w:rsidR="00231271"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9</w:t>
      </w:r>
      <w:r w:rsidRPr="00154C9E">
        <w:rPr>
          <w:rFonts w:asciiTheme="majorBidi" w:hAnsiTheme="majorBidi" w:cstheme="majorBidi"/>
          <w:sz w:val="24"/>
          <w:szCs w:val="24"/>
        </w:rPr>
        <w:t xml:space="preserve">: To determine the total antioxidant capacity (TAC) in the intervention and control groups pre- and post- the intervention. According to our hypothesis, PPP-fortified wheat bread will improve TAC in individuals with T2DM. </w:t>
      </w:r>
    </w:p>
    <w:p w14:paraId="7A17D728" w14:textId="77777777" w:rsidR="00231271"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10</w:t>
      </w:r>
      <w:r w:rsidRPr="00154C9E">
        <w:rPr>
          <w:rFonts w:asciiTheme="majorBidi" w:hAnsiTheme="majorBidi" w:cstheme="majorBidi"/>
          <w:sz w:val="24"/>
          <w:szCs w:val="24"/>
        </w:rPr>
        <w:t xml:space="preserve">: To determine </w:t>
      </w:r>
      <w:proofErr w:type="spellStart"/>
      <w:r w:rsidRPr="00154C9E">
        <w:rPr>
          <w:rFonts w:asciiTheme="majorBidi" w:hAnsiTheme="majorBidi" w:cstheme="majorBidi"/>
          <w:sz w:val="24"/>
          <w:szCs w:val="24"/>
        </w:rPr>
        <w:t>hs</w:t>
      </w:r>
      <w:proofErr w:type="spellEnd"/>
      <w:r w:rsidRPr="00154C9E">
        <w:rPr>
          <w:rFonts w:asciiTheme="majorBidi" w:hAnsiTheme="majorBidi" w:cstheme="majorBidi"/>
          <w:sz w:val="24"/>
          <w:szCs w:val="24"/>
        </w:rPr>
        <w:t xml:space="preserve">-CRP levels in the intervention and control groups pre- and post- the intervention. </w:t>
      </w:r>
    </w:p>
    <w:p w14:paraId="63C33392" w14:textId="197A0B7F" w:rsidR="00D73C7C" w:rsidRPr="00154C9E" w:rsidRDefault="00D73C7C"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Aim 11</w:t>
      </w:r>
      <w:r w:rsidRPr="00154C9E">
        <w:rPr>
          <w:rFonts w:asciiTheme="majorBidi" w:hAnsiTheme="majorBidi" w:cstheme="majorBidi"/>
          <w:sz w:val="24"/>
          <w:szCs w:val="24"/>
        </w:rPr>
        <w:t>: To determine whether PPP-fortified wheat bread improves mood state (stress, anxiety, and depression scores).</w:t>
      </w:r>
    </w:p>
    <w:p w14:paraId="3116D503" w14:textId="77777777" w:rsidR="00162F8A" w:rsidRPr="00231271" w:rsidRDefault="00162F8A" w:rsidP="00154C9E">
      <w:pPr>
        <w:pStyle w:val="Heading3"/>
        <w:shd w:val="clear" w:color="auto" w:fill="FFFFFF"/>
        <w:spacing w:line="360" w:lineRule="auto"/>
        <w:jc w:val="both"/>
        <w:rPr>
          <w:rFonts w:asciiTheme="majorBidi" w:hAnsiTheme="majorBidi" w:cstheme="majorBidi"/>
          <w:sz w:val="24"/>
          <w:szCs w:val="24"/>
        </w:rPr>
      </w:pPr>
      <w:r w:rsidRPr="00231271">
        <w:rPr>
          <w:rFonts w:asciiTheme="majorBidi" w:hAnsiTheme="majorBidi" w:cstheme="majorBidi"/>
          <w:sz w:val="24"/>
          <w:szCs w:val="24"/>
        </w:rPr>
        <w:t>Study design</w:t>
      </w:r>
    </w:p>
    <w:p w14:paraId="143B3580" w14:textId="77777777" w:rsidR="00162F8A" w:rsidRPr="00154C9E" w:rsidRDefault="00162F8A"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The current research will be conducted in three phases: </w:t>
      </w:r>
    </w:p>
    <w:p w14:paraId="58E3D349" w14:textId="04784139" w:rsidR="00162F8A" w:rsidRPr="00154C9E" w:rsidRDefault="00162F8A"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Phase one</w:t>
      </w:r>
      <w:r w:rsidRPr="00154C9E">
        <w:rPr>
          <w:rFonts w:asciiTheme="majorBidi" w:hAnsiTheme="majorBidi" w:cstheme="majorBidi"/>
          <w:sz w:val="24"/>
          <w:szCs w:val="24"/>
        </w:rPr>
        <w:t xml:space="preserve">: To explore the postprandial </w:t>
      </w:r>
      <w:r w:rsidR="0005492C" w:rsidRPr="00154C9E">
        <w:rPr>
          <w:rFonts w:asciiTheme="majorBidi" w:hAnsiTheme="majorBidi" w:cstheme="majorBidi"/>
          <w:sz w:val="24"/>
          <w:szCs w:val="24"/>
        </w:rPr>
        <w:t>effects</w:t>
      </w:r>
      <w:r w:rsidRPr="00154C9E">
        <w:rPr>
          <w:rFonts w:asciiTheme="majorBidi" w:hAnsiTheme="majorBidi" w:cstheme="majorBidi"/>
          <w:sz w:val="24"/>
          <w:szCs w:val="24"/>
        </w:rPr>
        <w:t xml:space="preserve"> of </w:t>
      </w:r>
      <w:r w:rsidR="0005492C" w:rsidRPr="00154C9E">
        <w:rPr>
          <w:rFonts w:asciiTheme="majorBidi" w:hAnsiTheme="majorBidi" w:cstheme="majorBidi"/>
          <w:sz w:val="24"/>
          <w:szCs w:val="24"/>
        </w:rPr>
        <w:t>five</w:t>
      </w:r>
      <w:r w:rsidRPr="00154C9E">
        <w:rPr>
          <w:rFonts w:asciiTheme="majorBidi" w:hAnsiTheme="majorBidi" w:cstheme="majorBidi"/>
          <w:sz w:val="24"/>
          <w:szCs w:val="24"/>
        </w:rPr>
        <w:t xml:space="preserve"> wheat bread products on patients with T2DM. </w:t>
      </w:r>
    </w:p>
    <w:p w14:paraId="1575445C" w14:textId="3E803E53" w:rsidR="00162F8A" w:rsidRPr="00154C9E" w:rsidRDefault="00162F8A"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Phase two</w:t>
      </w:r>
      <w:r w:rsidRPr="00154C9E">
        <w:rPr>
          <w:rFonts w:asciiTheme="majorBidi" w:hAnsiTheme="majorBidi" w:cstheme="majorBidi"/>
          <w:sz w:val="24"/>
          <w:szCs w:val="24"/>
        </w:rPr>
        <w:t>: To evaluate the organoleptic characteristics of bread prepared with four doses of PPP and measure total phenol, DPPH and MTT colorimetric assay.</w:t>
      </w:r>
    </w:p>
    <w:p w14:paraId="69DD947E" w14:textId="283748E8" w:rsidR="00162F8A" w:rsidRPr="00154C9E" w:rsidRDefault="00162F8A"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Phase three</w:t>
      </w:r>
      <w:r w:rsidRPr="00154C9E">
        <w:rPr>
          <w:rFonts w:asciiTheme="majorBidi" w:hAnsiTheme="majorBidi" w:cstheme="majorBidi"/>
          <w:sz w:val="24"/>
          <w:szCs w:val="24"/>
        </w:rPr>
        <w:t>: To design a parallel-group randomized triple-blind clinical trial for assessing the bread fortification effects on metabolic indices of patients with T2DM.</w:t>
      </w:r>
    </w:p>
    <w:p w14:paraId="0A8E447B" w14:textId="646B3A5D" w:rsidR="00231271" w:rsidRDefault="00047A5B" w:rsidP="00154C9E">
      <w:pPr>
        <w:pStyle w:val="ListParagraph"/>
        <w:spacing w:line="360" w:lineRule="auto"/>
        <w:ind w:left="1440"/>
        <w:jc w:val="both"/>
        <w:rPr>
          <w:rFonts w:asciiTheme="majorBidi" w:hAnsiTheme="majorBidi" w:cstheme="majorBidi"/>
          <w:sz w:val="24"/>
          <w:szCs w:val="24"/>
        </w:rPr>
      </w:pPr>
      <w:r w:rsidRPr="00231271">
        <w:rPr>
          <w:rFonts w:asciiTheme="majorBidi" w:hAnsiTheme="majorBidi" w:cstheme="majorBidi"/>
          <w:b/>
          <w:bCs/>
          <w:sz w:val="24"/>
          <w:szCs w:val="24"/>
        </w:rPr>
        <w:t xml:space="preserve">Inclusion </w:t>
      </w:r>
      <w:r w:rsidR="00231271" w:rsidRPr="00231271">
        <w:rPr>
          <w:rFonts w:asciiTheme="majorBidi" w:hAnsiTheme="majorBidi" w:cstheme="majorBidi"/>
          <w:b/>
          <w:bCs/>
          <w:sz w:val="24"/>
          <w:szCs w:val="24"/>
        </w:rPr>
        <w:t>criteria</w:t>
      </w:r>
      <w:r w:rsidR="00231271" w:rsidRPr="00154C9E">
        <w:rPr>
          <w:rFonts w:asciiTheme="majorBidi" w:hAnsiTheme="majorBidi" w:cstheme="majorBidi"/>
          <w:sz w:val="24"/>
          <w:szCs w:val="24"/>
        </w:rPr>
        <w:t>:</w:t>
      </w:r>
      <w:r w:rsidRPr="00154C9E">
        <w:rPr>
          <w:rFonts w:asciiTheme="majorBidi" w:hAnsiTheme="majorBidi" w:cstheme="majorBidi"/>
          <w:sz w:val="24"/>
          <w:szCs w:val="24"/>
        </w:rPr>
        <w:t>  Age between 40 and 60 years</w:t>
      </w:r>
      <w:r w:rsidR="00231271">
        <w:rPr>
          <w:rFonts w:asciiTheme="majorBidi" w:hAnsiTheme="majorBidi" w:cstheme="majorBidi"/>
          <w:sz w:val="24"/>
          <w:szCs w:val="24"/>
        </w:rPr>
        <w:t xml:space="preserve">, </w:t>
      </w:r>
      <w:r w:rsidRPr="00154C9E">
        <w:rPr>
          <w:rFonts w:asciiTheme="majorBidi" w:hAnsiTheme="majorBidi" w:cstheme="majorBidi"/>
          <w:sz w:val="24"/>
          <w:szCs w:val="24"/>
        </w:rPr>
        <w:t>Informed consent   HbA1c ≤ 8%</w:t>
      </w:r>
      <w:r w:rsidR="00231271">
        <w:rPr>
          <w:rFonts w:asciiTheme="majorBidi" w:hAnsiTheme="majorBidi" w:cstheme="majorBidi"/>
          <w:sz w:val="24"/>
          <w:szCs w:val="24"/>
        </w:rPr>
        <w:t>,</w:t>
      </w:r>
      <w:r w:rsidRPr="00154C9E">
        <w:rPr>
          <w:rFonts w:asciiTheme="majorBidi" w:hAnsiTheme="majorBidi" w:cstheme="majorBidi"/>
          <w:sz w:val="24"/>
          <w:szCs w:val="24"/>
        </w:rPr>
        <w:t xml:space="preserve"> Diagnosis of diabetes during the past </w:t>
      </w:r>
      <w:r w:rsidR="0005492C" w:rsidRPr="00154C9E">
        <w:rPr>
          <w:rFonts w:asciiTheme="majorBidi" w:hAnsiTheme="majorBidi" w:cstheme="majorBidi"/>
          <w:sz w:val="24"/>
          <w:szCs w:val="24"/>
        </w:rPr>
        <w:t>five</w:t>
      </w:r>
      <w:r w:rsidRPr="00154C9E">
        <w:rPr>
          <w:rFonts w:asciiTheme="majorBidi" w:hAnsiTheme="majorBidi" w:cstheme="majorBidi"/>
          <w:sz w:val="24"/>
          <w:szCs w:val="24"/>
        </w:rPr>
        <w:t xml:space="preserve"> years</w:t>
      </w:r>
      <w:r w:rsidR="00231271">
        <w:rPr>
          <w:rFonts w:asciiTheme="majorBidi" w:hAnsiTheme="majorBidi" w:cstheme="majorBidi"/>
          <w:sz w:val="24"/>
          <w:szCs w:val="24"/>
        </w:rPr>
        <w:t>,</w:t>
      </w:r>
      <w:r w:rsidRPr="00154C9E">
        <w:rPr>
          <w:rFonts w:asciiTheme="majorBidi" w:hAnsiTheme="majorBidi" w:cstheme="majorBidi"/>
          <w:sz w:val="24"/>
          <w:szCs w:val="24"/>
        </w:rPr>
        <w:t xml:space="preserve"> BMI ≤30 kg/m2</w:t>
      </w:r>
      <w:r w:rsidR="00231271">
        <w:rPr>
          <w:rFonts w:asciiTheme="majorBidi" w:hAnsiTheme="majorBidi" w:cstheme="majorBidi"/>
          <w:sz w:val="24"/>
          <w:szCs w:val="24"/>
        </w:rPr>
        <w:t>,</w:t>
      </w:r>
      <w:r w:rsidRPr="00154C9E">
        <w:rPr>
          <w:rFonts w:asciiTheme="majorBidi" w:hAnsiTheme="majorBidi" w:cstheme="majorBidi"/>
          <w:sz w:val="24"/>
          <w:szCs w:val="24"/>
        </w:rPr>
        <w:t xml:space="preserve"> Absence of complications</w:t>
      </w:r>
      <w:r w:rsidR="00231271">
        <w:rPr>
          <w:rFonts w:asciiTheme="majorBidi" w:hAnsiTheme="majorBidi" w:cstheme="majorBidi"/>
          <w:sz w:val="24"/>
          <w:szCs w:val="24"/>
        </w:rPr>
        <w:t>.</w:t>
      </w:r>
    </w:p>
    <w:p w14:paraId="5F2F98BD" w14:textId="5B9C1C84" w:rsidR="00047A5B" w:rsidRPr="00154C9E" w:rsidRDefault="00047A5B"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lastRenderedPageBreak/>
        <w:t xml:space="preserve"> </w:t>
      </w:r>
      <w:r w:rsidRPr="00231271">
        <w:rPr>
          <w:rFonts w:asciiTheme="majorBidi" w:hAnsiTheme="majorBidi" w:cstheme="majorBidi"/>
          <w:b/>
          <w:bCs/>
          <w:sz w:val="24"/>
          <w:szCs w:val="24"/>
        </w:rPr>
        <w:t>Exclusion criteria</w:t>
      </w:r>
      <w:r w:rsidR="00231271">
        <w:rPr>
          <w:rFonts w:asciiTheme="majorBidi" w:hAnsiTheme="majorBidi" w:cstheme="majorBidi"/>
          <w:b/>
          <w:bCs/>
          <w:sz w:val="24"/>
          <w:szCs w:val="24"/>
        </w:rPr>
        <w:t>:</w:t>
      </w:r>
      <w:r w:rsidRPr="00154C9E">
        <w:rPr>
          <w:rFonts w:asciiTheme="majorBidi" w:hAnsiTheme="majorBidi" w:cstheme="majorBidi"/>
          <w:sz w:val="24"/>
          <w:szCs w:val="24"/>
        </w:rPr>
        <w:t> Changes in diet or physical activity within the past six months</w:t>
      </w:r>
      <w:r w:rsidR="00231271">
        <w:rPr>
          <w:rFonts w:asciiTheme="majorBidi" w:hAnsiTheme="majorBidi" w:cstheme="majorBidi"/>
          <w:sz w:val="24"/>
          <w:szCs w:val="24"/>
        </w:rPr>
        <w:t>,</w:t>
      </w:r>
      <w:r w:rsidRPr="00154C9E">
        <w:rPr>
          <w:rFonts w:asciiTheme="majorBidi" w:hAnsiTheme="majorBidi" w:cstheme="majorBidi"/>
          <w:sz w:val="24"/>
          <w:szCs w:val="24"/>
        </w:rPr>
        <w:t xml:space="preserve"> Current smoking and/or alcohol or drug abuse history</w:t>
      </w:r>
      <w:r w:rsidR="00231271">
        <w:rPr>
          <w:rFonts w:asciiTheme="majorBidi" w:hAnsiTheme="majorBidi" w:cstheme="majorBidi"/>
          <w:sz w:val="24"/>
          <w:szCs w:val="24"/>
        </w:rPr>
        <w:t xml:space="preserve">, </w:t>
      </w:r>
      <w:r w:rsidRPr="00154C9E">
        <w:rPr>
          <w:rFonts w:asciiTheme="majorBidi" w:hAnsiTheme="majorBidi" w:cstheme="majorBidi"/>
          <w:sz w:val="24"/>
          <w:szCs w:val="24"/>
        </w:rPr>
        <w:t>Pregnancy and lactation   Renal failure (stages 3–5)</w:t>
      </w:r>
      <w:r w:rsidR="00231271">
        <w:rPr>
          <w:rFonts w:asciiTheme="majorBidi" w:hAnsiTheme="majorBidi" w:cstheme="majorBidi"/>
          <w:sz w:val="24"/>
          <w:szCs w:val="24"/>
        </w:rPr>
        <w:t>,</w:t>
      </w:r>
      <w:r w:rsidRPr="00154C9E">
        <w:rPr>
          <w:rFonts w:asciiTheme="majorBidi" w:hAnsiTheme="majorBidi" w:cstheme="majorBidi"/>
          <w:sz w:val="24"/>
          <w:szCs w:val="24"/>
        </w:rPr>
        <w:t xml:space="preserve"> heart disease</w:t>
      </w:r>
      <w:r w:rsidR="00231271">
        <w:rPr>
          <w:rFonts w:asciiTheme="majorBidi" w:hAnsiTheme="majorBidi" w:cstheme="majorBidi"/>
          <w:sz w:val="24"/>
          <w:szCs w:val="24"/>
        </w:rPr>
        <w:t>,</w:t>
      </w:r>
      <w:r w:rsidRPr="00154C9E">
        <w:rPr>
          <w:rFonts w:asciiTheme="majorBidi" w:hAnsiTheme="majorBidi" w:cstheme="majorBidi"/>
          <w:sz w:val="24"/>
          <w:szCs w:val="24"/>
        </w:rPr>
        <w:t xml:space="preserve"> Liver disease (cirrhosis and hepatitis)</w:t>
      </w:r>
      <w:r w:rsidR="00231271">
        <w:rPr>
          <w:rFonts w:asciiTheme="majorBidi" w:hAnsiTheme="majorBidi" w:cstheme="majorBidi"/>
          <w:sz w:val="24"/>
          <w:szCs w:val="24"/>
        </w:rPr>
        <w:t>,</w:t>
      </w:r>
      <w:r w:rsidRPr="00154C9E">
        <w:rPr>
          <w:rFonts w:asciiTheme="majorBidi" w:hAnsiTheme="majorBidi" w:cstheme="majorBidi"/>
          <w:sz w:val="24"/>
          <w:szCs w:val="24"/>
        </w:rPr>
        <w:t xml:space="preserve"> Insulin treatment or sulfonylureas</w:t>
      </w:r>
      <w:r w:rsidR="00231271">
        <w:rPr>
          <w:rFonts w:asciiTheme="majorBidi" w:hAnsiTheme="majorBidi" w:cstheme="majorBidi"/>
          <w:sz w:val="24"/>
          <w:szCs w:val="24"/>
        </w:rPr>
        <w:t xml:space="preserve">, </w:t>
      </w:r>
      <w:r w:rsidRPr="00154C9E">
        <w:rPr>
          <w:rFonts w:asciiTheme="majorBidi" w:hAnsiTheme="majorBidi" w:cstheme="majorBidi"/>
          <w:sz w:val="24"/>
          <w:szCs w:val="24"/>
        </w:rPr>
        <w:t>Hormone therapy</w:t>
      </w:r>
      <w:r w:rsidR="00231271">
        <w:rPr>
          <w:rFonts w:asciiTheme="majorBidi" w:hAnsiTheme="majorBidi" w:cstheme="majorBidi"/>
          <w:sz w:val="24"/>
          <w:szCs w:val="24"/>
        </w:rPr>
        <w:t xml:space="preserve">, </w:t>
      </w:r>
      <w:r w:rsidRPr="00154C9E">
        <w:rPr>
          <w:rFonts w:asciiTheme="majorBidi" w:hAnsiTheme="majorBidi" w:cstheme="majorBidi"/>
          <w:sz w:val="24"/>
          <w:szCs w:val="24"/>
        </w:rPr>
        <w:t>Current involvement in a clinical trial</w:t>
      </w:r>
      <w:r w:rsidR="00231271">
        <w:rPr>
          <w:rFonts w:asciiTheme="majorBidi" w:hAnsiTheme="majorBidi" w:cstheme="majorBidi"/>
          <w:sz w:val="24"/>
          <w:szCs w:val="24"/>
        </w:rPr>
        <w:t>,</w:t>
      </w:r>
      <w:r w:rsidRPr="00154C9E">
        <w:rPr>
          <w:rFonts w:asciiTheme="majorBidi" w:hAnsiTheme="majorBidi" w:cstheme="majorBidi"/>
          <w:sz w:val="24"/>
          <w:szCs w:val="24"/>
        </w:rPr>
        <w:t xml:space="preserve"> Recent weight change</w:t>
      </w:r>
      <w:r w:rsidR="00231271">
        <w:rPr>
          <w:rFonts w:asciiTheme="majorBidi" w:hAnsiTheme="majorBidi" w:cstheme="majorBidi"/>
          <w:sz w:val="24"/>
          <w:szCs w:val="24"/>
        </w:rPr>
        <w:t>,</w:t>
      </w:r>
      <w:r w:rsidRPr="00154C9E">
        <w:rPr>
          <w:rFonts w:asciiTheme="majorBidi" w:hAnsiTheme="majorBidi" w:cstheme="majorBidi"/>
          <w:sz w:val="24"/>
          <w:szCs w:val="24"/>
        </w:rPr>
        <w:t xml:space="preserve"> Use of non-steroidal anti-</w:t>
      </w:r>
      <w:r w:rsidR="0005492C" w:rsidRPr="00154C9E">
        <w:rPr>
          <w:rFonts w:asciiTheme="majorBidi" w:hAnsiTheme="majorBidi" w:cstheme="majorBidi"/>
          <w:sz w:val="24"/>
          <w:szCs w:val="24"/>
        </w:rPr>
        <w:t>inflammatory</w:t>
      </w:r>
      <w:r w:rsidRPr="00154C9E">
        <w:rPr>
          <w:rFonts w:asciiTheme="majorBidi" w:hAnsiTheme="majorBidi" w:cstheme="majorBidi"/>
          <w:sz w:val="24"/>
          <w:szCs w:val="24"/>
        </w:rPr>
        <w:t xml:space="preserve"> drugs</w:t>
      </w:r>
      <w:r w:rsidR="001E04C7">
        <w:rPr>
          <w:rFonts w:asciiTheme="majorBidi" w:hAnsiTheme="majorBidi" w:cstheme="majorBidi"/>
          <w:sz w:val="24"/>
          <w:szCs w:val="24"/>
        </w:rPr>
        <w:t>,</w:t>
      </w:r>
      <w:r w:rsidRPr="00154C9E">
        <w:rPr>
          <w:rFonts w:asciiTheme="majorBidi" w:hAnsiTheme="majorBidi" w:cstheme="majorBidi"/>
          <w:sz w:val="24"/>
          <w:szCs w:val="24"/>
        </w:rPr>
        <w:t> History of malignancy</w:t>
      </w:r>
      <w:r w:rsidR="001E04C7">
        <w:rPr>
          <w:rFonts w:asciiTheme="majorBidi" w:hAnsiTheme="majorBidi" w:cstheme="majorBidi"/>
          <w:sz w:val="24"/>
          <w:szCs w:val="24"/>
        </w:rPr>
        <w:t>,</w:t>
      </w:r>
      <w:r w:rsidRPr="00154C9E">
        <w:rPr>
          <w:rFonts w:asciiTheme="majorBidi" w:hAnsiTheme="majorBidi" w:cstheme="majorBidi"/>
          <w:sz w:val="24"/>
          <w:szCs w:val="24"/>
        </w:rPr>
        <w:t> Being on a special diet (e.g., vegetarian and ketogenic)</w:t>
      </w:r>
      <w:r w:rsidR="001E04C7">
        <w:rPr>
          <w:rFonts w:asciiTheme="majorBidi" w:hAnsiTheme="majorBidi" w:cstheme="majorBidi"/>
          <w:sz w:val="24"/>
          <w:szCs w:val="24"/>
        </w:rPr>
        <w:t>,</w:t>
      </w:r>
      <w:r w:rsidRPr="00154C9E">
        <w:rPr>
          <w:rFonts w:asciiTheme="majorBidi" w:hAnsiTheme="majorBidi" w:cstheme="majorBidi"/>
          <w:sz w:val="24"/>
          <w:szCs w:val="24"/>
        </w:rPr>
        <w:t xml:space="preserve"> Weight loss of over 10% in the past six months   conditions that may </w:t>
      </w:r>
      <w:r w:rsidR="0005492C" w:rsidRPr="00154C9E">
        <w:rPr>
          <w:rFonts w:asciiTheme="majorBidi" w:hAnsiTheme="majorBidi" w:cstheme="majorBidi"/>
          <w:sz w:val="24"/>
          <w:szCs w:val="24"/>
        </w:rPr>
        <w:t>affect</w:t>
      </w:r>
      <w:r w:rsidRPr="00154C9E">
        <w:rPr>
          <w:rFonts w:asciiTheme="majorBidi" w:hAnsiTheme="majorBidi" w:cstheme="majorBidi"/>
          <w:sz w:val="24"/>
          <w:szCs w:val="24"/>
        </w:rPr>
        <w:t xml:space="preserve"> adherence to study protocols   non-compliance with bread consumption</w:t>
      </w:r>
    </w:p>
    <w:p w14:paraId="5B6A39F0" w14:textId="77777777" w:rsidR="00047A5B" w:rsidRPr="000F05B6" w:rsidRDefault="00047A5B" w:rsidP="00154C9E">
      <w:pPr>
        <w:pStyle w:val="Heading3"/>
        <w:shd w:val="clear" w:color="auto" w:fill="FFFFFF"/>
        <w:spacing w:line="360" w:lineRule="auto"/>
        <w:jc w:val="both"/>
        <w:rPr>
          <w:rFonts w:asciiTheme="majorBidi" w:hAnsiTheme="majorBidi" w:cstheme="majorBidi"/>
          <w:sz w:val="24"/>
          <w:szCs w:val="24"/>
        </w:rPr>
      </w:pPr>
      <w:r w:rsidRPr="000F05B6">
        <w:rPr>
          <w:rFonts w:asciiTheme="majorBidi" w:hAnsiTheme="majorBidi" w:cstheme="majorBidi"/>
          <w:sz w:val="24"/>
          <w:szCs w:val="24"/>
        </w:rPr>
        <w:t>Methodology</w:t>
      </w:r>
    </w:p>
    <w:p w14:paraId="0D2D8912" w14:textId="32599184" w:rsidR="00047A5B" w:rsidRPr="00154C9E" w:rsidRDefault="0005492C"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Chemical composition of bread with and without PPP Measurements will be conducted on bread with and without PPP in terms of protein, carbohydrate, fat, and </w:t>
      </w:r>
      <w:r w:rsidR="0055105A" w:rsidRPr="00154C9E">
        <w:rPr>
          <w:rFonts w:asciiTheme="majorBidi" w:hAnsiTheme="majorBidi" w:cstheme="majorBidi"/>
          <w:sz w:val="24"/>
          <w:szCs w:val="24"/>
        </w:rPr>
        <w:t>fiber</w:t>
      </w:r>
      <w:r w:rsidRPr="00154C9E">
        <w:rPr>
          <w:rFonts w:asciiTheme="majorBidi" w:hAnsiTheme="majorBidi" w:cstheme="majorBidi"/>
          <w:sz w:val="24"/>
          <w:szCs w:val="24"/>
        </w:rPr>
        <w:t>. Protein, Moisture, fat, fiber and carbohydrates (by difference) in the breads be determined by the methods of AOAC.</w:t>
      </w:r>
    </w:p>
    <w:p w14:paraId="7F756477" w14:textId="19A9FB9D" w:rsidR="0055105A" w:rsidRPr="00154C9E" w:rsidRDefault="0005492C"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Organoleptic (sensory) </w:t>
      </w:r>
      <w:r w:rsidR="0055105A" w:rsidRPr="00154C9E">
        <w:rPr>
          <w:rFonts w:asciiTheme="majorBidi" w:hAnsiTheme="majorBidi" w:cstheme="majorBidi"/>
          <w:sz w:val="24"/>
          <w:szCs w:val="24"/>
        </w:rPr>
        <w:t>tests:</w:t>
      </w:r>
    </w:p>
    <w:p w14:paraId="3E491D8E" w14:textId="0E3F06E3" w:rsidR="0005492C" w:rsidRPr="00154C9E" w:rsidRDefault="0055105A"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Different</w:t>
      </w:r>
      <w:r w:rsidR="0005492C" w:rsidRPr="00154C9E">
        <w:rPr>
          <w:rFonts w:asciiTheme="majorBidi" w:hAnsiTheme="majorBidi" w:cstheme="majorBidi"/>
          <w:sz w:val="24"/>
          <w:szCs w:val="24"/>
        </w:rPr>
        <w:t xml:space="preserve"> amounts of PPP will be added to wheat four to obtain </w:t>
      </w:r>
      <w:r w:rsidRPr="00154C9E">
        <w:rPr>
          <w:rFonts w:asciiTheme="majorBidi" w:hAnsiTheme="majorBidi" w:cstheme="majorBidi"/>
          <w:sz w:val="24"/>
          <w:szCs w:val="24"/>
        </w:rPr>
        <w:t>final</w:t>
      </w:r>
      <w:r w:rsidR="0005492C" w:rsidRPr="00154C9E">
        <w:rPr>
          <w:rFonts w:asciiTheme="majorBidi" w:hAnsiTheme="majorBidi" w:cstheme="majorBidi"/>
          <w:sz w:val="24"/>
          <w:szCs w:val="24"/>
        </w:rPr>
        <w:t xml:space="preserve"> percentages of 1.5%, 2.5%, 3.5%, and 5%. PPP</w:t>
      </w:r>
      <w:r w:rsidRPr="00154C9E">
        <w:rPr>
          <w:rFonts w:asciiTheme="majorBidi" w:hAnsiTheme="majorBidi" w:cstheme="majorBidi"/>
          <w:sz w:val="24"/>
          <w:szCs w:val="24"/>
        </w:rPr>
        <w:t>-</w:t>
      </w:r>
      <w:r w:rsidR="0005492C" w:rsidRPr="00154C9E">
        <w:rPr>
          <w:rFonts w:asciiTheme="majorBidi" w:hAnsiTheme="majorBidi" w:cstheme="majorBidi"/>
          <w:sz w:val="24"/>
          <w:szCs w:val="24"/>
        </w:rPr>
        <w:t xml:space="preserve">free samples will also be used as controls. The prepared fat and semi-bulky breads will be cut into equal-sized slices and served in unmarked dishes for 25 untrained panelists (university employees and students) to score their organoleptic properties on a </w:t>
      </w:r>
      <w:r w:rsidRPr="00154C9E">
        <w:rPr>
          <w:rFonts w:asciiTheme="majorBidi" w:hAnsiTheme="majorBidi" w:cstheme="majorBidi"/>
          <w:sz w:val="24"/>
          <w:szCs w:val="24"/>
        </w:rPr>
        <w:t>five</w:t>
      </w:r>
      <w:r w:rsidR="0005492C" w:rsidRPr="00154C9E">
        <w:rPr>
          <w:rFonts w:asciiTheme="majorBidi" w:hAnsiTheme="majorBidi" w:cstheme="majorBidi"/>
          <w:sz w:val="24"/>
          <w:szCs w:val="24"/>
        </w:rPr>
        <w:t xml:space="preserve">-point hedonic scale from one (extremely poor or lowest quality) to </w:t>
      </w:r>
      <w:r w:rsidRPr="00154C9E">
        <w:rPr>
          <w:rFonts w:asciiTheme="majorBidi" w:hAnsiTheme="majorBidi" w:cstheme="majorBidi"/>
          <w:sz w:val="24"/>
          <w:szCs w:val="24"/>
        </w:rPr>
        <w:t>five</w:t>
      </w:r>
      <w:r w:rsidR="0005492C" w:rsidRPr="00154C9E">
        <w:rPr>
          <w:rFonts w:asciiTheme="majorBidi" w:hAnsiTheme="majorBidi" w:cstheme="majorBidi"/>
          <w:sz w:val="24"/>
          <w:szCs w:val="24"/>
        </w:rPr>
        <w:t xml:space="preserve"> (remarkably good or excellent quality). They will be asking to drink some water after testing each sample to cleanse their palate. We will also record and rate the internal and external characteristics of texture, color, aroma, taste, and mouth feel of the bread samples on a scored sheet.</w:t>
      </w:r>
    </w:p>
    <w:p w14:paraId="66AAC747" w14:textId="77777777" w:rsidR="0055105A" w:rsidRPr="00154C9E" w:rsidRDefault="0055105A"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Determination of total phenol:</w:t>
      </w:r>
    </w:p>
    <w:p w14:paraId="6820A783" w14:textId="22F7E079" w:rsidR="0055105A" w:rsidRPr="00154C9E" w:rsidRDefault="0055105A"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 Folin-</w:t>
      </w:r>
      <w:proofErr w:type="spellStart"/>
      <w:r w:rsidRPr="00154C9E">
        <w:rPr>
          <w:rFonts w:asciiTheme="majorBidi" w:hAnsiTheme="majorBidi" w:cstheme="majorBidi"/>
          <w:sz w:val="24"/>
          <w:szCs w:val="24"/>
        </w:rPr>
        <w:t>Ciocalteu</w:t>
      </w:r>
      <w:proofErr w:type="spellEnd"/>
      <w:r w:rsidRPr="00154C9E">
        <w:rPr>
          <w:rFonts w:asciiTheme="majorBidi" w:hAnsiTheme="majorBidi" w:cstheme="majorBidi"/>
          <w:sz w:val="24"/>
          <w:szCs w:val="24"/>
        </w:rPr>
        <w:t xml:space="preserve"> (FC) colorimetric method will be employed to determine the total phenolic content (TPC) of methanolic extracts of bread samples. Results will be expressed in milligrams of Gallic acid equivalents per gram of bread (mg GAE/g).</w:t>
      </w:r>
    </w:p>
    <w:p w14:paraId="642242B0" w14:textId="77777777" w:rsidR="00A2678E" w:rsidRPr="00154C9E" w:rsidRDefault="00A2678E"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xml:space="preserve">DPPH radical scavenging activity: </w:t>
      </w:r>
    </w:p>
    <w:p w14:paraId="28F414F2" w14:textId="43D8DA80" w:rsidR="00A2678E" w:rsidRPr="00154C9E" w:rsidRDefault="00A2678E"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lastRenderedPageBreak/>
        <w:t xml:space="preserve"> DPPH will be used to assess the antioxidant activity of the extract. Using a spectrophotometer, the absorbance is measured at 515 nm, and the percentage of DPPH scavenging activity will be calculated using the following equation: The experiment will be performed three times and the average value will be reported. The amount of radical scavenging activity will then be calculated. Half-maximal inhibitory concentration (IC50) will be used to determine the substance’s ability to neutralize 50% of the initial free radicals in the environment. Phenolic and DPPH tests will be conducted to determine the phenol content of bread after adding PPP.</w:t>
      </w:r>
    </w:p>
    <w:p w14:paraId="114CC5E9" w14:textId="3C66BEAA" w:rsidR="00F83C8B" w:rsidRPr="00154C9E" w:rsidRDefault="00F83C8B"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MTT test:  As a rapid and sensitive method for assessing materials cytotoxicity, the MTT test will be widely used. A total of 10,000 cells will be added to each well of the 96-well plates, along with 180 µl of RPMI culture medium. Then, various dilutions of pomegranate peel extract will be added to the wells. In the control group, no extract will be added to the cells, and only water will be added. In addition, doxorubicin and DMSO (1%) will be used as positive and negative controls, respectively. Under the same conditions, the plate is incubated for 24 h. 100 ml of MTT solution was added to each well and set for 3 h at 37 °C to assess cell viability. After removing the old contents containing MTT, 100 µl of DMSO will be pipetted into each well to dissolve the formazan crystals. At 570 nm, the absorbance will be measured with an ELISA reader (Startfx-2100, Awareness, USA).</w:t>
      </w:r>
      <w:r w:rsidR="000F05B6">
        <w:rPr>
          <w:rFonts w:asciiTheme="majorBidi" w:hAnsiTheme="majorBidi" w:cstheme="majorBidi"/>
          <w:sz w:val="24"/>
          <w:szCs w:val="24"/>
        </w:rPr>
        <w:t xml:space="preserve"> </w:t>
      </w:r>
      <w:r w:rsidRPr="00154C9E">
        <w:rPr>
          <w:rFonts w:asciiTheme="majorBidi" w:hAnsiTheme="majorBidi" w:cstheme="majorBidi"/>
          <w:sz w:val="24"/>
          <w:szCs w:val="24"/>
        </w:rPr>
        <w:t xml:space="preserve">Modelling the percentage of cytotoxicity against extracts gives the concentrations that inhibit half of the cell population (IC50). The following formula will be used to calculate the rate of alive cells. The assay will </w:t>
      </w:r>
      <w:proofErr w:type="gramStart"/>
      <w:r w:rsidRPr="00154C9E">
        <w:rPr>
          <w:rFonts w:asciiTheme="majorBidi" w:hAnsiTheme="majorBidi" w:cstheme="majorBidi"/>
          <w:sz w:val="24"/>
          <w:szCs w:val="24"/>
        </w:rPr>
        <w:t>done</w:t>
      </w:r>
      <w:proofErr w:type="gramEnd"/>
      <w:r w:rsidRPr="00154C9E">
        <w:rPr>
          <w:rFonts w:asciiTheme="majorBidi" w:hAnsiTheme="majorBidi" w:cstheme="majorBidi"/>
          <w:sz w:val="24"/>
          <w:szCs w:val="24"/>
        </w:rPr>
        <w:t xml:space="preserve"> in triplicate and results were reported as mean ± standard deviation (SD). The cell viability (%) was determined according to below equation</w:t>
      </w:r>
      <w:r w:rsidR="006B3C5C" w:rsidRPr="00154C9E">
        <w:rPr>
          <w:rFonts w:asciiTheme="majorBidi" w:hAnsiTheme="majorBidi" w:cstheme="majorBidi"/>
          <w:sz w:val="24"/>
          <w:szCs w:val="24"/>
        </w:rPr>
        <w:t>.</w:t>
      </w:r>
    </w:p>
    <w:p w14:paraId="0D8588D7" w14:textId="789613B1" w:rsidR="006B3C5C" w:rsidRPr="00154C9E" w:rsidRDefault="006B3C5C"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t>Study participants</w:t>
      </w:r>
      <w:r w:rsidRPr="00154C9E">
        <w:rPr>
          <w:rFonts w:asciiTheme="majorBidi" w:hAnsiTheme="majorBidi" w:cstheme="majorBidi"/>
          <w:sz w:val="24"/>
          <w:szCs w:val="24"/>
        </w:rPr>
        <w:t>:  Volunteer patients will be invited to contact the research team by phone, attend an examination, and complete a brief questionnaire about their health history. The study protocol will be explained to the participants and they will be asked not to make any changes to their usual diet during the study. Groups 1 and 2 will receive wheat bread (100 g) named A and B, respectively. Both the researchers and the patients will be blinded to the randomization code of the intervention and placebo bread (A and B).</w:t>
      </w:r>
    </w:p>
    <w:p w14:paraId="3688E961" w14:textId="7E48A069" w:rsidR="009E0D92" w:rsidRPr="00154C9E" w:rsidRDefault="009E0D92"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lastRenderedPageBreak/>
        <w:t>Run</w:t>
      </w:r>
      <w:r w:rsidRPr="000F05B6">
        <w:rPr>
          <w:rFonts w:asciiTheme="majorBidi" w:hAnsiTheme="majorBidi" w:cstheme="majorBidi"/>
          <w:b/>
          <w:bCs/>
          <w:sz w:val="24"/>
          <w:szCs w:val="24"/>
        </w:rPr>
        <w:noBreakHyphen/>
        <w:t>in period</w:t>
      </w:r>
      <w:r w:rsidRPr="00154C9E">
        <w:rPr>
          <w:rFonts w:asciiTheme="majorBidi" w:hAnsiTheme="majorBidi" w:cstheme="majorBidi"/>
          <w:sz w:val="24"/>
          <w:szCs w:val="24"/>
        </w:rPr>
        <w:t>:  The study will last for three months, beginning with a 14-day run-in period. The participants will be asked to maintain their dietary habits, medicines, and exercise. The run-in period will help the researchers to become familiar with the patients’ diets and to identify their concerns. During the run-in period, the participants will be consuming wheat bread without PPP. The run-in phase is necessary to test the volunteers’ motivation to comply with the intervention. Since there is no biomarker to measure bread intake, we will use diaries to assess their compliance.</w:t>
      </w:r>
    </w:p>
    <w:p w14:paraId="285686B0" w14:textId="4D306D5A" w:rsidR="00693D59" w:rsidRPr="00154C9E" w:rsidRDefault="00693D59" w:rsidP="00154C9E">
      <w:pPr>
        <w:pStyle w:val="ListParagraph"/>
        <w:spacing w:line="360" w:lineRule="auto"/>
        <w:ind w:left="1440"/>
        <w:jc w:val="both"/>
        <w:rPr>
          <w:rFonts w:asciiTheme="majorBidi" w:hAnsiTheme="majorBidi" w:cstheme="majorBidi"/>
          <w:sz w:val="24"/>
          <w:szCs w:val="24"/>
        </w:rPr>
      </w:pPr>
      <w:r w:rsidRPr="00154C9E">
        <w:rPr>
          <w:rFonts w:asciiTheme="majorBidi" w:hAnsiTheme="majorBidi" w:cstheme="majorBidi"/>
          <w:sz w:val="24"/>
          <w:szCs w:val="24"/>
        </w:rPr>
        <w:t> </w:t>
      </w:r>
      <w:r w:rsidRPr="000F05B6">
        <w:rPr>
          <w:rFonts w:asciiTheme="majorBidi" w:hAnsiTheme="majorBidi" w:cstheme="majorBidi"/>
          <w:b/>
          <w:bCs/>
          <w:sz w:val="24"/>
          <w:szCs w:val="24"/>
        </w:rPr>
        <w:t>Intervention</w:t>
      </w:r>
      <w:r w:rsidRPr="00154C9E">
        <w:rPr>
          <w:rFonts w:asciiTheme="majorBidi" w:hAnsiTheme="majorBidi" w:cstheme="majorBidi"/>
          <w:sz w:val="24"/>
          <w:szCs w:val="24"/>
        </w:rPr>
        <w:t xml:space="preserve">: The trial is a randomized triple-blind, placebo-controlled clinical trial with a parallel-group design. The study will be conducted on 90 diabetic patients referred to </w:t>
      </w:r>
      <w:r w:rsidR="009311E4" w:rsidRPr="00154C9E">
        <w:rPr>
          <w:rFonts w:asciiTheme="majorBidi" w:hAnsiTheme="majorBidi" w:cstheme="majorBidi"/>
          <w:sz w:val="24"/>
          <w:szCs w:val="24"/>
        </w:rPr>
        <w:t>University</w:t>
      </w:r>
      <w:r w:rsidRPr="00154C9E">
        <w:rPr>
          <w:rFonts w:asciiTheme="majorBidi" w:hAnsiTheme="majorBidi" w:cstheme="majorBidi"/>
          <w:sz w:val="24"/>
          <w:szCs w:val="24"/>
        </w:rPr>
        <w:t xml:space="preserve"> Endocrine and Metabolism Research Center and other health centers in the city. Diabetic patients are </w:t>
      </w:r>
      <w:proofErr w:type="gramStart"/>
      <w:r w:rsidR="009311E4" w:rsidRPr="00154C9E">
        <w:rPr>
          <w:rFonts w:asciiTheme="majorBidi" w:hAnsiTheme="majorBidi" w:cstheme="majorBidi"/>
          <w:sz w:val="24"/>
          <w:szCs w:val="24"/>
        </w:rPr>
        <w:t>defend</w:t>
      </w:r>
      <w:proofErr w:type="gramEnd"/>
      <w:r w:rsidRPr="00154C9E">
        <w:rPr>
          <w:rFonts w:asciiTheme="majorBidi" w:hAnsiTheme="majorBidi" w:cstheme="majorBidi"/>
          <w:sz w:val="24"/>
          <w:szCs w:val="24"/>
        </w:rPr>
        <w:t xml:space="preserve"> according to ADA criteria. Patients will be briefed with the reasons for the work and how the plan is implemented by telephone and face to face contact. A questionnaire containing demographic data, age, gender, telephone number, cell phone, address, and medical records will be used to evaluate the inclusion criteria. Individuals who wish to participate in the study will be asked to sign an informed consent form after the approval of the study. The participants will be assigned to either the intervention or control group (Fig. 1) and both groups will continue their routine treatment plans. In addition to their usual diet, the participant will receive a packet of 100 gr of bread. Participants will be given a packet of bread for one week and visited weekly to assess their compliance and provide them with bread packet for the next one week. Also, participant’s compliance with the consumption of bread will be monitored through telephone interviews once a week. The participants will simply randomize to one of two treatments: a packet of bread per week containing placebo (without PPP) and intervention (with PPP). Table 2 </w:t>
      </w:r>
      <w:r w:rsidR="000F05B6">
        <w:rPr>
          <w:rFonts w:asciiTheme="majorBidi" w:hAnsiTheme="majorBidi" w:cstheme="majorBidi"/>
          <w:sz w:val="24"/>
          <w:szCs w:val="24"/>
        </w:rPr>
        <w:t xml:space="preserve">in protocol </w:t>
      </w:r>
      <w:r w:rsidRPr="00154C9E">
        <w:rPr>
          <w:rFonts w:asciiTheme="majorBidi" w:hAnsiTheme="majorBidi" w:cstheme="majorBidi"/>
          <w:sz w:val="24"/>
          <w:szCs w:val="24"/>
        </w:rPr>
        <w:t>displays the enrollment, interventions, assessments, and participants’ visits. If participants change their medicine dose or any problems arise, they will be excluded from the study.</w:t>
      </w:r>
    </w:p>
    <w:p w14:paraId="3159BC89" w14:textId="0B14C385" w:rsidR="00693D59" w:rsidRPr="00154C9E" w:rsidRDefault="00693D59"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t>Anthropometric parameters</w:t>
      </w:r>
      <w:r w:rsidRPr="00154C9E">
        <w:rPr>
          <w:rFonts w:asciiTheme="majorBidi" w:hAnsiTheme="majorBidi" w:cstheme="majorBidi"/>
          <w:sz w:val="24"/>
          <w:szCs w:val="24"/>
        </w:rPr>
        <w:t xml:space="preserve">:  We will measure height, weight, and waist and hip circumferences at the baseline and three months’ post-intervention. Height and </w:t>
      </w:r>
      <w:r w:rsidRPr="00154C9E">
        <w:rPr>
          <w:rFonts w:asciiTheme="majorBidi" w:hAnsiTheme="majorBidi" w:cstheme="majorBidi"/>
          <w:sz w:val="24"/>
          <w:szCs w:val="24"/>
        </w:rPr>
        <w:lastRenderedPageBreak/>
        <w:t>weight (with a precision of 0.01 kg) will be measured using a scale-mounted stadiometer while the patients wearing light clothing and no shoes. Each participant’s BMI will be calculated as the result of dividing their weight (in kg) by their height (in m) squared. A non-flexible tape will be used to measure waist and hip circumference to the nearest 0.1 cm. Waist circumference (WC) will be calculated at the midpoint between the lowest rib and the iliac crest while the patient’s body is level and wearing minimal clothing. Hip circumference will be measured around the widest portion of the buttocks. Only one person will do measurements to reduce the errors.</w:t>
      </w:r>
    </w:p>
    <w:p w14:paraId="255C17B5" w14:textId="0552A293" w:rsidR="00693D59" w:rsidRPr="00154C9E" w:rsidRDefault="00693D59"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t>Physical activity and dietary intake evaluation</w:t>
      </w:r>
      <w:r w:rsidRPr="00154C9E">
        <w:rPr>
          <w:rFonts w:asciiTheme="majorBidi" w:hAnsiTheme="majorBidi" w:cstheme="majorBidi"/>
          <w:sz w:val="24"/>
          <w:szCs w:val="24"/>
        </w:rPr>
        <w:t xml:space="preserve">: At the beginning of the intervention and 12 weeks later, food and activity records will be assessed. A trained nutritionist will explain how to </w:t>
      </w:r>
      <w:r w:rsidR="000F05B6" w:rsidRPr="00154C9E">
        <w:rPr>
          <w:rFonts w:asciiTheme="majorBidi" w:hAnsiTheme="majorBidi" w:cstheme="majorBidi"/>
          <w:sz w:val="24"/>
          <w:szCs w:val="24"/>
        </w:rPr>
        <w:t>fill</w:t>
      </w:r>
      <w:r w:rsidRPr="00154C9E">
        <w:rPr>
          <w:rFonts w:asciiTheme="majorBidi" w:hAnsiTheme="majorBidi" w:cstheme="majorBidi"/>
          <w:sz w:val="24"/>
          <w:szCs w:val="24"/>
        </w:rPr>
        <w:t xml:space="preserve"> out the food and physical activity record. For dietary intake evaluation, the participants will be asked to record their daily food and beverage intake for three days. We will assess dietary intake using the food records of three non-consecutive days (two weekdays and a weekend). A food scale and a model will also be used to improve accuracy. The three-day food records will be reviewed by the investigator in the presence of the patient. We will convert the portion sizes to grams. Using a customized Nutritionist 4 software (First data bank Inc., Hearst Corp., San Bruno, CA), each food and beverage item will be coded and analyzed for energy content and macro- and micronutrients. Individuals consuming less than 1200 kcal/day or more than 4000 kcal/day will be excluded. The Participants will complete the Metabolic Equivalent Questionnaire (MET) for physical activity </w:t>
      </w:r>
      <w:proofErr w:type="gramStart"/>
      <w:r w:rsidRPr="00154C9E">
        <w:rPr>
          <w:rFonts w:asciiTheme="majorBidi" w:hAnsiTheme="majorBidi" w:cstheme="majorBidi"/>
          <w:sz w:val="24"/>
          <w:szCs w:val="24"/>
        </w:rPr>
        <w:t>pre</w:t>
      </w:r>
      <w:proofErr w:type="gramEnd"/>
      <w:r w:rsidR="000F05B6">
        <w:rPr>
          <w:rFonts w:asciiTheme="majorBidi" w:hAnsiTheme="majorBidi" w:cstheme="majorBidi"/>
          <w:sz w:val="24"/>
          <w:szCs w:val="24"/>
        </w:rPr>
        <w:t xml:space="preserve"> </w:t>
      </w:r>
      <w:r w:rsidRPr="00154C9E">
        <w:rPr>
          <w:rFonts w:asciiTheme="majorBidi" w:hAnsiTheme="majorBidi" w:cstheme="majorBidi"/>
          <w:sz w:val="24"/>
          <w:szCs w:val="24"/>
        </w:rPr>
        <w:t>and post- the intervention and will be asked to report their physical activity daily</w:t>
      </w:r>
      <w:r w:rsidR="003E49F7" w:rsidRPr="00154C9E">
        <w:rPr>
          <w:rFonts w:asciiTheme="majorBidi" w:hAnsiTheme="majorBidi" w:cstheme="majorBidi"/>
          <w:sz w:val="24"/>
          <w:szCs w:val="24"/>
        </w:rPr>
        <w:t>.</w:t>
      </w:r>
    </w:p>
    <w:p w14:paraId="476599D5" w14:textId="29BDA2C6" w:rsidR="003E49F7" w:rsidRPr="00154C9E" w:rsidRDefault="003E49F7"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t xml:space="preserve">Blood </w:t>
      </w:r>
      <w:r w:rsidR="009311E4" w:rsidRPr="000F05B6">
        <w:rPr>
          <w:rFonts w:asciiTheme="majorBidi" w:hAnsiTheme="majorBidi" w:cstheme="majorBidi"/>
          <w:b/>
          <w:bCs/>
          <w:sz w:val="24"/>
          <w:szCs w:val="24"/>
        </w:rPr>
        <w:t>pressure</w:t>
      </w:r>
      <w:r w:rsidR="009311E4" w:rsidRPr="00154C9E">
        <w:rPr>
          <w:rFonts w:asciiTheme="majorBidi" w:hAnsiTheme="majorBidi" w:cstheme="majorBidi"/>
          <w:sz w:val="24"/>
          <w:szCs w:val="24"/>
        </w:rPr>
        <w:t>:</w:t>
      </w:r>
      <w:r w:rsidRPr="00154C9E">
        <w:rPr>
          <w:rFonts w:asciiTheme="majorBidi" w:hAnsiTheme="majorBidi" w:cstheme="majorBidi"/>
          <w:sz w:val="24"/>
          <w:szCs w:val="24"/>
        </w:rPr>
        <w:t xml:space="preserve"> Blood pressure will be measured after 10 min of resting in a seated position using a mercury barometer calibrated in that position. The patients will be asked not to drink tea/</w:t>
      </w:r>
      <w:r w:rsidR="009311E4" w:rsidRPr="00154C9E">
        <w:rPr>
          <w:rFonts w:asciiTheme="majorBidi" w:hAnsiTheme="majorBidi" w:cstheme="majorBidi"/>
          <w:sz w:val="24"/>
          <w:szCs w:val="24"/>
        </w:rPr>
        <w:t>coffee</w:t>
      </w:r>
      <w:r w:rsidRPr="00154C9E">
        <w:rPr>
          <w:rFonts w:asciiTheme="majorBidi" w:hAnsiTheme="majorBidi" w:cstheme="majorBidi"/>
          <w:sz w:val="24"/>
          <w:szCs w:val="24"/>
        </w:rPr>
        <w:t xml:space="preserve"> or engage in heavy physical activity for approximately 30 min before the measurement. At the beginning and end of the study, blood pressure measurements will be performed twice and the mean of two consecutive readings will be recorded.</w:t>
      </w:r>
    </w:p>
    <w:p w14:paraId="46E0E920" w14:textId="278FF408" w:rsidR="00260A70" w:rsidRPr="00154C9E" w:rsidRDefault="00260A70" w:rsidP="00154C9E">
      <w:pPr>
        <w:pStyle w:val="ListParagraph"/>
        <w:spacing w:line="360" w:lineRule="auto"/>
        <w:ind w:left="1440"/>
        <w:jc w:val="both"/>
        <w:rPr>
          <w:rFonts w:asciiTheme="majorBidi" w:hAnsiTheme="majorBidi" w:cstheme="majorBidi"/>
          <w:sz w:val="24"/>
          <w:szCs w:val="24"/>
        </w:rPr>
      </w:pPr>
      <w:r w:rsidRPr="000F05B6">
        <w:rPr>
          <w:rFonts w:asciiTheme="majorBidi" w:hAnsiTheme="majorBidi" w:cstheme="majorBidi"/>
          <w:b/>
          <w:bCs/>
          <w:sz w:val="24"/>
          <w:szCs w:val="24"/>
        </w:rPr>
        <w:lastRenderedPageBreak/>
        <w:t>Biochemical assays</w:t>
      </w:r>
      <w:r w:rsidRPr="00154C9E">
        <w:rPr>
          <w:rFonts w:asciiTheme="majorBidi" w:hAnsiTheme="majorBidi" w:cstheme="majorBidi"/>
          <w:sz w:val="24"/>
          <w:szCs w:val="24"/>
        </w:rPr>
        <w:t>:  To do laboratory tests, patients who meet the inclusion criteria (Table 1) will be asked to attend University Endocrine and Metabolism Research Center between 8:00 am and 10:00 am after fasting for 12 h. During their appointment, ten mL blood samples will be obtained. The collected samples will be centrifuged at 3500 rpm, 25 ℃ for 15 min. The serum will then be transferred and stored in a -80 ℃ freezer until further analysis. The participants will be tested for their biochemical parameters at the baseline and post- the intervention. FBS levels will be assessed using the glucose oxidase method. Inter- and intra-assay coefficients of variation are≤2% for glucose. Glycated hemoglobin (HbA1c) will be determined by turbidimetric method. Serum insulin will be assessed by enzyme-linked immunosorbent assay (ELISA) (</w:t>
      </w:r>
      <w:proofErr w:type="spellStart"/>
      <w:r w:rsidRPr="00154C9E">
        <w:rPr>
          <w:rFonts w:asciiTheme="majorBidi" w:hAnsiTheme="majorBidi" w:cstheme="majorBidi"/>
          <w:sz w:val="24"/>
          <w:szCs w:val="24"/>
        </w:rPr>
        <w:t>Monobind</w:t>
      </w:r>
      <w:proofErr w:type="spellEnd"/>
      <w:r w:rsidRPr="00154C9E">
        <w:rPr>
          <w:rFonts w:asciiTheme="majorBidi" w:hAnsiTheme="majorBidi" w:cstheme="majorBidi"/>
          <w:sz w:val="24"/>
          <w:szCs w:val="24"/>
        </w:rPr>
        <w:t xml:space="preserve"> Inc, Costa Mesa, CA, USA). The homeostatic model assessment of insulin resistance (HOMA-IR) and homeostatic model assessment of beta-cell function (HOMA-B) index will be used to determine insulin resistance and beta-cell function, respectively. To assess insulin sensitivity, the check index (</w:t>
      </w:r>
      <w:proofErr w:type="spellStart"/>
      <w:r w:rsidRPr="00154C9E">
        <w:rPr>
          <w:rFonts w:asciiTheme="majorBidi" w:hAnsiTheme="majorBidi" w:cstheme="majorBidi"/>
          <w:sz w:val="24"/>
          <w:szCs w:val="24"/>
        </w:rPr>
        <w:t>Quicki</w:t>
      </w:r>
      <w:proofErr w:type="spellEnd"/>
      <w:r w:rsidRPr="00154C9E">
        <w:rPr>
          <w:rFonts w:asciiTheme="majorBidi" w:hAnsiTheme="majorBidi" w:cstheme="majorBidi"/>
          <w:sz w:val="24"/>
          <w:szCs w:val="24"/>
        </w:rPr>
        <w:t>) will be measured based. Serum high sensitivity C-reactive protein (</w:t>
      </w:r>
      <w:proofErr w:type="spellStart"/>
      <w:r w:rsidRPr="00154C9E">
        <w:rPr>
          <w:rFonts w:asciiTheme="majorBidi" w:hAnsiTheme="majorBidi" w:cstheme="majorBidi"/>
          <w:sz w:val="24"/>
          <w:szCs w:val="24"/>
        </w:rPr>
        <w:t>hs</w:t>
      </w:r>
      <w:proofErr w:type="spellEnd"/>
      <w:r w:rsidRPr="00154C9E">
        <w:rPr>
          <w:rFonts w:asciiTheme="majorBidi" w:hAnsiTheme="majorBidi" w:cstheme="majorBidi"/>
          <w:sz w:val="24"/>
          <w:szCs w:val="24"/>
        </w:rPr>
        <w:t>-CRP) levels will be assessed by the turbidimetric immunoassay method (APTEC Diagnostics NV, Belgium). Inter</w:t>
      </w:r>
      <w:r w:rsidR="00160592" w:rsidRPr="00154C9E">
        <w:rPr>
          <w:rFonts w:asciiTheme="majorBidi" w:hAnsiTheme="majorBidi" w:cstheme="majorBidi"/>
          <w:sz w:val="24"/>
          <w:szCs w:val="24"/>
        </w:rPr>
        <w:t xml:space="preserve"> </w:t>
      </w:r>
      <w:r w:rsidRPr="00154C9E">
        <w:rPr>
          <w:rFonts w:asciiTheme="majorBidi" w:hAnsiTheme="majorBidi" w:cstheme="majorBidi"/>
          <w:sz w:val="24"/>
          <w:szCs w:val="24"/>
        </w:rPr>
        <w:t xml:space="preserve">and intra-assay </w:t>
      </w:r>
      <w:r w:rsidR="00160592" w:rsidRPr="00154C9E">
        <w:rPr>
          <w:rFonts w:asciiTheme="majorBidi" w:hAnsiTheme="majorBidi" w:cstheme="majorBidi"/>
          <w:sz w:val="24"/>
          <w:szCs w:val="24"/>
        </w:rPr>
        <w:t>coefficients</w:t>
      </w:r>
      <w:r w:rsidRPr="00154C9E">
        <w:rPr>
          <w:rFonts w:asciiTheme="majorBidi" w:hAnsiTheme="majorBidi" w:cstheme="majorBidi"/>
          <w:sz w:val="24"/>
          <w:szCs w:val="24"/>
        </w:rPr>
        <w:t xml:space="preserve"> of variation are≤3%. </w:t>
      </w:r>
      <w:proofErr w:type="spellStart"/>
      <w:r w:rsidRPr="00154C9E">
        <w:rPr>
          <w:rFonts w:asciiTheme="majorBidi" w:hAnsiTheme="majorBidi" w:cstheme="majorBidi"/>
          <w:sz w:val="24"/>
          <w:szCs w:val="24"/>
        </w:rPr>
        <w:t>Malondialdialhyde</w:t>
      </w:r>
      <w:proofErr w:type="spellEnd"/>
      <w:r w:rsidRPr="00154C9E">
        <w:rPr>
          <w:rFonts w:asciiTheme="majorBidi" w:hAnsiTheme="majorBidi" w:cstheme="majorBidi"/>
          <w:sz w:val="24"/>
          <w:szCs w:val="24"/>
        </w:rPr>
        <w:t xml:space="preserve"> (MDA) concentration will evaluation based on </w:t>
      </w:r>
      <w:proofErr w:type="spellStart"/>
      <w:r w:rsidRPr="00154C9E">
        <w:rPr>
          <w:rFonts w:asciiTheme="majorBidi" w:hAnsiTheme="majorBidi" w:cstheme="majorBidi"/>
          <w:sz w:val="24"/>
          <w:szCs w:val="24"/>
        </w:rPr>
        <w:t>thiobarbituric</w:t>
      </w:r>
      <w:proofErr w:type="spellEnd"/>
      <w:r w:rsidRPr="00154C9E">
        <w:rPr>
          <w:rFonts w:asciiTheme="majorBidi" w:hAnsiTheme="majorBidi" w:cstheme="majorBidi"/>
          <w:sz w:val="24"/>
          <w:szCs w:val="24"/>
        </w:rPr>
        <w:t xml:space="preserve"> acid reactive substance using commercial kit (</w:t>
      </w:r>
      <w:proofErr w:type="spellStart"/>
      <w:r w:rsidRPr="00154C9E">
        <w:rPr>
          <w:rFonts w:asciiTheme="majorBidi" w:hAnsiTheme="majorBidi" w:cstheme="majorBidi"/>
          <w:sz w:val="24"/>
          <w:szCs w:val="24"/>
        </w:rPr>
        <w:t>kiazist</w:t>
      </w:r>
      <w:proofErr w:type="spellEnd"/>
      <w:r w:rsidRPr="00154C9E">
        <w:rPr>
          <w:rFonts w:asciiTheme="majorBidi" w:hAnsiTheme="majorBidi" w:cstheme="majorBidi"/>
          <w:sz w:val="24"/>
          <w:szCs w:val="24"/>
        </w:rPr>
        <w:t>, Iran). Total antioxidant capacity (TAC) will be assessed based on the ferric reducing antioxidant power method using a commercial kit (</w:t>
      </w:r>
      <w:proofErr w:type="spellStart"/>
      <w:r w:rsidRPr="00154C9E">
        <w:rPr>
          <w:rFonts w:asciiTheme="majorBidi" w:hAnsiTheme="majorBidi" w:cstheme="majorBidi"/>
          <w:sz w:val="24"/>
          <w:szCs w:val="24"/>
        </w:rPr>
        <w:t>kiazist</w:t>
      </w:r>
      <w:proofErr w:type="spellEnd"/>
      <w:r w:rsidRPr="00154C9E">
        <w:rPr>
          <w:rFonts w:asciiTheme="majorBidi" w:hAnsiTheme="majorBidi" w:cstheme="majorBidi"/>
          <w:sz w:val="24"/>
          <w:szCs w:val="24"/>
        </w:rPr>
        <w:t>, Iran). Intra-assay and inter</w:t>
      </w:r>
      <w:r w:rsidR="00160592" w:rsidRPr="00154C9E">
        <w:rPr>
          <w:rFonts w:asciiTheme="majorBidi" w:hAnsiTheme="majorBidi" w:cstheme="majorBidi"/>
          <w:sz w:val="24"/>
          <w:szCs w:val="24"/>
        </w:rPr>
        <w:t xml:space="preserve"> </w:t>
      </w:r>
      <w:r w:rsidRPr="00154C9E">
        <w:rPr>
          <w:rFonts w:asciiTheme="majorBidi" w:hAnsiTheme="majorBidi" w:cstheme="majorBidi"/>
          <w:sz w:val="24"/>
          <w:szCs w:val="24"/>
        </w:rPr>
        <w:t xml:space="preserve">assay </w:t>
      </w:r>
      <w:r w:rsidR="00160592" w:rsidRPr="00154C9E">
        <w:rPr>
          <w:rFonts w:asciiTheme="majorBidi" w:hAnsiTheme="majorBidi" w:cstheme="majorBidi"/>
          <w:sz w:val="24"/>
          <w:szCs w:val="24"/>
        </w:rPr>
        <w:t>coefficients</w:t>
      </w:r>
      <w:r w:rsidRPr="00154C9E">
        <w:rPr>
          <w:rFonts w:asciiTheme="majorBidi" w:hAnsiTheme="majorBidi" w:cstheme="majorBidi"/>
          <w:sz w:val="24"/>
          <w:szCs w:val="24"/>
        </w:rPr>
        <w:t xml:space="preserve"> of variation for MDA and TAC are less than 10%. Depression, Anxiety, Stress scale-21(DASS-21) will use to assess the state mood of the participants. DASS-21 is a self-report questionnaire with three subscales that contains seven questions related to each subscale.</w:t>
      </w:r>
    </w:p>
    <w:p w14:paraId="558E8B47" w14:textId="0D998C1A" w:rsidR="00E45BAC" w:rsidRDefault="00E45BAC" w:rsidP="00154C9E">
      <w:pPr>
        <w:pStyle w:val="ListParagraph"/>
        <w:spacing w:line="360" w:lineRule="auto"/>
        <w:ind w:left="1440"/>
        <w:jc w:val="both"/>
        <w:rPr>
          <w:rFonts w:asciiTheme="majorBidi" w:hAnsiTheme="majorBidi" w:cstheme="majorBidi"/>
          <w:b/>
          <w:bCs/>
          <w:sz w:val="24"/>
          <w:szCs w:val="24"/>
          <w:shd w:val="clear" w:color="auto" w:fill="FFFFFF"/>
        </w:rPr>
      </w:pPr>
      <w:r w:rsidRPr="00D85C44">
        <w:rPr>
          <w:rFonts w:asciiTheme="majorBidi" w:hAnsiTheme="majorBidi" w:cstheme="majorBidi"/>
          <w:b/>
          <w:bCs/>
          <w:sz w:val="24"/>
          <w:szCs w:val="24"/>
          <w:shd w:val="clear" w:color="auto" w:fill="FFFFFF"/>
        </w:rPr>
        <w:t>Graphical outline</w:t>
      </w:r>
    </w:p>
    <w:p w14:paraId="3F08A309" w14:textId="02E268C4" w:rsidR="00CA687C" w:rsidRPr="00CA687C" w:rsidRDefault="00CA687C" w:rsidP="00154C9E">
      <w:pPr>
        <w:pStyle w:val="ListParagraph"/>
        <w:spacing w:line="360" w:lineRule="auto"/>
        <w:ind w:left="1440"/>
        <w:jc w:val="both"/>
        <w:rPr>
          <w:rFonts w:asciiTheme="majorBidi" w:hAnsiTheme="majorBidi" w:cstheme="majorBidi"/>
          <w:sz w:val="24"/>
          <w:szCs w:val="24"/>
          <w:shd w:val="clear" w:color="auto" w:fill="FFFFFF"/>
        </w:rPr>
      </w:pPr>
      <w:r w:rsidRPr="00CA687C">
        <w:rPr>
          <w:rFonts w:asciiTheme="majorBidi" w:hAnsiTheme="majorBidi" w:cstheme="majorBidi"/>
          <w:sz w:val="24"/>
          <w:szCs w:val="24"/>
          <w:shd w:val="clear" w:color="auto" w:fill="FFFFFF"/>
        </w:rPr>
        <w:t>The study diagram is shown in Figure 1 of the protocol.</w:t>
      </w:r>
    </w:p>
    <w:p w14:paraId="726051E1" w14:textId="77777777" w:rsidR="00D85C44" w:rsidRPr="00D85C44" w:rsidRDefault="00D85C44" w:rsidP="00154C9E">
      <w:pPr>
        <w:pStyle w:val="ListParagraph"/>
        <w:spacing w:line="360" w:lineRule="auto"/>
        <w:ind w:left="1440"/>
        <w:jc w:val="both"/>
        <w:rPr>
          <w:rFonts w:asciiTheme="majorBidi" w:hAnsiTheme="majorBidi" w:cstheme="majorBidi"/>
          <w:b/>
          <w:bCs/>
          <w:sz w:val="24"/>
          <w:szCs w:val="24"/>
          <w:shd w:val="clear" w:color="auto" w:fill="FFFFFF"/>
          <w:rtl/>
          <w:lang w:bidi="fa-IR"/>
        </w:rPr>
      </w:pPr>
    </w:p>
    <w:p w14:paraId="25D5F2ED" w14:textId="77777777" w:rsidR="00B8229C" w:rsidRPr="000F05B6" w:rsidRDefault="00B8229C" w:rsidP="00154C9E">
      <w:pPr>
        <w:pStyle w:val="Heading3"/>
        <w:shd w:val="clear" w:color="auto" w:fill="FFFFFF"/>
        <w:spacing w:line="360" w:lineRule="auto"/>
        <w:jc w:val="both"/>
        <w:rPr>
          <w:rFonts w:asciiTheme="majorBidi" w:hAnsiTheme="majorBidi" w:cstheme="majorBidi"/>
          <w:sz w:val="24"/>
          <w:szCs w:val="24"/>
        </w:rPr>
      </w:pPr>
      <w:r w:rsidRPr="000F05B6">
        <w:rPr>
          <w:rFonts w:asciiTheme="majorBidi" w:hAnsiTheme="majorBidi" w:cstheme="majorBidi"/>
          <w:sz w:val="24"/>
          <w:szCs w:val="24"/>
        </w:rPr>
        <w:t>Safety considerations</w:t>
      </w:r>
    </w:p>
    <w:p w14:paraId="5C4A236B" w14:textId="52A54C8D" w:rsidR="00857857" w:rsidRPr="000F05B6" w:rsidRDefault="00857857" w:rsidP="00154C9E">
      <w:pPr>
        <w:pStyle w:val="Heading3"/>
        <w:shd w:val="clear" w:color="auto" w:fill="FFFFFF"/>
        <w:spacing w:line="360" w:lineRule="auto"/>
        <w:jc w:val="both"/>
        <w:rPr>
          <w:rFonts w:asciiTheme="majorBidi" w:hAnsiTheme="majorBidi" w:cstheme="majorBidi"/>
          <w:b w:val="0"/>
          <w:bCs w:val="0"/>
          <w:sz w:val="24"/>
          <w:szCs w:val="24"/>
          <w:rtl/>
          <w:lang w:bidi="fa-IR"/>
        </w:rPr>
      </w:pPr>
      <w:r w:rsidRPr="000F05B6">
        <w:rPr>
          <w:rFonts w:asciiTheme="majorBidi" w:hAnsiTheme="majorBidi" w:cstheme="majorBidi"/>
          <w:b w:val="0"/>
          <w:bCs w:val="0"/>
          <w:sz w:val="24"/>
          <w:szCs w:val="24"/>
        </w:rPr>
        <w:lastRenderedPageBreak/>
        <w:t>The recommended oral daily dosage of is 2.5 to 4.5 grams, according to the World Health Organization monograph.</w:t>
      </w:r>
      <w:r w:rsidR="00BC741A" w:rsidRPr="000F05B6">
        <w:rPr>
          <w:rFonts w:asciiTheme="majorBidi" w:hAnsiTheme="majorBidi" w:cstheme="majorBidi"/>
          <w:sz w:val="24"/>
          <w:szCs w:val="24"/>
        </w:rPr>
        <w:t xml:space="preserve"> </w:t>
      </w:r>
      <w:r w:rsidR="00BC741A" w:rsidRPr="000F05B6">
        <w:rPr>
          <w:rFonts w:asciiTheme="majorBidi" w:hAnsiTheme="majorBidi" w:cstheme="majorBidi"/>
          <w:b w:val="0"/>
          <w:bCs w:val="0"/>
          <w:sz w:val="24"/>
          <w:szCs w:val="24"/>
        </w:rPr>
        <w:t>In our study, the amount consumed did not exceed the permissible limit determined by MTT.</w:t>
      </w:r>
      <w:r w:rsidR="00E51EE0" w:rsidRPr="000F05B6">
        <w:rPr>
          <w:rFonts w:asciiTheme="majorBidi" w:hAnsiTheme="majorBidi" w:cstheme="majorBidi"/>
          <w:b w:val="0"/>
          <w:bCs w:val="0"/>
          <w:sz w:val="24"/>
          <w:szCs w:val="24"/>
        </w:rPr>
        <w:t xml:space="preserve"> There were side effects reported by the study participants after eating bread containing pomegranate peel.</w:t>
      </w:r>
    </w:p>
    <w:p w14:paraId="13DA29B5" w14:textId="77777777" w:rsidR="00B8229C" w:rsidRPr="000F05B6" w:rsidRDefault="00B8229C" w:rsidP="00154C9E">
      <w:pPr>
        <w:pStyle w:val="Heading3"/>
        <w:shd w:val="clear" w:color="auto" w:fill="FFFFFF"/>
        <w:spacing w:line="360" w:lineRule="auto"/>
        <w:jc w:val="both"/>
        <w:rPr>
          <w:rFonts w:asciiTheme="majorBidi" w:hAnsiTheme="majorBidi" w:cstheme="majorBidi"/>
          <w:sz w:val="24"/>
          <w:szCs w:val="24"/>
        </w:rPr>
      </w:pPr>
      <w:r w:rsidRPr="000F05B6">
        <w:rPr>
          <w:rFonts w:asciiTheme="majorBidi" w:hAnsiTheme="majorBidi" w:cstheme="majorBidi"/>
          <w:sz w:val="24"/>
          <w:szCs w:val="24"/>
        </w:rPr>
        <w:t>Follow-up</w:t>
      </w:r>
    </w:p>
    <w:p w14:paraId="1D30C0E4" w14:textId="7F468A20" w:rsidR="00A70238" w:rsidRPr="00154C9E" w:rsidRDefault="00A70238" w:rsidP="00154C9E">
      <w:pPr>
        <w:pStyle w:val="Heading3"/>
        <w:shd w:val="clear" w:color="auto" w:fill="FFFFFF"/>
        <w:spacing w:line="360" w:lineRule="auto"/>
        <w:jc w:val="both"/>
        <w:rPr>
          <w:rFonts w:asciiTheme="majorBidi" w:hAnsiTheme="majorBidi" w:cstheme="majorBidi"/>
          <w:b w:val="0"/>
          <w:bCs w:val="0"/>
          <w:color w:val="3C4245"/>
          <w:sz w:val="24"/>
          <w:szCs w:val="24"/>
        </w:rPr>
      </w:pPr>
      <w:r w:rsidRPr="00154C9E">
        <w:rPr>
          <w:rFonts w:asciiTheme="majorBidi" w:hAnsiTheme="majorBidi" w:cstheme="majorBidi"/>
          <w:b w:val="0"/>
          <w:bCs w:val="0"/>
          <w:color w:val="212121"/>
          <w:sz w:val="24"/>
          <w:szCs w:val="24"/>
          <w:shd w:val="clear" w:color="auto" w:fill="FFFFFF"/>
        </w:rPr>
        <w:t>Adverse events, enrollment numbers, loss to follow up counts, and withdrawals will be monitored by the research team.</w:t>
      </w:r>
      <w:r w:rsidR="00DC4015" w:rsidRPr="00154C9E">
        <w:rPr>
          <w:rFonts w:asciiTheme="majorBidi" w:hAnsiTheme="majorBidi" w:cstheme="majorBidi"/>
          <w:b w:val="0"/>
          <w:bCs w:val="0"/>
          <w:color w:val="212121"/>
          <w:sz w:val="24"/>
          <w:szCs w:val="24"/>
          <w:shd w:val="clear" w:color="auto" w:fill="FFFFFF"/>
        </w:rPr>
        <w:t xml:space="preserve"> </w:t>
      </w:r>
      <w:r w:rsidR="00726FFD" w:rsidRPr="00726FFD">
        <w:rPr>
          <w:rFonts w:asciiTheme="majorBidi" w:hAnsiTheme="majorBidi" w:cstheme="majorBidi"/>
          <w:b w:val="0"/>
          <w:bCs w:val="0"/>
          <w:color w:val="212121"/>
          <w:sz w:val="24"/>
          <w:szCs w:val="24"/>
          <w:shd w:val="clear" w:color="auto" w:fill="FFFFFF"/>
        </w:rPr>
        <w:t>A 12-week follow-up period was conducted.</w:t>
      </w:r>
    </w:p>
    <w:p w14:paraId="0C985A8F" w14:textId="77777777" w:rsidR="00E02962" w:rsidRDefault="00B8229C" w:rsidP="00E02962">
      <w:pPr>
        <w:pStyle w:val="Heading3"/>
        <w:shd w:val="clear" w:color="auto" w:fill="FFFFFF"/>
        <w:spacing w:line="360" w:lineRule="auto"/>
        <w:jc w:val="both"/>
        <w:rPr>
          <w:rFonts w:asciiTheme="majorBidi" w:hAnsiTheme="majorBidi" w:cstheme="majorBidi"/>
          <w:sz w:val="24"/>
          <w:szCs w:val="24"/>
        </w:rPr>
      </w:pPr>
      <w:r w:rsidRPr="00E02962">
        <w:rPr>
          <w:rFonts w:asciiTheme="majorBidi" w:hAnsiTheme="majorBidi" w:cstheme="majorBidi"/>
          <w:sz w:val="24"/>
          <w:szCs w:val="24"/>
        </w:rPr>
        <w:t>Data management and statistical analysis</w:t>
      </w:r>
    </w:p>
    <w:p w14:paraId="0FB641CB" w14:textId="0DF511B1" w:rsidR="00DC4015" w:rsidRPr="00E02962" w:rsidRDefault="00DC4015" w:rsidP="00E02962">
      <w:pPr>
        <w:pStyle w:val="Heading3"/>
        <w:shd w:val="clear" w:color="auto" w:fill="FFFFFF"/>
        <w:spacing w:line="360" w:lineRule="auto"/>
        <w:jc w:val="both"/>
        <w:rPr>
          <w:rFonts w:asciiTheme="majorBidi" w:hAnsiTheme="majorBidi" w:cstheme="majorBidi"/>
          <w:b w:val="0"/>
          <w:bCs w:val="0"/>
          <w:sz w:val="24"/>
          <w:szCs w:val="24"/>
        </w:rPr>
      </w:pPr>
      <w:r w:rsidRPr="00E02962">
        <w:rPr>
          <w:rFonts w:asciiTheme="majorBidi" w:hAnsiTheme="majorBidi" w:cstheme="majorBidi"/>
          <w:b w:val="0"/>
          <w:bCs w:val="0"/>
          <w:color w:val="212121"/>
          <w:sz w:val="24"/>
          <w:szCs w:val="24"/>
        </w:rPr>
        <w:t>Results and adverse events will be double-checked using SPSS software (Version 20). It is validated by SPSS Inc., Chicago, IL, USA. Missing data, outliers, and violations of normality will be assessed.</w:t>
      </w:r>
      <w:r w:rsidR="00E02962" w:rsidRPr="00E02962">
        <w:rPr>
          <w:rFonts w:asciiTheme="majorBidi" w:hAnsiTheme="majorBidi" w:cstheme="majorBidi"/>
          <w:b w:val="0"/>
          <w:bCs w:val="0"/>
          <w:color w:val="212121"/>
        </w:rPr>
        <w:t xml:space="preserve"> </w:t>
      </w:r>
      <w:r w:rsidRPr="00E02962">
        <w:rPr>
          <w:rFonts w:asciiTheme="majorBidi" w:hAnsiTheme="majorBidi" w:cstheme="majorBidi"/>
          <w:b w:val="0"/>
          <w:bCs w:val="0"/>
          <w:color w:val="212121"/>
          <w:sz w:val="24"/>
          <w:szCs w:val="24"/>
        </w:rPr>
        <w:t>For continuous variables, data will be expressed as mean ± SD, while for qualitative variables, a frequency report will be provided. To determine whether the data is under the normal distribution, we will use the Kolmogorov–Smirnov test. Paired samples t-test will be used to compare the before and after values within each study group. Independent samples t-test will be used to compare baseline and after data between the two study groups. Mann-</w:t>
      </w:r>
      <w:proofErr w:type="spellStart"/>
      <w:r w:rsidRPr="00E02962">
        <w:rPr>
          <w:rFonts w:asciiTheme="majorBidi" w:hAnsiTheme="majorBidi" w:cstheme="majorBidi"/>
          <w:b w:val="0"/>
          <w:bCs w:val="0"/>
          <w:color w:val="212121"/>
          <w:sz w:val="24"/>
          <w:szCs w:val="24"/>
        </w:rPr>
        <w:t>Withney</w:t>
      </w:r>
      <w:proofErr w:type="spellEnd"/>
      <w:r w:rsidRPr="00E02962">
        <w:rPr>
          <w:rFonts w:asciiTheme="majorBidi" w:hAnsiTheme="majorBidi" w:cstheme="majorBidi"/>
          <w:b w:val="0"/>
          <w:bCs w:val="0"/>
          <w:color w:val="212121"/>
          <w:sz w:val="24"/>
          <w:szCs w:val="24"/>
        </w:rPr>
        <w:t xml:space="preserve"> test for non-normal data will be applied. The mean of differences between baseline and 3 months in primary and secondary outcomes will be calculated for each of the groups and will be compared by independent samples t-test. Univariate analysis of covariance (ANCOVA) will be used to control for confounders including baseline values. Since these parameters are not normally distributed, non-parametric tests will be used. Mann-</w:t>
      </w:r>
      <w:proofErr w:type="spellStart"/>
      <w:r w:rsidRPr="00E02962">
        <w:rPr>
          <w:rFonts w:asciiTheme="majorBidi" w:hAnsiTheme="majorBidi" w:cstheme="majorBidi"/>
          <w:b w:val="0"/>
          <w:bCs w:val="0"/>
          <w:color w:val="212121"/>
          <w:sz w:val="24"/>
          <w:szCs w:val="24"/>
        </w:rPr>
        <w:t>Withney</w:t>
      </w:r>
      <w:proofErr w:type="spellEnd"/>
      <w:r w:rsidRPr="00E02962">
        <w:rPr>
          <w:rFonts w:asciiTheme="majorBidi" w:hAnsiTheme="majorBidi" w:cstheme="majorBidi"/>
          <w:b w:val="0"/>
          <w:bCs w:val="0"/>
          <w:color w:val="212121"/>
          <w:sz w:val="24"/>
          <w:szCs w:val="24"/>
        </w:rPr>
        <w:t xml:space="preserve"> or Wilcoxon signed-rank tests will be used as appropriate to check for changes within and between groups.</w:t>
      </w:r>
      <w:r w:rsidR="00E02962">
        <w:rPr>
          <w:rFonts w:asciiTheme="majorBidi" w:hAnsiTheme="majorBidi" w:cstheme="majorBidi"/>
          <w:b w:val="0"/>
          <w:bCs w:val="0"/>
          <w:color w:val="212121"/>
          <w:sz w:val="24"/>
          <w:szCs w:val="24"/>
        </w:rPr>
        <w:t xml:space="preserve"> </w:t>
      </w:r>
      <w:r w:rsidRPr="00E02962">
        <w:rPr>
          <w:rFonts w:asciiTheme="majorBidi" w:hAnsiTheme="majorBidi" w:cstheme="majorBidi"/>
          <w:b w:val="0"/>
          <w:bCs w:val="0"/>
          <w:color w:val="212121"/>
          <w:sz w:val="24"/>
          <w:szCs w:val="24"/>
        </w:rPr>
        <w:t>Two-sided tests will be used. Also, in all analyses, the value of </w:t>
      </w:r>
      <w:r w:rsidRPr="00E02962">
        <w:rPr>
          <w:rStyle w:val="Emphasis"/>
          <w:rFonts w:asciiTheme="majorBidi" w:hAnsiTheme="majorBidi" w:cstheme="majorBidi"/>
          <w:b w:val="0"/>
          <w:bCs w:val="0"/>
          <w:color w:val="212121"/>
          <w:sz w:val="24"/>
          <w:szCs w:val="24"/>
        </w:rPr>
        <w:t>P</w:t>
      </w:r>
      <w:r w:rsidRPr="00E02962">
        <w:rPr>
          <w:rFonts w:asciiTheme="majorBidi" w:hAnsiTheme="majorBidi" w:cstheme="majorBidi"/>
          <w:b w:val="0"/>
          <w:bCs w:val="0"/>
          <w:color w:val="212121"/>
          <w:sz w:val="24"/>
          <w:szCs w:val="24"/>
        </w:rPr>
        <w:t>-value &lt; 0.05 will be considered statistically significant.</w:t>
      </w:r>
    </w:p>
    <w:p w14:paraId="41A659E0" w14:textId="77777777" w:rsidR="00DB3D84" w:rsidRDefault="00B8229C" w:rsidP="00DB3D84">
      <w:pPr>
        <w:pStyle w:val="Heading3"/>
        <w:shd w:val="clear" w:color="auto" w:fill="FFFFFF"/>
        <w:spacing w:line="360" w:lineRule="auto"/>
        <w:jc w:val="both"/>
        <w:rPr>
          <w:rFonts w:asciiTheme="majorBidi" w:hAnsiTheme="majorBidi" w:cstheme="majorBidi"/>
          <w:sz w:val="24"/>
          <w:szCs w:val="24"/>
        </w:rPr>
      </w:pPr>
      <w:r w:rsidRPr="00E02962">
        <w:rPr>
          <w:rFonts w:asciiTheme="majorBidi" w:hAnsiTheme="majorBidi" w:cstheme="majorBidi"/>
          <w:sz w:val="24"/>
          <w:szCs w:val="24"/>
        </w:rPr>
        <w:t>Quality assurance</w:t>
      </w:r>
    </w:p>
    <w:p w14:paraId="50C84875" w14:textId="486E119C" w:rsidR="00082B08" w:rsidRPr="00DB3D84" w:rsidRDefault="00082B08" w:rsidP="00DB3D84">
      <w:pPr>
        <w:pStyle w:val="Heading3"/>
        <w:shd w:val="clear" w:color="auto" w:fill="FFFFFF"/>
        <w:spacing w:line="360" w:lineRule="auto"/>
        <w:jc w:val="both"/>
        <w:rPr>
          <w:rFonts w:asciiTheme="majorBidi" w:hAnsiTheme="majorBidi" w:cstheme="majorBidi"/>
          <w:sz w:val="24"/>
          <w:szCs w:val="24"/>
        </w:rPr>
      </w:pPr>
      <w:r w:rsidRPr="00154C9E">
        <w:rPr>
          <w:rFonts w:asciiTheme="majorBidi" w:hAnsiTheme="majorBidi" w:cstheme="majorBidi"/>
          <w:b w:val="0"/>
          <w:bCs w:val="0"/>
          <w:sz w:val="24"/>
          <w:szCs w:val="24"/>
        </w:rPr>
        <w:t>Patients will be briefed with the reasons for the work and how the plan is implemented by telephone and face to face contact. Also, participant’s compliance with the consumption of bread will be monitored through telephone interviews once a week.</w:t>
      </w:r>
    </w:p>
    <w:p w14:paraId="4A5A3DF1" w14:textId="77777777" w:rsidR="00B8229C" w:rsidRPr="00DB3D84" w:rsidRDefault="00B8229C" w:rsidP="00154C9E">
      <w:pPr>
        <w:pStyle w:val="Heading3"/>
        <w:shd w:val="clear" w:color="auto" w:fill="FFFFFF"/>
        <w:spacing w:line="360" w:lineRule="auto"/>
        <w:jc w:val="both"/>
        <w:rPr>
          <w:rFonts w:asciiTheme="majorBidi" w:hAnsiTheme="majorBidi" w:cstheme="majorBidi"/>
          <w:sz w:val="24"/>
          <w:szCs w:val="24"/>
        </w:rPr>
      </w:pPr>
      <w:r w:rsidRPr="00DB3D84">
        <w:rPr>
          <w:rFonts w:asciiTheme="majorBidi" w:hAnsiTheme="majorBidi" w:cstheme="majorBidi"/>
          <w:sz w:val="24"/>
          <w:szCs w:val="24"/>
        </w:rPr>
        <w:lastRenderedPageBreak/>
        <w:t>Expected outcomes of the study</w:t>
      </w:r>
    </w:p>
    <w:p w14:paraId="1E603E53" w14:textId="77777777" w:rsidR="00DC4015" w:rsidRPr="00154C9E" w:rsidRDefault="00DC4015" w:rsidP="00154C9E">
      <w:pPr>
        <w:pStyle w:val="Heading5"/>
        <w:shd w:val="clear" w:color="auto" w:fill="FFFFFF"/>
        <w:spacing w:before="0" w:line="360" w:lineRule="auto"/>
        <w:jc w:val="both"/>
        <w:rPr>
          <w:rFonts w:asciiTheme="majorBidi" w:hAnsiTheme="majorBidi"/>
          <w:color w:val="212121"/>
          <w:spacing w:val="-2"/>
          <w:sz w:val="24"/>
          <w:szCs w:val="24"/>
        </w:rPr>
      </w:pPr>
      <w:r w:rsidRPr="00154C9E">
        <w:rPr>
          <w:rFonts w:asciiTheme="majorBidi" w:hAnsiTheme="majorBidi"/>
          <w:b/>
          <w:bCs/>
          <w:color w:val="212121"/>
          <w:spacing w:val="-2"/>
          <w:sz w:val="24"/>
          <w:szCs w:val="24"/>
        </w:rPr>
        <w:t>Primary outcomes </w:t>
      </w:r>
    </w:p>
    <w:p w14:paraId="6D43AE7F" w14:textId="77777777" w:rsidR="00DC4015" w:rsidRPr="00154C9E" w:rsidRDefault="00DC4015" w:rsidP="00154C9E">
      <w:pPr>
        <w:pStyle w:val="p"/>
        <w:shd w:val="clear" w:color="auto" w:fill="FFFFFF"/>
        <w:spacing w:before="400" w:beforeAutospacing="0" w:after="400" w:afterAutospacing="0" w:line="360" w:lineRule="auto"/>
        <w:jc w:val="both"/>
        <w:rPr>
          <w:rFonts w:asciiTheme="majorBidi" w:hAnsiTheme="majorBidi" w:cstheme="majorBidi"/>
          <w:color w:val="212121"/>
        </w:rPr>
      </w:pPr>
      <w:r w:rsidRPr="00154C9E">
        <w:rPr>
          <w:rFonts w:asciiTheme="majorBidi" w:hAnsiTheme="majorBidi" w:cstheme="majorBidi"/>
          <w:color w:val="212121"/>
        </w:rPr>
        <w:t>The primary outcomes of this clinical trial are the changes in HbA1C, FBS, insulin, lipid profile (triglyceride, total cholesterol, HDL-cholesterol, LDL-cholesterol), Oxidative stress biomarkers such as TAC, inflammation factors such as MDA and mood states at the end of the study in comparison with the baseline values.</w:t>
      </w:r>
    </w:p>
    <w:p w14:paraId="588A2EC1" w14:textId="77777777" w:rsidR="00DC4015" w:rsidRPr="00DB3D84" w:rsidRDefault="00DC4015" w:rsidP="00154C9E">
      <w:pPr>
        <w:pStyle w:val="Heading5"/>
        <w:shd w:val="clear" w:color="auto" w:fill="FFFFFF"/>
        <w:spacing w:before="0" w:line="360" w:lineRule="auto"/>
        <w:jc w:val="both"/>
        <w:rPr>
          <w:rFonts w:asciiTheme="majorBidi" w:hAnsiTheme="majorBidi"/>
          <w:b/>
          <w:bCs/>
          <w:color w:val="212121"/>
          <w:spacing w:val="-2"/>
          <w:sz w:val="24"/>
          <w:szCs w:val="24"/>
        </w:rPr>
      </w:pPr>
      <w:r w:rsidRPr="00154C9E">
        <w:rPr>
          <w:rFonts w:asciiTheme="majorBidi" w:hAnsiTheme="majorBidi"/>
          <w:b/>
          <w:bCs/>
          <w:color w:val="212121"/>
          <w:spacing w:val="-2"/>
          <w:sz w:val="24"/>
          <w:szCs w:val="24"/>
        </w:rPr>
        <w:t>Secondary outcomes </w:t>
      </w:r>
    </w:p>
    <w:p w14:paraId="48307C40" w14:textId="77777777" w:rsidR="00DC4015" w:rsidRPr="00154C9E" w:rsidRDefault="00DC4015" w:rsidP="00154C9E">
      <w:pPr>
        <w:pStyle w:val="p"/>
        <w:shd w:val="clear" w:color="auto" w:fill="FFFFFF"/>
        <w:spacing w:before="400" w:beforeAutospacing="0" w:after="400" w:afterAutospacing="0" w:line="360" w:lineRule="auto"/>
        <w:jc w:val="both"/>
        <w:rPr>
          <w:rFonts w:asciiTheme="majorBidi" w:hAnsiTheme="majorBidi" w:cstheme="majorBidi"/>
          <w:color w:val="212121"/>
        </w:rPr>
      </w:pPr>
      <w:r w:rsidRPr="00154C9E">
        <w:rPr>
          <w:rFonts w:asciiTheme="majorBidi" w:hAnsiTheme="majorBidi" w:cstheme="majorBidi"/>
          <w:color w:val="212121"/>
        </w:rPr>
        <w:t>The secondary outcomes of this clinical trial are weight changes, BMI, WC and blood pressure.</w:t>
      </w:r>
    </w:p>
    <w:p w14:paraId="65C5971F" w14:textId="77777777" w:rsidR="00B8229C" w:rsidRPr="00DB3D84" w:rsidRDefault="00B8229C" w:rsidP="00154C9E">
      <w:pPr>
        <w:pStyle w:val="Heading3"/>
        <w:shd w:val="clear" w:color="auto" w:fill="FFFFFF"/>
        <w:spacing w:line="360" w:lineRule="auto"/>
        <w:jc w:val="both"/>
        <w:rPr>
          <w:rFonts w:asciiTheme="majorBidi" w:hAnsiTheme="majorBidi" w:cstheme="majorBidi"/>
          <w:sz w:val="24"/>
          <w:szCs w:val="24"/>
        </w:rPr>
      </w:pPr>
      <w:r w:rsidRPr="00DB3D84">
        <w:rPr>
          <w:rFonts w:asciiTheme="majorBidi" w:hAnsiTheme="majorBidi" w:cstheme="majorBidi"/>
          <w:sz w:val="24"/>
          <w:szCs w:val="24"/>
        </w:rPr>
        <w:t>Dissemination of results and publication policy</w:t>
      </w:r>
    </w:p>
    <w:p w14:paraId="0C03A04C" w14:textId="6C5E9E75" w:rsidR="008D5E84" w:rsidRPr="00DB3D84" w:rsidRDefault="008D5E84" w:rsidP="00154C9E">
      <w:pPr>
        <w:pStyle w:val="Heading3"/>
        <w:shd w:val="clear" w:color="auto" w:fill="FFFFFF"/>
        <w:spacing w:line="360" w:lineRule="auto"/>
        <w:jc w:val="both"/>
        <w:rPr>
          <w:rFonts w:asciiTheme="majorBidi" w:hAnsiTheme="majorBidi" w:cstheme="majorBidi"/>
          <w:b w:val="0"/>
          <w:bCs w:val="0"/>
          <w:sz w:val="24"/>
          <w:szCs w:val="24"/>
        </w:rPr>
      </w:pPr>
      <w:r w:rsidRPr="00DB3D84">
        <w:rPr>
          <w:rFonts w:asciiTheme="majorBidi" w:hAnsiTheme="majorBidi" w:cstheme="majorBidi"/>
          <w:b w:val="0"/>
          <w:bCs w:val="0"/>
          <w:sz w:val="24"/>
          <w:szCs w:val="24"/>
        </w:rPr>
        <w:t>Results of scientific meetings will be published in articles and presented as lectures.</w:t>
      </w:r>
      <w:r w:rsidR="00590F98" w:rsidRPr="00DB3D84">
        <w:rPr>
          <w:rFonts w:asciiTheme="majorBidi" w:hAnsiTheme="majorBidi" w:cstheme="majorBidi"/>
          <w:b w:val="0"/>
          <w:bCs w:val="0"/>
          <w:sz w:val="24"/>
          <w:szCs w:val="24"/>
        </w:rPr>
        <w:t xml:space="preserve"> Several pamphlets will be printed for the general public, as well as lectures in public health clinics.</w:t>
      </w:r>
    </w:p>
    <w:p w14:paraId="55A82D74" w14:textId="77777777" w:rsidR="00B8229C" w:rsidRPr="00DB3D84" w:rsidRDefault="00B8229C" w:rsidP="00154C9E">
      <w:pPr>
        <w:pStyle w:val="Heading3"/>
        <w:shd w:val="clear" w:color="auto" w:fill="FFFFFF"/>
        <w:spacing w:line="360" w:lineRule="auto"/>
        <w:jc w:val="both"/>
        <w:rPr>
          <w:rFonts w:asciiTheme="majorBidi" w:hAnsiTheme="majorBidi" w:cstheme="majorBidi"/>
          <w:sz w:val="24"/>
          <w:szCs w:val="24"/>
        </w:rPr>
      </w:pPr>
      <w:r w:rsidRPr="00DB3D84">
        <w:rPr>
          <w:rFonts w:asciiTheme="majorBidi" w:hAnsiTheme="majorBidi" w:cstheme="majorBidi"/>
          <w:sz w:val="24"/>
          <w:szCs w:val="24"/>
        </w:rPr>
        <w:t>Duration of the project</w:t>
      </w:r>
    </w:p>
    <w:p w14:paraId="2F1917FE" w14:textId="68822B4D" w:rsidR="002C3EA1" w:rsidRPr="002C3EA1" w:rsidRDefault="002C3EA1" w:rsidP="00154C9E">
      <w:pPr>
        <w:pStyle w:val="Heading3"/>
        <w:shd w:val="clear" w:color="auto" w:fill="FFFFFF"/>
        <w:spacing w:line="360" w:lineRule="auto"/>
        <w:jc w:val="both"/>
        <w:rPr>
          <w:rFonts w:asciiTheme="majorBidi" w:hAnsiTheme="majorBidi" w:cstheme="majorBidi"/>
          <w:b w:val="0"/>
          <w:bCs w:val="0"/>
          <w:sz w:val="24"/>
          <w:szCs w:val="24"/>
        </w:rPr>
      </w:pPr>
      <w:r w:rsidRPr="002C3EA1">
        <w:rPr>
          <w:rFonts w:asciiTheme="majorBidi" w:hAnsiTheme="majorBidi" w:cstheme="majorBidi"/>
          <w:b w:val="0"/>
          <w:bCs w:val="0"/>
          <w:sz w:val="24"/>
          <w:szCs w:val="24"/>
        </w:rPr>
        <w:t>There was a run-in period of two weeks and an intervention period of twelve weeks.</w:t>
      </w:r>
      <w:r w:rsidR="002C04CC">
        <w:rPr>
          <w:rFonts w:asciiTheme="majorBidi" w:hAnsiTheme="majorBidi" w:cstheme="majorBidi" w:hint="cs"/>
          <w:b w:val="0"/>
          <w:bCs w:val="0"/>
          <w:sz w:val="24"/>
          <w:szCs w:val="24"/>
          <w:rtl/>
        </w:rPr>
        <w:t xml:space="preserve"> </w:t>
      </w:r>
      <w:r w:rsidR="002C04CC" w:rsidRPr="002C04CC">
        <w:rPr>
          <w:rFonts w:asciiTheme="majorBidi" w:hAnsiTheme="majorBidi" w:cstheme="majorBidi"/>
          <w:b w:val="0"/>
          <w:bCs w:val="0"/>
          <w:sz w:val="24"/>
          <w:szCs w:val="24"/>
        </w:rPr>
        <w:t>The timing of the research is shown in Table 2 of the protocol</w:t>
      </w:r>
    </w:p>
    <w:p w14:paraId="44243E58" w14:textId="14918E9F" w:rsidR="00B8229C" w:rsidRDefault="00B8229C" w:rsidP="00154C9E">
      <w:pPr>
        <w:pStyle w:val="Heading3"/>
        <w:shd w:val="clear" w:color="auto" w:fill="FFFFFF"/>
        <w:spacing w:line="360" w:lineRule="auto"/>
        <w:jc w:val="both"/>
        <w:rPr>
          <w:rFonts w:asciiTheme="majorBidi" w:hAnsiTheme="majorBidi" w:cstheme="majorBidi"/>
          <w:sz w:val="24"/>
          <w:szCs w:val="24"/>
        </w:rPr>
      </w:pPr>
      <w:r w:rsidRPr="002C3EA1">
        <w:rPr>
          <w:rFonts w:asciiTheme="majorBidi" w:hAnsiTheme="majorBidi" w:cstheme="majorBidi"/>
          <w:sz w:val="24"/>
          <w:szCs w:val="24"/>
        </w:rPr>
        <w:t>Problems anticipated</w:t>
      </w:r>
    </w:p>
    <w:p w14:paraId="671F79B0" w14:textId="673274F1" w:rsidR="00DC4015" w:rsidRPr="00DC2132" w:rsidRDefault="00DC2132" w:rsidP="00DC2132">
      <w:pPr>
        <w:pStyle w:val="Heading3"/>
        <w:shd w:val="clear" w:color="auto" w:fill="FFFFFF"/>
        <w:spacing w:line="360" w:lineRule="auto"/>
        <w:jc w:val="both"/>
        <w:rPr>
          <w:rFonts w:asciiTheme="majorBidi" w:hAnsiTheme="majorBidi" w:cstheme="majorBidi"/>
          <w:sz w:val="24"/>
          <w:szCs w:val="24"/>
        </w:rPr>
      </w:pPr>
      <w:r w:rsidRPr="00DC2132">
        <w:rPr>
          <w:rFonts w:asciiTheme="majorBidi" w:hAnsiTheme="majorBidi" w:cstheme="majorBidi"/>
          <w:b w:val="0"/>
          <w:bCs w:val="0"/>
          <w:sz w:val="24"/>
          <w:szCs w:val="24"/>
        </w:rPr>
        <w:t>During the research, COVID-19 epidemics and a lack of patient visits were the main problems. For instance, patients had to visit for bread every 12 weeks. As a result, many patients refused to work in the same sessions</w:t>
      </w:r>
      <w:r w:rsidRPr="00DC2132">
        <w:rPr>
          <w:rFonts w:asciiTheme="majorBidi" w:hAnsiTheme="majorBidi" w:cstheme="majorBidi"/>
          <w:sz w:val="24"/>
          <w:szCs w:val="24"/>
        </w:rPr>
        <w:t>.</w:t>
      </w:r>
      <w:r>
        <w:rPr>
          <w:rFonts w:asciiTheme="majorBidi" w:hAnsiTheme="majorBidi" w:cstheme="majorBidi"/>
          <w:sz w:val="24"/>
          <w:szCs w:val="24"/>
        </w:rPr>
        <w:t xml:space="preserve"> </w:t>
      </w:r>
      <w:r w:rsidR="00DC4015" w:rsidRPr="00154C9E">
        <w:rPr>
          <w:rFonts w:asciiTheme="majorBidi" w:hAnsiTheme="majorBidi" w:cstheme="majorBidi"/>
          <w:b w:val="0"/>
          <w:bCs w:val="0"/>
          <w:color w:val="212121"/>
          <w:sz w:val="24"/>
          <w:szCs w:val="24"/>
          <w:shd w:val="clear" w:color="auto" w:fill="FFFFFF"/>
        </w:rPr>
        <w:t>The recruitment of participants began in May 2021 and was expected to be completed in October 2022. Due to the Covid-19 pandemic, we have had a lot of drop-outs, and hence, the study took longer than expected. The intervention and follow-ups are scheduled to be completed in January 2023</w:t>
      </w:r>
      <w:r w:rsidR="00DC4015" w:rsidRPr="00154C9E">
        <w:rPr>
          <w:rFonts w:asciiTheme="majorBidi" w:hAnsiTheme="majorBidi" w:cstheme="majorBidi"/>
          <w:color w:val="212121"/>
          <w:sz w:val="24"/>
          <w:szCs w:val="24"/>
          <w:shd w:val="clear" w:color="auto" w:fill="FFFFFF"/>
        </w:rPr>
        <w:t>.</w:t>
      </w:r>
    </w:p>
    <w:p w14:paraId="56E488EF" w14:textId="77777777" w:rsidR="00B8229C" w:rsidRPr="00CA687C" w:rsidRDefault="00B8229C" w:rsidP="00154C9E">
      <w:pPr>
        <w:pStyle w:val="Heading3"/>
        <w:shd w:val="clear" w:color="auto" w:fill="FFFFFF"/>
        <w:spacing w:line="360" w:lineRule="auto"/>
        <w:jc w:val="both"/>
        <w:rPr>
          <w:rFonts w:asciiTheme="majorBidi" w:hAnsiTheme="majorBidi" w:cstheme="majorBidi"/>
          <w:sz w:val="24"/>
          <w:szCs w:val="24"/>
        </w:rPr>
      </w:pPr>
      <w:r w:rsidRPr="00CA687C">
        <w:rPr>
          <w:rFonts w:asciiTheme="majorBidi" w:hAnsiTheme="majorBidi" w:cstheme="majorBidi"/>
          <w:sz w:val="24"/>
          <w:szCs w:val="24"/>
        </w:rPr>
        <w:t>Project management</w:t>
      </w:r>
    </w:p>
    <w:p w14:paraId="07F30F06" w14:textId="77777777" w:rsidR="00AB0AE2" w:rsidRPr="00AB0AE2" w:rsidRDefault="00B8229C" w:rsidP="00AB0AE2">
      <w:pPr>
        <w:pStyle w:val="Heading3"/>
        <w:shd w:val="clear" w:color="auto" w:fill="FFFFFF"/>
        <w:spacing w:line="360" w:lineRule="auto"/>
        <w:jc w:val="both"/>
        <w:rPr>
          <w:rFonts w:asciiTheme="majorBidi" w:hAnsiTheme="majorBidi" w:cstheme="majorBidi"/>
          <w:b w:val="0"/>
          <w:bCs w:val="0"/>
          <w:color w:val="3C4245"/>
          <w:sz w:val="24"/>
          <w:szCs w:val="24"/>
        </w:rPr>
      </w:pPr>
      <w:r w:rsidRPr="00AB0AE2">
        <w:rPr>
          <w:rFonts w:asciiTheme="majorBidi" w:hAnsiTheme="majorBidi" w:cstheme="majorBidi"/>
          <w:b w:val="0"/>
          <w:bCs w:val="0"/>
          <w:sz w:val="24"/>
          <w:szCs w:val="24"/>
        </w:rPr>
        <w:lastRenderedPageBreak/>
        <w:t xml:space="preserve">Reza Amani and Maryam Zare designed the initial idea of this study, the statistical analysis plan, carrying out the trial, writing protocol manuscript and final revision. RA supervised the study. </w:t>
      </w:r>
      <w:r w:rsidR="00AB0AE2" w:rsidRPr="00AB0AE2">
        <w:rPr>
          <w:rFonts w:asciiTheme="majorBidi" w:hAnsiTheme="majorBidi" w:cstheme="majorBidi"/>
          <w:b w:val="0"/>
          <w:bCs w:val="0"/>
          <w:sz w:val="24"/>
          <w:szCs w:val="24"/>
        </w:rPr>
        <w:t xml:space="preserve">Mohammad Javad </w:t>
      </w:r>
      <w:proofErr w:type="spellStart"/>
      <w:r w:rsidR="00AB0AE2" w:rsidRPr="00AB0AE2">
        <w:rPr>
          <w:rFonts w:asciiTheme="majorBidi" w:hAnsiTheme="majorBidi" w:cstheme="majorBidi"/>
          <w:b w:val="0"/>
          <w:bCs w:val="0"/>
          <w:sz w:val="24"/>
          <w:szCs w:val="24"/>
        </w:rPr>
        <w:t>Tarrahi</w:t>
      </w:r>
      <w:proofErr w:type="spellEnd"/>
      <w:r w:rsidR="00AB0AE2" w:rsidRPr="00AB0AE2">
        <w:rPr>
          <w:rFonts w:asciiTheme="majorBidi" w:hAnsiTheme="majorBidi" w:cstheme="majorBidi"/>
          <w:b w:val="0"/>
          <w:bCs w:val="0"/>
          <w:sz w:val="24"/>
          <w:szCs w:val="24"/>
        </w:rPr>
        <w:t xml:space="preserve"> helped with, designing the protocol statistical analysis. </w:t>
      </w:r>
    </w:p>
    <w:p w14:paraId="58B576BD" w14:textId="4E4884A2" w:rsidR="00B8229C" w:rsidRPr="00154C9E" w:rsidRDefault="00AB0AE2" w:rsidP="00AB0AE2">
      <w:pPr>
        <w:pStyle w:val="Heading3"/>
        <w:shd w:val="clear" w:color="auto" w:fill="FFFFFF"/>
        <w:spacing w:line="360" w:lineRule="auto"/>
        <w:jc w:val="both"/>
        <w:rPr>
          <w:rFonts w:asciiTheme="majorBidi" w:hAnsiTheme="majorBidi" w:cstheme="majorBidi"/>
          <w:b w:val="0"/>
          <w:bCs w:val="0"/>
          <w:color w:val="3C4245"/>
          <w:sz w:val="24"/>
          <w:szCs w:val="24"/>
        </w:rPr>
      </w:pPr>
      <w:r w:rsidRPr="00AB0AE2">
        <w:rPr>
          <w:rFonts w:asciiTheme="majorBidi" w:hAnsiTheme="majorBidi" w:cstheme="majorBidi"/>
          <w:b w:val="0"/>
          <w:bCs w:val="0"/>
          <w:color w:val="000000" w:themeColor="text1"/>
          <w:sz w:val="24"/>
          <w:szCs w:val="24"/>
        </w:rPr>
        <w:t>Omid Sadeghi</w:t>
      </w:r>
      <w:r w:rsidRPr="00AB0AE2">
        <w:rPr>
          <w:rFonts w:asciiTheme="majorBidi" w:hAnsiTheme="majorBidi" w:cstheme="majorBidi"/>
          <w:b w:val="0"/>
          <w:bCs w:val="0"/>
          <w:sz w:val="24"/>
          <w:szCs w:val="24"/>
        </w:rPr>
        <w:t xml:space="preserve">: </w:t>
      </w:r>
      <w:r w:rsidRPr="00AB0AE2">
        <w:rPr>
          <w:rFonts w:asciiTheme="majorBidi" w:hAnsiTheme="majorBidi" w:cstheme="majorBidi"/>
          <w:b w:val="0"/>
          <w:bCs w:val="0"/>
          <w:color w:val="1D2228"/>
          <w:sz w:val="24"/>
          <w:szCs w:val="24"/>
          <w:shd w:val="clear" w:color="auto" w:fill="FFFFFF"/>
        </w:rPr>
        <w:t>Formal analysis and Interpretation of Data</w:t>
      </w:r>
      <w:r w:rsidRPr="00AB0AE2">
        <w:rPr>
          <w:rFonts w:asciiTheme="majorBidi" w:hAnsiTheme="majorBidi" w:cstheme="majorBidi"/>
          <w:b w:val="0"/>
          <w:bCs w:val="0"/>
          <w:sz w:val="24"/>
          <w:szCs w:val="24"/>
        </w:rPr>
        <w:t>, Writing – reviewing and editing draft</w:t>
      </w:r>
      <w:r w:rsidRPr="00AB0AE2">
        <w:rPr>
          <w:rFonts w:asciiTheme="majorBidi" w:hAnsiTheme="majorBidi" w:cstheme="majorBidi"/>
          <w:sz w:val="24"/>
          <w:szCs w:val="24"/>
        </w:rPr>
        <w:t>.</w:t>
      </w:r>
      <w:r w:rsidRPr="00AB0AE2">
        <w:rPr>
          <w:rFonts w:asciiTheme="majorBidi" w:hAnsiTheme="majorBidi" w:cstheme="majorBidi"/>
          <w:color w:val="000000" w:themeColor="text1"/>
          <w:sz w:val="24"/>
          <w:szCs w:val="24"/>
        </w:rPr>
        <w:t xml:space="preserve"> </w:t>
      </w:r>
      <w:r w:rsidRPr="00AB0AE2">
        <w:rPr>
          <w:rFonts w:asciiTheme="majorBidi" w:hAnsiTheme="majorBidi" w:cstheme="majorBidi"/>
          <w:b w:val="0"/>
          <w:bCs w:val="0"/>
          <w:sz w:val="24"/>
          <w:szCs w:val="24"/>
        </w:rPr>
        <w:t xml:space="preserve">Mozhgan </w:t>
      </w:r>
      <w:proofErr w:type="spellStart"/>
      <w:r w:rsidRPr="00AB0AE2">
        <w:rPr>
          <w:rFonts w:asciiTheme="majorBidi" w:hAnsiTheme="majorBidi" w:cstheme="majorBidi"/>
          <w:b w:val="0"/>
          <w:bCs w:val="0"/>
          <w:sz w:val="24"/>
          <w:szCs w:val="24"/>
        </w:rPr>
        <w:t>Karimifar</w:t>
      </w:r>
      <w:proofErr w:type="spellEnd"/>
      <w:r w:rsidRPr="00AB0AE2">
        <w:rPr>
          <w:rFonts w:asciiTheme="majorBidi" w:hAnsiTheme="majorBidi" w:cstheme="majorBidi"/>
          <w:b w:val="0"/>
          <w:bCs w:val="0"/>
          <w:sz w:val="24"/>
          <w:szCs w:val="24"/>
        </w:rPr>
        <w:t xml:space="preserve"> managed the patients as an endocrinologist, and participated in final revision. </w:t>
      </w:r>
      <w:r w:rsidR="00B8229C" w:rsidRPr="00AB0AE2">
        <w:rPr>
          <w:rFonts w:asciiTheme="majorBidi" w:hAnsiTheme="majorBidi" w:cstheme="majorBidi"/>
          <w:b w:val="0"/>
          <w:bCs w:val="0"/>
          <w:sz w:val="24"/>
          <w:szCs w:val="24"/>
        </w:rPr>
        <w:t xml:space="preserve">Amir Hossein Goli participated in study design and final revision. </w:t>
      </w:r>
    </w:p>
    <w:p w14:paraId="271AD0FA" w14:textId="77777777" w:rsidR="00B8229C" w:rsidRPr="00AC332B" w:rsidRDefault="00B8229C" w:rsidP="00154C9E">
      <w:pPr>
        <w:pStyle w:val="Heading3"/>
        <w:shd w:val="clear" w:color="auto" w:fill="FFFFFF"/>
        <w:spacing w:line="360" w:lineRule="auto"/>
        <w:jc w:val="both"/>
        <w:rPr>
          <w:rFonts w:asciiTheme="majorBidi" w:hAnsiTheme="majorBidi" w:cstheme="majorBidi"/>
          <w:sz w:val="24"/>
          <w:szCs w:val="24"/>
        </w:rPr>
      </w:pPr>
      <w:r w:rsidRPr="00AC332B">
        <w:rPr>
          <w:rFonts w:asciiTheme="majorBidi" w:hAnsiTheme="majorBidi" w:cstheme="majorBidi"/>
          <w:sz w:val="24"/>
          <w:szCs w:val="24"/>
        </w:rPr>
        <w:t>Ethics</w:t>
      </w:r>
    </w:p>
    <w:p w14:paraId="7DA56654" w14:textId="4A7FE936" w:rsidR="00AC332B" w:rsidRPr="0004146D" w:rsidRDefault="00AC332B" w:rsidP="00AC332B">
      <w:pPr>
        <w:autoSpaceDE w:val="0"/>
        <w:autoSpaceDN w:val="0"/>
        <w:adjustRightInd w:val="0"/>
        <w:spacing w:after="0" w:line="480" w:lineRule="auto"/>
        <w:jc w:val="both"/>
        <w:rPr>
          <w:rFonts w:asciiTheme="majorBidi" w:hAnsiTheme="majorBidi" w:cstheme="majorBidi"/>
          <w:sz w:val="24"/>
          <w:szCs w:val="24"/>
        </w:rPr>
      </w:pPr>
      <w:r w:rsidRPr="00AC332B">
        <w:rPr>
          <w:rFonts w:asciiTheme="majorBidi" w:eastAsia="TimesNewRomanPSMT" w:hAnsiTheme="majorBidi" w:cstheme="majorBidi"/>
          <w:sz w:val="24"/>
          <w:szCs w:val="24"/>
        </w:rPr>
        <w:t xml:space="preserve"> </w:t>
      </w:r>
      <w:r w:rsidRPr="0004146D">
        <w:rPr>
          <w:rFonts w:asciiTheme="majorBidi" w:eastAsia="TimesNewRomanPSMT" w:hAnsiTheme="majorBidi" w:cstheme="majorBidi"/>
          <w:sz w:val="24"/>
          <w:szCs w:val="24"/>
        </w:rPr>
        <w:t>The protocol of the present trial was approved</w:t>
      </w:r>
      <w:r>
        <w:rPr>
          <w:rFonts w:asciiTheme="majorBidi" w:eastAsia="TimesNewRomanPSMT" w:hAnsiTheme="majorBidi" w:cstheme="majorBidi"/>
          <w:sz w:val="24"/>
          <w:szCs w:val="24"/>
        </w:rPr>
        <w:t xml:space="preserve"> by the Ethical C</w:t>
      </w:r>
      <w:r w:rsidRPr="0004146D">
        <w:rPr>
          <w:rFonts w:asciiTheme="majorBidi" w:eastAsia="TimesNewRomanPSMT" w:hAnsiTheme="majorBidi" w:cstheme="majorBidi"/>
          <w:sz w:val="24"/>
          <w:szCs w:val="24"/>
        </w:rPr>
        <w:t>ommittee at the</w:t>
      </w:r>
      <w:r>
        <w:rPr>
          <w:rFonts w:asciiTheme="majorBidi" w:eastAsia="TimesNewRomanPSMT" w:hAnsiTheme="majorBidi" w:cstheme="majorBidi"/>
          <w:sz w:val="24"/>
          <w:szCs w:val="24"/>
        </w:rPr>
        <w:t xml:space="preserve"> Isfahan University of Medical S</w:t>
      </w:r>
      <w:r w:rsidRPr="0004146D">
        <w:rPr>
          <w:rFonts w:asciiTheme="majorBidi" w:eastAsia="TimesNewRomanPSMT" w:hAnsiTheme="majorBidi" w:cstheme="majorBidi"/>
          <w:sz w:val="24"/>
          <w:szCs w:val="24"/>
        </w:rPr>
        <w:t>cience</w:t>
      </w:r>
      <w:r>
        <w:rPr>
          <w:rFonts w:asciiTheme="majorBidi" w:eastAsia="TimesNewRomanPSMT" w:hAnsiTheme="majorBidi" w:cstheme="majorBidi"/>
          <w:sz w:val="24"/>
          <w:szCs w:val="24"/>
        </w:rPr>
        <w:t xml:space="preserve">s </w:t>
      </w:r>
      <w:r w:rsidRPr="0004146D">
        <w:rPr>
          <w:rFonts w:asciiTheme="majorBidi" w:eastAsia="TimesNewRomanPSMT" w:hAnsiTheme="majorBidi" w:cstheme="majorBidi"/>
          <w:sz w:val="24"/>
          <w:szCs w:val="24"/>
        </w:rPr>
        <w:t xml:space="preserve">(approval no. IR. MUI.RESEARCH.REC.1399.087) and registered at </w:t>
      </w:r>
      <w:hyperlink r:id="rId6" w:history="1">
        <w:r w:rsidRPr="0004146D">
          <w:rPr>
            <w:rStyle w:val="Hyperlink"/>
            <w:rFonts w:asciiTheme="majorBidi" w:eastAsia="TimesNewRomanPSMT" w:hAnsiTheme="majorBidi" w:cstheme="majorBidi"/>
            <w:sz w:val="24"/>
            <w:szCs w:val="24"/>
          </w:rPr>
          <w:t>www.IRCT.ir</w:t>
        </w:r>
      </w:hyperlink>
      <w:r w:rsidRPr="0004146D">
        <w:rPr>
          <w:rFonts w:asciiTheme="majorBidi" w:eastAsia="TimesNewRomanPSMT" w:hAnsiTheme="majorBidi" w:cstheme="majorBidi"/>
          <w:sz w:val="24"/>
          <w:szCs w:val="24"/>
        </w:rPr>
        <w:t xml:space="preserve"> </w:t>
      </w:r>
      <w:r>
        <w:rPr>
          <w:rFonts w:asciiTheme="majorBidi" w:hAnsiTheme="majorBidi" w:cstheme="majorBidi"/>
          <w:color w:val="0D0D0D" w:themeColor="text1" w:themeTint="F2"/>
          <w:sz w:val="24"/>
          <w:szCs w:val="24"/>
        </w:rPr>
        <w:t>(ID:</w:t>
      </w:r>
      <w:r w:rsidRPr="0004146D">
        <w:rPr>
          <w:rFonts w:asciiTheme="majorBidi" w:hAnsiTheme="majorBidi" w:cstheme="majorBidi"/>
          <w:color w:val="0D0D0D" w:themeColor="text1" w:themeTint="F2"/>
          <w:sz w:val="24"/>
          <w:szCs w:val="24"/>
        </w:rPr>
        <w:t xml:space="preserve"> IRCT20191209045672N1). </w:t>
      </w:r>
      <w:r w:rsidRPr="0004146D">
        <w:rPr>
          <w:rFonts w:asciiTheme="majorBidi" w:hAnsiTheme="majorBidi" w:cstheme="majorBidi"/>
          <w:sz w:val="24"/>
          <w:szCs w:val="24"/>
        </w:rPr>
        <w:t xml:space="preserve">Furthermore, our study was reported based on the Consolidated Standards of Reporting Trials (CONSORT) statement guidelines </w:t>
      </w:r>
      <w:r w:rsidRPr="0004146D">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&lt;EndNote&gt;&lt;Cite&gt;&lt;Author&gt;Bennett&lt;/Author&gt;&lt;Year&gt;2005&lt;/Year&gt;&lt;RecNum&gt;396&lt;/RecNum&gt;&lt;DisplayText&gt;(Bennett, 2005)&lt;/DisplayText&gt;&lt;record&gt;&lt;rec-number&gt;396&lt;/rec-number&gt;&lt;foreign-keys&gt;&lt;key app="EN" db-id="0fzd90ttjszadaeeftlv0ax30z52par95zp0" timestamp="1690909927"&gt;396&lt;/key&gt;&lt;/foreign-keys&gt;&lt;ref-type name="Journal Article"&gt;17&lt;/ref-type&gt;&lt;contributors&gt;&lt;authors&gt;&lt;author&gt;Bennett, Jill A&lt;/author&gt;&lt;/authors&gt;&lt;/contributors&gt;&lt;titles&gt;&lt;title&gt;The consolidated standards of reporting trials (CONSORT): Guidelines for reporting randomized trials&lt;/title&gt;&lt;secondary-title&gt;Nursing Research&lt;/secondary-title&gt;&lt;/titles&gt;&lt;periodical&gt;&lt;full-title&gt;Nursing Research&lt;/full-title&gt;&lt;/periodical&gt;&lt;pages&gt;128-132&lt;/pages&gt;&lt;volume&gt;54&lt;/volume&gt;&lt;number&gt;2&lt;/number&gt;&lt;dates&gt;&lt;year&gt;2005&lt;/year&gt;&lt;/dates&gt;&lt;isbn&gt;0029-6562&lt;/isbn&gt;&lt;urls&gt;&lt;/urls&gt;&lt;/record&gt;&lt;/Cite&gt;&lt;/EndNote&gt;</w:instrText>
      </w:r>
      <w:r w:rsidRPr="0004146D">
        <w:rPr>
          <w:rFonts w:asciiTheme="majorBidi" w:hAnsiTheme="majorBidi" w:cstheme="majorBidi"/>
          <w:sz w:val="24"/>
          <w:szCs w:val="24"/>
        </w:rPr>
        <w:fldChar w:fldCharType="separate"/>
      </w:r>
      <w:r>
        <w:rPr>
          <w:rFonts w:asciiTheme="majorBidi" w:hAnsiTheme="majorBidi" w:cstheme="majorBidi"/>
          <w:noProof/>
          <w:sz w:val="24"/>
          <w:szCs w:val="24"/>
        </w:rPr>
        <w:t>(Bennett, 2005)</w:t>
      </w:r>
      <w:r w:rsidRPr="0004146D">
        <w:rPr>
          <w:rFonts w:asciiTheme="majorBidi" w:hAnsiTheme="majorBidi" w:cstheme="majorBidi"/>
          <w:sz w:val="24"/>
          <w:szCs w:val="24"/>
        </w:rPr>
        <w:fldChar w:fldCharType="end"/>
      </w:r>
      <w:r w:rsidRPr="0004146D">
        <w:rPr>
          <w:rFonts w:asciiTheme="majorBidi" w:hAnsiTheme="majorBidi" w:cstheme="majorBidi"/>
          <w:sz w:val="24"/>
          <w:szCs w:val="24"/>
        </w:rPr>
        <w:t xml:space="preserve">. </w:t>
      </w:r>
    </w:p>
    <w:p w14:paraId="662E3EF7" w14:textId="77777777" w:rsidR="00B8229C" w:rsidRPr="00AC332B" w:rsidRDefault="00B8229C" w:rsidP="00154C9E">
      <w:pPr>
        <w:pStyle w:val="Heading3"/>
        <w:shd w:val="clear" w:color="auto" w:fill="FFFFFF"/>
        <w:spacing w:line="360" w:lineRule="auto"/>
        <w:jc w:val="both"/>
        <w:rPr>
          <w:rFonts w:asciiTheme="majorBidi" w:hAnsiTheme="majorBidi" w:cstheme="majorBidi"/>
          <w:sz w:val="24"/>
          <w:szCs w:val="24"/>
        </w:rPr>
      </w:pPr>
      <w:r w:rsidRPr="00AC332B">
        <w:rPr>
          <w:rFonts w:asciiTheme="majorBidi" w:hAnsiTheme="majorBidi" w:cstheme="majorBidi"/>
          <w:sz w:val="24"/>
          <w:szCs w:val="24"/>
        </w:rPr>
        <w:t>Informed consent forms</w:t>
      </w:r>
    </w:p>
    <w:p w14:paraId="5AA77B97" w14:textId="267DFCD4" w:rsidR="00ED1803" w:rsidRPr="00154C9E" w:rsidRDefault="00ED1803" w:rsidP="00154C9E">
      <w:pPr>
        <w:pStyle w:val="Heading3"/>
        <w:shd w:val="clear" w:color="auto" w:fill="FFFFFF"/>
        <w:spacing w:line="360" w:lineRule="auto"/>
        <w:jc w:val="both"/>
        <w:rPr>
          <w:rFonts w:asciiTheme="majorBidi" w:hAnsiTheme="majorBidi" w:cstheme="majorBidi"/>
          <w:b w:val="0"/>
          <w:bCs w:val="0"/>
          <w:color w:val="3C4245"/>
          <w:sz w:val="24"/>
          <w:szCs w:val="24"/>
        </w:rPr>
      </w:pPr>
      <w:r w:rsidRPr="00154C9E">
        <w:rPr>
          <w:rFonts w:asciiTheme="majorBidi" w:hAnsiTheme="majorBidi" w:cstheme="majorBidi"/>
          <w:b w:val="0"/>
          <w:bCs w:val="0"/>
          <w:sz w:val="24"/>
          <w:szCs w:val="24"/>
        </w:rPr>
        <w:t>Informed consent will be obtained from all participants. An approval from the Medical Ethics Committee of Isfahan University of Medical Sciences will also be needed. Before their enrollment, the patients will be assured that their unwillingness to participate will not affect their usual health care at health centers. The participants will have enough time to review the consent form and ask any questions they should have. They will also receive a copy of the consent document after signing it.</w:t>
      </w:r>
    </w:p>
    <w:p w14:paraId="10963274" w14:textId="77777777" w:rsidR="00B8229C" w:rsidRPr="00712097" w:rsidRDefault="00B8229C" w:rsidP="00154C9E">
      <w:pPr>
        <w:pStyle w:val="Heading3"/>
        <w:shd w:val="clear" w:color="auto" w:fill="FFFFFF"/>
        <w:spacing w:line="360" w:lineRule="auto"/>
        <w:jc w:val="both"/>
        <w:rPr>
          <w:rFonts w:asciiTheme="majorBidi" w:hAnsiTheme="majorBidi" w:cstheme="majorBidi"/>
          <w:sz w:val="24"/>
          <w:szCs w:val="24"/>
        </w:rPr>
      </w:pPr>
      <w:r w:rsidRPr="00712097">
        <w:rPr>
          <w:rFonts w:asciiTheme="majorBidi" w:hAnsiTheme="majorBidi" w:cstheme="majorBidi"/>
          <w:sz w:val="24"/>
          <w:szCs w:val="24"/>
        </w:rPr>
        <w:t>Budget</w:t>
      </w:r>
    </w:p>
    <w:p w14:paraId="46116B60" w14:textId="3E2B4CBF" w:rsidR="00B8229C" w:rsidRPr="00154C9E" w:rsidRDefault="00B8229C" w:rsidP="00154C9E">
      <w:pPr>
        <w:pStyle w:val="Heading3"/>
        <w:shd w:val="clear" w:color="auto" w:fill="FFFFFF"/>
        <w:spacing w:line="360" w:lineRule="auto"/>
        <w:jc w:val="both"/>
        <w:rPr>
          <w:rFonts w:asciiTheme="majorBidi" w:hAnsiTheme="majorBidi" w:cstheme="majorBidi"/>
          <w:b w:val="0"/>
          <w:bCs w:val="0"/>
          <w:color w:val="3C4245"/>
          <w:sz w:val="24"/>
          <w:szCs w:val="24"/>
        </w:rPr>
      </w:pPr>
      <w:r w:rsidRPr="00154C9E">
        <w:rPr>
          <w:rFonts w:asciiTheme="majorBidi" w:hAnsiTheme="majorBidi" w:cstheme="majorBidi"/>
          <w:b w:val="0"/>
          <w:bCs w:val="0"/>
          <w:sz w:val="24"/>
          <w:szCs w:val="24"/>
        </w:rPr>
        <w:t xml:space="preserve">This project was </w:t>
      </w:r>
      <w:r w:rsidR="00CB512B" w:rsidRPr="00154C9E">
        <w:rPr>
          <w:rFonts w:asciiTheme="majorBidi" w:hAnsiTheme="majorBidi" w:cstheme="majorBidi"/>
          <w:b w:val="0"/>
          <w:bCs w:val="0"/>
          <w:sz w:val="24"/>
          <w:szCs w:val="24"/>
        </w:rPr>
        <w:t>financially</w:t>
      </w:r>
      <w:r w:rsidRPr="00154C9E">
        <w:rPr>
          <w:rFonts w:asciiTheme="majorBidi" w:hAnsiTheme="majorBidi" w:cstheme="majorBidi"/>
          <w:b w:val="0"/>
          <w:bCs w:val="0"/>
          <w:sz w:val="24"/>
          <w:szCs w:val="24"/>
        </w:rPr>
        <w:t xml:space="preserve"> supported by the Isfahan University of Medical Sciences (grant number 398978). The sponsor </w:t>
      </w:r>
      <w:r w:rsidR="00DC0DCC" w:rsidRPr="00154C9E">
        <w:rPr>
          <w:rFonts w:asciiTheme="majorBidi" w:hAnsiTheme="majorBidi" w:cstheme="majorBidi"/>
          <w:b w:val="0"/>
          <w:bCs w:val="0"/>
          <w:sz w:val="24"/>
          <w:szCs w:val="24"/>
        </w:rPr>
        <w:t>has</w:t>
      </w:r>
      <w:r w:rsidRPr="00154C9E">
        <w:rPr>
          <w:rFonts w:asciiTheme="majorBidi" w:hAnsiTheme="majorBidi" w:cstheme="majorBidi"/>
          <w:b w:val="0"/>
          <w:bCs w:val="0"/>
          <w:sz w:val="24"/>
          <w:szCs w:val="24"/>
        </w:rPr>
        <w:t xml:space="preserve"> no role in study design; collection, management, analysis, and interpretation of data; writing of the report; and the decision to submitting the information for publication.</w:t>
      </w:r>
    </w:p>
    <w:p w14:paraId="185612D9" w14:textId="77777777" w:rsidR="00B8229C" w:rsidRPr="00CA687C" w:rsidRDefault="00B8229C" w:rsidP="00154C9E">
      <w:pPr>
        <w:pStyle w:val="Heading3"/>
        <w:shd w:val="clear" w:color="auto" w:fill="FFFFFF"/>
        <w:spacing w:line="360" w:lineRule="auto"/>
        <w:jc w:val="both"/>
        <w:rPr>
          <w:rFonts w:asciiTheme="majorBidi" w:hAnsiTheme="majorBidi" w:cstheme="majorBidi"/>
          <w:sz w:val="24"/>
          <w:szCs w:val="24"/>
        </w:rPr>
      </w:pPr>
      <w:r w:rsidRPr="00CA687C">
        <w:rPr>
          <w:rFonts w:asciiTheme="majorBidi" w:hAnsiTheme="majorBidi" w:cstheme="majorBidi"/>
          <w:sz w:val="24"/>
          <w:szCs w:val="24"/>
        </w:rPr>
        <w:t>Other support for the project</w:t>
      </w:r>
    </w:p>
    <w:p w14:paraId="28D8299D" w14:textId="1A2CF05F" w:rsidR="00B8229C" w:rsidRPr="00154C9E" w:rsidRDefault="00B8229C" w:rsidP="00154C9E">
      <w:pPr>
        <w:pStyle w:val="Heading3"/>
        <w:shd w:val="clear" w:color="auto" w:fill="FFFFFF"/>
        <w:spacing w:line="360" w:lineRule="auto"/>
        <w:jc w:val="both"/>
        <w:rPr>
          <w:rFonts w:asciiTheme="majorBidi" w:hAnsiTheme="majorBidi" w:cstheme="majorBidi"/>
          <w:color w:val="3C4245"/>
          <w:sz w:val="24"/>
          <w:szCs w:val="24"/>
        </w:rPr>
      </w:pPr>
      <w:r w:rsidRPr="00154C9E">
        <w:rPr>
          <w:rFonts w:asciiTheme="majorBidi" w:hAnsiTheme="majorBidi" w:cstheme="majorBidi"/>
          <w:color w:val="3C4245"/>
          <w:sz w:val="24"/>
          <w:szCs w:val="24"/>
        </w:rPr>
        <w:lastRenderedPageBreak/>
        <w:t>NA</w:t>
      </w:r>
    </w:p>
    <w:p w14:paraId="0BF80AAE" w14:textId="77777777" w:rsidR="00CF463E" w:rsidRPr="00FC624F" w:rsidRDefault="00CF463E" w:rsidP="00154C9E">
      <w:pPr>
        <w:pStyle w:val="Heading3"/>
        <w:shd w:val="clear" w:color="auto" w:fill="FFFFFF"/>
        <w:spacing w:line="360" w:lineRule="auto"/>
        <w:jc w:val="both"/>
        <w:rPr>
          <w:rFonts w:asciiTheme="majorBidi" w:hAnsiTheme="majorBidi" w:cstheme="majorBidi"/>
          <w:sz w:val="24"/>
          <w:szCs w:val="24"/>
        </w:rPr>
      </w:pPr>
      <w:r w:rsidRPr="00FC624F">
        <w:rPr>
          <w:rFonts w:asciiTheme="majorBidi" w:hAnsiTheme="majorBidi" w:cstheme="majorBidi"/>
          <w:sz w:val="24"/>
          <w:szCs w:val="24"/>
        </w:rPr>
        <w:t>Collaboration with other scientists or research institutions</w:t>
      </w:r>
    </w:p>
    <w:p w14:paraId="61513905" w14:textId="5E6A4DD7" w:rsidR="00EE3DD3" w:rsidRPr="00154C9E" w:rsidRDefault="00EE3DD3" w:rsidP="00154C9E">
      <w:pPr>
        <w:pStyle w:val="Heading3"/>
        <w:shd w:val="clear" w:color="auto" w:fill="FFFFFF"/>
        <w:spacing w:line="360" w:lineRule="auto"/>
        <w:jc w:val="both"/>
        <w:rPr>
          <w:rFonts w:asciiTheme="majorBidi" w:hAnsiTheme="majorBidi" w:cstheme="majorBidi"/>
          <w:color w:val="3C4245"/>
          <w:sz w:val="24"/>
          <w:szCs w:val="24"/>
        </w:rPr>
      </w:pPr>
      <w:r w:rsidRPr="00154C9E">
        <w:rPr>
          <w:rFonts w:asciiTheme="majorBidi" w:hAnsiTheme="majorBidi" w:cstheme="majorBidi"/>
          <w:color w:val="3C4245"/>
          <w:sz w:val="24"/>
          <w:szCs w:val="24"/>
        </w:rPr>
        <w:t>NA</w:t>
      </w:r>
    </w:p>
    <w:p w14:paraId="1CA9EFCA" w14:textId="3E60DC92" w:rsidR="00FC624F" w:rsidRPr="00FC624F" w:rsidRDefault="00CF463E" w:rsidP="00FC624F">
      <w:pPr>
        <w:pStyle w:val="Heading3"/>
        <w:shd w:val="clear" w:color="auto" w:fill="FFFFFF"/>
        <w:spacing w:line="360" w:lineRule="auto"/>
        <w:jc w:val="both"/>
        <w:rPr>
          <w:rFonts w:asciiTheme="majorBidi" w:hAnsiTheme="majorBidi" w:cstheme="majorBidi"/>
          <w:sz w:val="24"/>
          <w:szCs w:val="24"/>
        </w:rPr>
      </w:pPr>
      <w:r w:rsidRPr="00FC624F">
        <w:rPr>
          <w:rFonts w:asciiTheme="majorBidi" w:hAnsiTheme="majorBidi" w:cstheme="majorBidi"/>
          <w:sz w:val="24"/>
          <w:szCs w:val="24"/>
        </w:rPr>
        <w:t>Links to other projects</w:t>
      </w:r>
    </w:p>
    <w:p w14:paraId="7E1C5AF8" w14:textId="24FA9742" w:rsidR="00EE3DD3" w:rsidRDefault="00EE3DD3" w:rsidP="00154C9E">
      <w:pPr>
        <w:pStyle w:val="Heading3"/>
        <w:shd w:val="clear" w:color="auto" w:fill="FFFFFF"/>
        <w:spacing w:line="360" w:lineRule="auto"/>
        <w:jc w:val="both"/>
        <w:rPr>
          <w:rFonts w:asciiTheme="majorBidi" w:hAnsiTheme="majorBidi" w:cstheme="majorBidi"/>
          <w:color w:val="3C4245"/>
          <w:sz w:val="24"/>
          <w:szCs w:val="24"/>
        </w:rPr>
      </w:pPr>
      <w:r w:rsidRPr="00154C9E">
        <w:rPr>
          <w:rFonts w:asciiTheme="majorBidi" w:hAnsiTheme="majorBidi" w:cstheme="majorBidi"/>
          <w:color w:val="3C4245"/>
          <w:sz w:val="24"/>
          <w:szCs w:val="24"/>
        </w:rPr>
        <w:t>NA</w:t>
      </w:r>
    </w:p>
    <w:p w14:paraId="2B6BA7BB" w14:textId="50DDF444" w:rsidR="00FC624F" w:rsidRPr="00FC624F" w:rsidRDefault="00FC624F" w:rsidP="00154C9E">
      <w:pPr>
        <w:pStyle w:val="Heading3"/>
        <w:shd w:val="clear" w:color="auto" w:fill="FFFFFF"/>
        <w:spacing w:line="360" w:lineRule="auto"/>
        <w:jc w:val="both"/>
        <w:rPr>
          <w:rFonts w:asciiTheme="majorBidi" w:hAnsiTheme="majorBidi" w:cstheme="majorBidi"/>
          <w:sz w:val="24"/>
          <w:szCs w:val="24"/>
        </w:rPr>
      </w:pPr>
      <w:r w:rsidRPr="00FC624F">
        <w:rPr>
          <w:rFonts w:asciiTheme="majorBidi" w:hAnsiTheme="majorBidi" w:cstheme="majorBidi"/>
          <w:sz w:val="24"/>
          <w:szCs w:val="24"/>
        </w:rPr>
        <w:t>Data availability</w:t>
      </w:r>
    </w:p>
    <w:p w14:paraId="4125B603" w14:textId="77777777" w:rsidR="00FC624F" w:rsidRDefault="00FC624F" w:rsidP="00FC624F">
      <w:r>
        <w:rPr>
          <w:rFonts w:ascii="Segoe UI" w:hAnsi="Segoe UI" w:cs="Segoe UI"/>
          <w:color w:val="000000"/>
          <w:sz w:val="21"/>
          <w:szCs w:val="21"/>
          <w:shd w:val="clear" w:color="auto" w:fill="FFFFFF"/>
        </w:rPr>
        <w:t xml:space="preserve">The datasets used and/or </w:t>
      </w:r>
      <w:proofErr w:type="spellStart"/>
      <w:r>
        <w:rPr>
          <w:rFonts w:ascii="Segoe UI" w:hAnsi="Segoe UI" w:cs="Segoe UI"/>
          <w:color w:val="000000"/>
          <w:sz w:val="21"/>
          <w:szCs w:val="21"/>
          <w:shd w:val="clear" w:color="auto" w:fill="FFFFFF"/>
        </w:rPr>
        <w:t>analysed</w:t>
      </w:r>
      <w:proofErr w:type="spellEnd"/>
      <w:r>
        <w:rPr>
          <w:rFonts w:ascii="Segoe UI" w:hAnsi="Segoe UI" w:cs="Segoe UI"/>
          <w:color w:val="000000"/>
          <w:sz w:val="21"/>
          <w:szCs w:val="21"/>
          <w:shd w:val="clear" w:color="auto" w:fill="FFFFFF"/>
        </w:rPr>
        <w:t xml:space="preserve"> during the current study available from the corresponding author on reasonable request.</w:t>
      </w:r>
    </w:p>
    <w:p w14:paraId="406128AA" w14:textId="77777777" w:rsidR="00FC624F" w:rsidRPr="00154C9E" w:rsidRDefault="00FC624F" w:rsidP="00154C9E">
      <w:pPr>
        <w:pStyle w:val="Heading3"/>
        <w:shd w:val="clear" w:color="auto" w:fill="FFFFFF"/>
        <w:spacing w:line="360" w:lineRule="auto"/>
        <w:jc w:val="both"/>
        <w:rPr>
          <w:rFonts w:asciiTheme="majorBidi" w:hAnsiTheme="majorBidi" w:cstheme="majorBidi"/>
          <w:color w:val="3C4245"/>
          <w:sz w:val="24"/>
          <w:szCs w:val="24"/>
        </w:rPr>
      </w:pPr>
    </w:p>
    <w:p w14:paraId="3ACE7661"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bookmarkStart w:id="0" w:name="_Hlk160303581"/>
    </w:p>
    <w:p w14:paraId="260A83AB"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068D7EEE"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46FEFC3D"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37E6F4B5"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59386BFA"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7FB49FC0"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6A9F1818"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77DCBCC3"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115EF221"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5C5D95D2"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55EC8080"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46E11181"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326D51D7"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p w14:paraId="1E54F0FA" w14:textId="77777777" w:rsidR="00AB336E" w:rsidRPr="00154C9E" w:rsidRDefault="00AB336E" w:rsidP="00154C9E">
      <w:pPr>
        <w:pStyle w:val="Heading3"/>
        <w:shd w:val="clear" w:color="auto" w:fill="FFFFFF"/>
        <w:spacing w:line="360" w:lineRule="auto"/>
        <w:jc w:val="both"/>
        <w:rPr>
          <w:rFonts w:asciiTheme="majorBidi" w:hAnsiTheme="majorBidi" w:cstheme="majorBidi"/>
          <w:color w:val="3C4245"/>
          <w:sz w:val="24"/>
          <w:szCs w:val="24"/>
        </w:rPr>
      </w:pPr>
    </w:p>
    <w:p w14:paraId="04C9E326" w14:textId="77777777" w:rsidR="00AB336E" w:rsidRPr="00154C9E" w:rsidRDefault="00AB336E" w:rsidP="00154C9E">
      <w:pPr>
        <w:pStyle w:val="Heading3"/>
        <w:shd w:val="clear" w:color="auto" w:fill="FFFFFF"/>
        <w:spacing w:line="360" w:lineRule="auto"/>
        <w:jc w:val="both"/>
        <w:rPr>
          <w:rFonts w:asciiTheme="majorBidi" w:hAnsiTheme="majorBidi" w:cstheme="majorBidi"/>
          <w:color w:val="3C4245"/>
          <w:sz w:val="24"/>
          <w:szCs w:val="24"/>
        </w:rPr>
      </w:pPr>
    </w:p>
    <w:p w14:paraId="55496592" w14:textId="77777777" w:rsidR="00AB336E" w:rsidRPr="00154C9E" w:rsidRDefault="00AB336E" w:rsidP="00154C9E">
      <w:pPr>
        <w:pStyle w:val="Heading3"/>
        <w:shd w:val="clear" w:color="auto" w:fill="FFFFFF"/>
        <w:spacing w:line="360" w:lineRule="auto"/>
        <w:jc w:val="both"/>
        <w:rPr>
          <w:rFonts w:asciiTheme="majorBidi" w:hAnsiTheme="majorBidi" w:cstheme="majorBidi"/>
          <w:color w:val="3C4245"/>
          <w:sz w:val="24"/>
          <w:szCs w:val="24"/>
        </w:rPr>
      </w:pPr>
    </w:p>
    <w:p w14:paraId="2398BA5F" w14:textId="77777777" w:rsidR="00AB336E" w:rsidRPr="00154C9E" w:rsidRDefault="00AB336E" w:rsidP="00154C9E">
      <w:pPr>
        <w:pStyle w:val="Heading3"/>
        <w:shd w:val="clear" w:color="auto" w:fill="FFFFFF"/>
        <w:spacing w:line="360" w:lineRule="auto"/>
        <w:jc w:val="both"/>
        <w:rPr>
          <w:rFonts w:asciiTheme="majorBidi" w:hAnsiTheme="majorBidi" w:cstheme="majorBidi"/>
          <w:color w:val="3C4245"/>
          <w:sz w:val="24"/>
          <w:szCs w:val="24"/>
        </w:rPr>
      </w:pPr>
    </w:p>
    <w:p w14:paraId="4163C14F" w14:textId="7BCA868D" w:rsidR="00CF463E" w:rsidRPr="00712097" w:rsidRDefault="00CF463E" w:rsidP="00154C9E">
      <w:pPr>
        <w:pStyle w:val="Heading3"/>
        <w:shd w:val="clear" w:color="auto" w:fill="FFFFFF"/>
        <w:spacing w:line="360" w:lineRule="auto"/>
        <w:jc w:val="both"/>
        <w:rPr>
          <w:rFonts w:asciiTheme="majorBidi" w:hAnsiTheme="majorBidi" w:cstheme="majorBidi"/>
          <w:sz w:val="24"/>
          <w:szCs w:val="24"/>
        </w:rPr>
      </w:pPr>
      <w:r w:rsidRPr="00712097">
        <w:rPr>
          <w:rFonts w:asciiTheme="majorBidi" w:hAnsiTheme="majorBidi" w:cstheme="majorBidi"/>
          <w:sz w:val="24"/>
          <w:szCs w:val="24"/>
        </w:rPr>
        <w:t>Curriculum Vitae of investigators</w:t>
      </w:r>
    </w:p>
    <w:p w14:paraId="404BBEE0" w14:textId="77777777" w:rsidR="00205EAF" w:rsidRPr="00CC0DB9" w:rsidRDefault="00205EAF" w:rsidP="00154C9E">
      <w:pPr>
        <w:shd w:val="clear" w:color="auto" w:fill="FFFFFF"/>
        <w:spacing w:before="400" w:after="200" w:line="360" w:lineRule="auto"/>
        <w:ind w:left="720"/>
        <w:jc w:val="both"/>
        <w:outlineLvl w:val="0"/>
        <w:rPr>
          <w:rFonts w:asciiTheme="majorBidi" w:eastAsia="Times New Roman" w:hAnsiTheme="majorBidi" w:cstheme="majorBidi"/>
          <w:b/>
          <w:bCs/>
          <w:spacing w:val="-2"/>
          <w:kern w:val="36"/>
          <w:sz w:val="24"/>
          <w:szCs w:val="24"/>
          <w14:ligatures w14:val="none"/>
        </w:rPr>
      </w:pPr>
      <w:r w:rsidRPr="00CC0DB9">
        <w:rPr>
          <w:rFonts w:asciiTheme="majorBidi" w:eastAsia="Times New Roman" w:hAnsiTheme="majorBidi" w:cstheme="majorBidi"/>
          <w:b/>
          <w:bCs/>
          <w:spacing w:val="-2"/>
          <w:kern w:val="36"/>
          <w:sz w:val="24"/>
          <w:szCs w:val="24"/>
          <w14:ligatures w14:val="none"/>
        </w:rPr>
        <w:t>Maryam Zare</w:t>
      </w:r>
    </w:p>
    <w:p w14:paraId="34E671D0" w14:textId="77777777" w:rsidR="00205EAF" w:rsidRPr="00154C9E" w:rsidRDefault="00205EAF" w:rsidP="00154C9E">
      <w:pPr>
        <w:shd w:val="clear" w:color="auto" w:fill="FFFFFF"/>
        <w:spacing w:before="400" w:after="200" w:line="360" w:lineRule="auto"/>
        <w:ind w:left="720"/>
        <w:jc w:val="both"/>
        <w:outlineLvl w:val="0"/>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t>PHD by research student</w:t>
      </w:r>
    </w:p>
    <w:p w14:paraId="5C082D60" w14:textId="77777777" w:rsidR="00205EAF" w:rsidRPr="00154C9E" w:rsidRDefault="00205EAF" w:rsidP="00154C9E">
      <w:pPr>
        <w:shd w:val="clear" w:color="auto" w:fill="FFFFFF"/>
        <w:spacing w:before="400" w:after="200" w:line="360" w:lineRule="auto"/>
        <w:ind w:left="720"/>
        <w:jc w:val="both"/>
        <w:outlineLvl w:val="0"/>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t>Clerk in Member of the University Endocrinology Metabolic Research Center</w:t>
      </w:r>
    </w:p>
    <w:p w14:paraId="70E31C06" w14:textId="77777777" w:rsidR="00205EAF" w:rsidRPr="00154C9E" w:rsidRDefault="00205EAF" w:rsidP="00154C9E">
      <w:pPr>
        <w:shd w:val="clear" w:color="auto" w:fill="FFFFFF"/>
        <w:spacing w:before="400" w:after="200" w:line="360" w:lineRule="auto"/>
        <w:ind w:left="720"/>
        <w:jc w:val="both"/>
        <w:outlineLvl w:val="0"/>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t>1) The association of hypertriglyceridemia waist phenotype with type 2 diabetes mellitus among individuals with first relative history of diabetes</w:t>
      </w:r>
    </w:p>
    <w:p w14:paraId="276A988E" w14:textId="61F78CD8" w:rsidR="00205EAF" w:rsidRPr="00154C9E" w:rsidRDefault="00205EAF" w:rsidP="00154C9E">
      <w:pPr>
        <w:shd w:val="clear" w:color="auto" w:fill="FFFFFF"/>
        <w:spacing w:before="400" w:after="200" w:line="360" w:lineRule="auto"/>
        <w:ind w:left="720"/>
        <w:jc w:val="both"/>
        <w:outlineLvl w:val="0"/>
        <w:rPr>
          <w:rFonts w:asciiTheme="majorBidi" w:eastAsia="Times New Roman" w:hAnsiTheme="majorBidi" w:cstheme="majorBidi"/>
          <w:color w:val="000000"/>
          <w:spacing w:val="-2"/>
          <w:kern w:val="36"/>
          <w:sz w:val="24"/>
          <w:szCs w:val="24"/>
          <w14:ligatures w14:val="none"/>
        </w:rPr>
      </w:pPr>
      <w:r w:rsidRPr="00154C9E">
        <w:rPr>
          <w:rFonts w:asciiTheme="majorBidi" w:hAnsiTheme="majorBidi" w:cstheme="majorBidi"/>
          <w:color w:val="000000"/>
          <w:spacing w:val="-2"/>
          <w:sz w:val="24"/>
          <w:szCs w:val="24"/>
        </w:rPr>
        <w:t>2) Association of retinol-binding protein 4 with metabolic syndrome in first-degree relatives of type 2 diabetic patients</w:t>
      </w:r>
    </w:p>
    <w:p w14:paraId="78114193" w14:textId="77777777" w:rsidR="00CC0DB9" w:rsidRDefault="00205EAF" w:rsidP="00CC0DB9">
      <w:pPr>
        <w:spacing w:line="360" w:lineRule="auto"/>
        <w:jc w:val="both"/>
        <w:rPr>
          <w:rFonts w:asciiTheme="majorBidi" w:hAnsiTheme="majorBidi" w:cstheme="majorBidi"/>
          <w:color w:val="333333"/>
          <w:sz w:val="24"/>
          <w:szCs w:val="24"/>
        </w:rPr>
      </w:pPr>
      <w:r w:rsidRPr="00154C9E">
        <w:rPr>
          <w:rFonts w:asciiTheme="majorBidi" w:hAnsiTheme="majorBidi" w:cstheme="majorBidi"/>
          <w:color w:val="333333"/>
          <w:sz w:val="24"/>
          <w:szCs w:val="24"/>
        </w:rPr>
        <w:t>3) The effects of wheat germ consumption on mental health and brain-derived neurotrophic factor in subjects with type 2 diabetes mellitus: a randomized, double-blind, placebo-controlled trial</w:t>
      </w:r>
    </w:p>
    <w:p w14:paraId="38395F42" w14:textId="77777777" w:rsidR="00CC0DB9" w:rsidRDefault="00205EAF" w:rsidP="00CC0DB9">
      <w:pPr>
        <w:spacing w:line="360" w:lineRule="auto"/>
        <w:jc w:val="both"/>
        <w:rPr>
          <w:rFonts w:asciiTheme="majorBidi" w:hAnsiTheme="majorBidi" w:cstheme="majorBidi"/>
          <w:color w:val="000000"/>
          <w:spacing w:val="-2"/>
          <w:sz w:val="24"/>
          <w:szCs w:val="24"/>
        </w:rPr>
      </w:pPr>
      <w:r w:rsidRPr="00154C9E">
        <w:rPr>
          <w:rFonts w:asciiTheme="majorBidi" w:hAnsiTheme="majorBidi" w:cstheme="majorBidi"/>
          <w:color w:val="333333"/>
          <w:sz w:val="24"/>
          <w:szCs w:val="24"/>
        </w:rPr>
        <w:t xml:space="preserve">4) </w:t>
      </w:r>
      <w:r w:rsidRPr="00154C9E">
        <w:rPr>
          <w:rFonts w:asciiTheme="majorBidi" w:hAnsiTheme="majorBidi" w:cstheme="majorBidi"/>
          <w:color w:val="000000"/>
          <w:spacing w:val="-2"/>
          <w:sz w:val="24"/>
          <w:szCs w:val="24"/>
        </w:rPr>
        <w:t>Relationship between major dietary patterns and metabolic syndrome among individuals with impaired glucose tolerance</w:t>
      </w:r>
    </w:p>
    <w:p w14:paraId="06A8C5E4" w14:textId="77777777" w:rsidR="00CC0DB9" w:rsidRDefault="00205EAF" w:rsidP="00CC0DB9">
      <w:pPr>
        <w:spacing w:line="360" w:lineRule="auto"/>
        <w:jc w:val="both"/>
        <w:rPr>
          <w:rFonts w:asciiTheme="majorBidi" w:hAnsiTheme="majorBidi" w:cstheme="majorBidi"/>
          <w:color w:val="000000"/>
          <w:spacing w:val="-2"/>
          <w:sz w:val="24"/>
          <w:szCs w:val="24"/>
        </w:rPr>
      </w:pPr>
      <w:r w:rsidRPr="00154C9E">
        <w:rPr>
          <w:rFonts w:asciiTheme="majorBidi" w:hAnsiTheme="majorBidi" w:cstheme="majorBidi"/>
          <w:color w:val="000000"/>
          <w:spacing w:val="-2"/>
          <w:sz w:val="24"/>
          <w:szCs w:val="24"/>
        </w:rPr>
        <w:lastRenderedPageBreak/>
        <w:t>5) Is uric acid an indicator of metabolic syndrome in the first-degree relatives of patients with type 2 diabetes?</w:t>
      </w:r>
    </w:p>
    <w:p w14:paraId="09FA506B" w14:textId="77777777" w:rsidR="00CC0DB9" w:rsidRDefault="00205EAF" w:rsidP="00CC0DB9">
      <w:pPr>
        <w:spacing w:line="360" w:lineRule="auto"/>
        <w:jc w:val="both"/>
        <w:rPr>
          <w:rFonts w:asciiTheme="majorBidi" w:hAnsiTheme="majorBidi" w:cstheme="majorBidi"/>
          <w:color w:val="000000"/>
          <w:spacing w:val="-2"/>
          <w:sz w:val="24"/>
          <w:szCs w:val="24"/>
        </w:rPr>
      </w:pPr>
      <w:r w:rsidRPr="00154C9E">
        <w:rPr>
          <w:rFonts w:asciiTheme="majorBidi" w:hAnsiTheme="majorBidi" w:cstheme="majorBidi"/>
          <w:color w:val="000000"/>
          <w:spacing w:val="-2"/>
          <w:sz w:val="24"/>
          <w:szCs w:val="24"/>
        </w:rPr>
        <w:t>6) The effects of wheat germ supplementation on metabolic profile in patients with type 2 diabetes mellitus: A randomized, double-blind, placebo-controlled trial</w:t>
      </w:r>
    </w:p>
    <w:p w14:paraId="22BD8532" w14:textId="77777777" w:rsidR="00CC0DB9" w:rsidRDefault="00205EAF" w:rsidP="00CC0DB9">
      <w:pPr>
        <w:spacing w:line="360" w:lineRule="auto"/>
        <w:jc w:val="both"/>
        <w:rPr>
          <w:rFonts w:asciiTheme="majorBidi" w:hAnsiTheme="majorBidi" w:cstheme="majorBidi"/>
          <w:color w:val="000000"/>
          <w:spacing w:val="-2"/>
          <w:sz w:val="24"/>
          <w:szCs w:val="24"/>
        </w:rPr>
      </w:pPr>
      <w:r w:rsidRPr="00154C9E">
        <w:rPr>
          <w:rFonts w:asciiTheme="majorBidi" w:hAnsiTheme="majorBidi" w:cstheme="majorBidi"/>
          <w:color w:val="000000"/>
          <w:spacing w:val="-2"/>
          <w:sz w:val="24"/>
          <w:szCs w:val="24"/>
        </w:rPr>
        <w:t>7) People with Impaired Glucose Tolerance and Impaired Fasting Glucose Are Similarly Susceptible to Cardiovascular Disease: A Study in First-Degree Relatives of Type 2 Diabetic Patients</w:t>
      </w:r>
    </w:p>
    <w:p w14:paraId="6620E925" w14:textId="0BB7BC3F" w:rsidR="00CC0DB9" w:rsidRPr="00CC0DB9" w:rsidRDefault="00205EAF" w:rsidP="00CC0DB9">
      <w:pPr>
        <w:spacing w:line="360" w:lineRule="auto"/>
        <w:jc w:val="both"/>
        <w:rPr>
          <w:rFonts w:asciiTheme="majorBidi" w:hAnsiTheme="majorBidi" w:cstheme="majorBidi"/>
          <w:color w:val="333333"/>
          <w:sz w:val="24"/>
          <w:szCs w:val="24"/>
        </w:rPr>
      </w:pPr>
      <w:r w:rsidRPr="00154C9E">
        <w:rPr>
          <w:rFonts w:asciiTheme="majorBidi" w:hAnsiTheme="majorBidi" w:cstheme="majorBidi"/>
          <w:color w:val="000000"/>
          <w:spacing w:val="-2"/>
          <w:sz w:val="24"/>
          <w:szCs w:val="24"/>
        </w:rPr>
        <w:t>8) Serum uric acid level and its association with cardiometabolic risk factors in prediabetic subjects</w:t>
      </w:r>
    </w:p>
    <w:p w14:paraId="0A376323" w14:textId="308E8213" w:rsidR="00205EAF" w:rsidRPr="00CC0DB9" w:rsidRDefault="00205EAF" w:rsidP="00CC0DB9">
      <w:pPr>
        <w:pStyle w:val="Heading1"/>
        <w:shd w:val="clear" w:color="auto" w:fill="FFFFFF"/>
        <w:spacing w:before="0" w:after="480" w:line="360" w:lineRule="auto"/>
        <w:jc w:val="both"/>
        <w:textAlignment w:val="baseline"/>
        <w:rPr>
          <w:rFonts w:asciiTheme="majorBidi" w:hAnsiTheme="majorBidi"/>
          <w:b/>
          <w:bCs/>
          <w:color w:val="333333"/>
          <w:sz w:val="24"/>
          <w:szCs w:val="24"/>
        </w:rPr>
      </w:pPr>
      <w:r w:rsidRPr="00CC0DB9">
        <w:rPr>
          <w:rFonts w:asciiTheme="majorBidi" w:eastAsia="Times New Roman" w:hAnsiTheme="majorBidi"/>
          <w:b/>
          <w:bCs/>
          <w:color w:val="000000"/>
          <w:spacing w:val="-2"/>
          <w:kern w:val="36"/>
          <w:sz w:val="24"/>
          <w:szCs w:val="24"/>
          <w14:ligatures w14:val="none"/>
        </w:rPr>
        <w:t>Dr. Mohammad Javad Tarahi</w:t>
      </w:r>
    </w:p>
    <w:p w14:paraId="09E2E200" w14:textId="77777777" w:rsidR="00205EAF" w:rsidRPr="00154C9E" w:rsidRDefault="00205EAF" w:rsidP="00154C9E">
      <w:pPr>
        <w:pStyle w:val="Heading1"/>
        <w:numPr>
          <w:ilvl w:val="0"/>
          <w:numId w:val="6"/>
        </w:numPr>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Comparing the effects of problem-based learning and the traditional lecture method on critical thinking skills and metacognitive awareness in nursing students in a critical care nursing course</w:t>
      </w:r>
    </w:p>
    <w:p w14:paraId="6004DAE3" w14:textId="77777777" w:rsidR="00205EAF" w:rsidRPr="00154C9E" w:rsidRDefault="00205EAF" w:rsidP="00154C9E">
      <w:pPr>
        <w:pStyle w:val="Heading1"/>
        <w:numPr>
          <w:ilvl w:val="0"/>
          <w:numId w:val="6"/>
        </w:numPr>
        <w:shd w:val="clear" w:color="auto" w:fill="FFFFFF"/>
        <w:tabs>
          <w:tab w:val="num" w:pos="720"/>
        </w:tabs>
        <w:spacing w:before="400" w:after="20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Toxoplasma Serology Status and Risk of Miscarriage, A Case-Control Study among Women with A History of Spontaneous Abortion</w:t>
      </w:r>
    </w:p>
    <w:p w14:paraId="354E1BD8" w14:textId="77777777" w:rsidR="00205EAF" w:rsidRPr="00154C9E" w:rsidRDefault="00205EAF" w:rsidP="00154C9E">
      <w:pPr>
        <w:pStyle w:val="Heading1"/>
        <w:spacing w:before="0" w:line="360" w:lineRule="auto"/>
        <w:ind w:left="720"/>
        <w:jc w:val="both"/>
        <w:rPr>
          <w:rFonts w:asciiTheme="majorBidi" w:hAnsiTheme="majorBidi"/>
          <w:b/>
          <w:bCs/>
          <w:color w:val="000000"/>
          <w:spacing w:val="-2"/>
          <w:sz w:val="24"/>
          <w:szCs w:val="24"/>
        </w:rPr>
      </w:pPr>
    </w:p>
    <w:p w14:paraId="108EFE18" w14:textId="77777777" w:rsidR="00205EAF" w:rsidRPr="00154C9E" w:rsidRDefault="00205EAF" w:rsidP="00154C9E">
      <w:pPr>
        <w:pStyle w:val="Heading1"/>
        <w:numPr>
          <w:ilvl w:val="0"/>
          <w:numId w:val="6"/>
        </w:numPr>
        <w:shd w:val="clear" w:color="auto" w:fill="FFFFFF"/>
        <w:tabs>
          <w:tab w:val="num" w:pos="720"/>
        </w:tabs>
        <w:spacing w:before="0" w:after="120" w:line="360" w:lineRule="auto"/>
        <w:jc w:val="both"/>
        <w:textAlignment w:val="baseline"/>
        <w:rPr>
          <w:rFonts w:asciiTheme="majorBidi" w:hAnsiTheme="majorBidi"/>
          <w:b/>
          <w:bCs/>
          <w:color w:val="000000"/>
          <w:spacing w:val="-2"/>
          <w:sz w:val="24"/>
          <w:szCs w:val="24"/>
        </w:rPr>
      </w:pPr>
      <w:r w:rsidRPr="00154C9E">
        <w:rPr>
          <w:rFonts w:asciiTheme="majorBidi" w:hAnsiTheme="majorBidi"/>
          <w:color w:val="000000"/>
          <w:spacing w:val="-2"/>
          <w:sz w:val="24"/>
          <w:szCs w:val="24"/>
        </w:rPr>
        <w:t>The Effect of Educational Intervention Based on Health Belief Model to Decrease and Prevent Mobile Phone Addiction among Female High School Students in Iran</w:t>
      </w:r>
    </w:p>
    <w:p w14:paraId="58B6A347" w14:textId="77777777" w:rsidR="00205EAF" w:rsidRPr="00154C9E" w:rsidRDefault="00205EAF" w:rsidP="00154C9E">
      <w:pPr>
        <w:pStyle w:val="ListParagraph"/>
        <w:spacing w:line="360" w:lineRule="auto"/>
        <w:jc w:val="both"/>
        <w:rPr>
          <w:rFonts w:asciiTheme="majorBidi" w:hAnsiTheme="majorBidi" w:cstheme="majorBidi"/>
          <w:color w:val="000000"/>
          <w:spacing w:val="-2"/>
          <w:sz w:val="24"/>
          <w:szCs w:val="24"/>
        </w:rPr>
      </w:pPr>
    </w:p>
    <w:p w14:paraId="71A2BC59" w14:textId="77777777" w:rsidR="00205EAF" w:rsidRPr="00154C9E" w:rsidRDefault="00205EAF" w:rsidP="00154C9E">
      <w:pPr>
        <w:pStyle w:val="Heading1"/>
        <w:numPr>
          <w:ilvl w:val="0"/>
          <w:numId w:val="6"/>
        </w:numPr>
        <w:shd w:val="clear" w:color="auto" w:fill="FFFFFF"/>
        <w:tabs>
          <w:tab w:val="num" w:pos="720"/>
        </w:tabs>
        <w:spacing w:before="400" w:after="200" w:line="360" w:lineRule="auto"/>
        <w:jc w:val="both"/>
        <w:rPr>
          <w:rFonts w:asciiTheme="majorBidi" w:hAnsiTheme="majorBidi"/>
          <w:color w:val="000000"/>
          <w:spacing w:val="-2"/>
          <w:sz w:val="24"/>
          <w:szCs w:val="24"/>
        </w:rPr>
      </w:pPr>
      <w:r w:rsidRPr="00154C9E">
        <w:rPr>
          <w:rFonts w:asciiTheme="majorBidi" w:hAnsiTheme="majorBidi"/>
          <w:color w:val="000000"/>
          <w:spacing w:val="-2"/>
          <w:sz w:val="24"/>
          <w:szCs w:val="24"/>
        </w:rPr>
        <w:t>Identification of </w:t>
      </w:r>
      <w:r w:rsidRPr="00154C9E">
        <w:rPr>
          <w:rStyle w:val="Emphasis"/>
          <w:rFonts w:asciiTheme="majorBidi" w:hAnsiTheme="majorBidi"/>
          <w:color w:val="000000"/>
          <w:spacing w:val="-2"/>
          <w:sz w:val="24"/>
          <w:szCs w:val="24"/>
        </w:rPr>
        <w:t>Leishmania</w:t>
      </w:r>
      <w:r w:rsidRPr="00154C9E">
        <w:rPr>
          <w:rFonts w:asciiTheme="majorBidi" w:hAnsiTheme="majorBidi"/>
          <w:color w:val="000000"/>
          <w:spacing w:val="-2"/>
          <w:sz w:val="24"/>
          <w:szCs w:val="24"/>
        </w:rPr>
        <w:t xml:space="preserve"> Species Using PCR Assay on Giemsa-Stained Slides Prepared </w:t>
      </w:r>
      <w:proofErr w:type="gramStart"/>
      <w:r w:rsidRPr="00154C9E">
        <w:rPr>
          <w:rFonts w:asciiTheme="majorBidi" w:hAnsiTheme="majorBidi"/>
          <w:color w:val="000000"/>
          <w:spacing w:val="-2"/>
          <w:sz w:val="24"/>
          <w:szCs w:val="24"/>
        </w:rPr>
        <w:t>From</w:t>
      </w:r>
      <w:proofErr w:type="gramEnd"/>
      <w:r w:rsidRPr="00154C9E">
        <w:rPr>
          <w:rFonts w:asciiTheme="majorBidi" w:hAnsiTheme="majorBidi"/>
          <w:color w:val="000000"/>
          <w:spacing w:val="-2"/>
          <w:sz w:val="24"/>
          <w:szCs w:val="24"/>
        </w:rPr>
        <w:t xml:space="preserve"> Cutaneous Leishmaniasis Patients</w:t>
      </w:r>
    </w:p>
    <w:p w14:paraId="4E7C45F4" w14:textId="77777777" w:rsidR="00205EAF" w:rsidRPr="00154C9E" w:rsidRDefault="00205EAF" w:rsidP="00154C9E">
      <w:pPr>
        <w:pStyle w:val="Heading1"/>
        <w:numPr>
          <w:ilvl w:val="0"/>
          <w:numId w:val="6"/>
        </w:numPr>
        <w:shd w:val="clear" w:color="auto" w:fill="FFFFFF"/>
        <w:tabs>
          <w:tab w:val="num" w:pos="720"/>
        </w:tabs>
        <w:spacing w:before="400" w:after="20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Prenatal and clinical characteristics of pregnant women infected with COVID-19 in Yazd, Iran: A multicenter cross-sectional study</w:t>
      </w:r>
    </w:p>
    <w:p w14:paraId="10946FF2" w14:textId="77777777" w:rsidR="00205EAF" w:rsidRPr="00154C9E" w:rsidRDefault="00205EAF" w:rsidP="00154C9E">
      <w:pPr>
        <w:pStyle w:val="Heading1"/>
        <w:numPr>
          <w:ilvl w:val="0"/>
          <w:numId w:val="6"/>
        </w:numPr>
        <w:shd w:val="clear" w:color="auto" w:fill="FFFFFF"/>
        <w:tabs>
          <w:tab w:val="num" w:pos="720"/>
        </w:tabs>
        <w:spacing w:before="15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Possible Link Between Toxoplasma gondii Infection and Mood Disorders in Lorestan Province, Western Iran</w:t>
      </w:r>
    </w:p>
    <w:p w14:paraId="29974346" w14:textId="77777777" w:rsidR="00205EAF" w:rsidRPr="00154C9E" w:rsidRDefault="00205EAF" w:rsidP="00154C9E">
      <w:pPr>
        <w:pStyle w:val="Heading1"/>
        <w:shd w:val="clear" w:color="auto" w:fill="FFFFFF"/>
        <w:spacing w:before="150" w:line="360" w:lineRule="auto"/>
        <w:jc w:val="both"/>
        <w:rPr>
          <w:rFonts w:asciiTheme="majorBidi" w:hAnsiTheme="majorBidi"/>
          <w:b/>
          <w:bCs/>
          <w:color w:val="000000"/>
          <w:spacing w:val="-2"/>
          <w:sz w:val="24"/>
          <w:szCs w:val="24"/>
        </w:rPr>
      </w:pPr>
    </w:p>
    <w:p w14:paraId="30D9677F" w14:textId="77777777" w:rsidR="00205EAF" w:rsidRPr="00154C9E" w:rsidRDefault="00205EAF" w:rsidP="00154C9E">
      <w:pPr>
        <w:spacing w:line="360" w:lineRule="auto"/>
        <w:jc w:val="both"/>
        <w:rPr>
          <w:rFonts w:asciiTheme="majorBidi" w:hAnsiTheme="majorBidi" w:cstheme="majorBidi"/>
          <w:sz w:val="24"/>
          <w:szCs w:val="24"/>
        </w:rPr>
      </w:pPr>
    </w:p>
    <w:p w14:paraId="78232946" w14:textId="77777777" w:rsidR="00205EAF" w:rsidRPr="00CC0DB9" w:rsidRDefault="00205EAF" w:rsidP="00154C9E">
      <w:pPr>
        <w:pStyle w:val="Heading1"/>
        <w:shd w:val="clear" w:color="auto" w:fill="FFFFFF"/>
        <w:spacing w:before="0" w:line="360" w:lineRule="auto"/>
        <w:jc w:val="both"/>
        <w:rPr>
          <w:rFonts w:asciiTheme="majorBidi" w:hAnsiTheme="majorBidi"/>
          <w:b/>
          <w:bCs/>
          <w:color w:val="000000"/>
          <w:spacing w:val="-2"/>
          <w:sz w:val="24"/>
          <w:szCs w:val="24"/>
        </w:rPr>
      </w:pPr>
      <w:r w:rsidRPr="00CC0DB9">
        <w:rPr>
          <w:rFonts w:asciiTheme="majorBidi" w:hAnsiTheme="majorBidi"/>
          <w:b/>
          <w:bCs/>
          <w:color w:val="000000"/>
          <w:spacing w:val="-2"/>
          <w:sz w:val="24"/>
          <w:szCs w:val="24"/>
        </w:rPr>
        <w:lastRenderedPageBreak/>
        <w:t>Dr. Omid Sadeghi</w:t>
      </w:r>
    </w:p>
    <w:p w14:paraId="77F35597"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The relation of dietary protein intake before and during the pregnancy with gestational diabetes mellitus (GDM): A GRADE-assessed systematic review and dose-response meta-analysis of epidemiologic studies</w:t>
      </w:r>
    </w:p>
    <w:p w14:paraId="4D27891A"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Associations of major dietary patterns with cardiometabolic risk factors among Iranian patients with type 1 diabetes</w:t>
      </w:r>
    </w:p>
    <w:p w14:paraId="00C37F0B" w14:textId="77777777" w:rsidR="00205EAF" w:rsidRPr="00154C9E" w:rsidRDefault="00205EAF" w:rsidP="00154C9E">
      <w:pPr>
        <w:pStyle w:val="Heading1"/>
        <w:shd w:val="clear" w:color="auto" w:fill="FFFFFF"/>
        <w:spacing w:before="150" w:line="360" w:lineRule="auto"/>
        <w:jc w:val="both"/>
        <w:rPr>
          <w:rFonts w:asciiTheme="majorBidi" w:hAnsiTheme="majorBidi"/>
          <w:b/>
          <w:bCs/>
          <w:color w:val="000000"/>
          <w:spacing w:val="-2"/>
          <w:sz w:val="24"/>
          <w:szCs w:val="24"/>
        </w:rPr>
      </w:pPr>
    </w:p>
    <w:p w14:paraId="66ED7F3E"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Association of combined healthy lifestyle with general and abdominal obesity</w:t>
      </w:r>
    </w:p>
    <w:p w14:paraId="40375AD8"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Is oral consumption of dates (Phoenix dactylifera L. fruit) in the peripartum period effective and safe integrative care to facilitate childbirth and improve perinatal outcomes: a comprehensive revised systematic review and dose-response meta-analysis</w:t>
      </w:r>
    </w:p>
    <w:p w14:paraId="26A4F64C"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Sugar sweetened beverages, natural fruit juices, and cancer: what we know and what still needs to be assessed</w:t>
      </w:r>
    </w:p>
    <w:p w14:paraId="218995AE"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Association between nutritional status and biochemical markers among hematopoietic stem cell transplant candidates: a cross-sectional study</w:t>
      </w:r>
    </w:p>
    <w:p w14:paraId="36400668"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Effects of marine-derived n–3 PUFA supplementation on soluble adhesion molecules: A systematic review and dose-response meta-analysis of randomized controlled trials</w:t>
      </w:r>
    </w:p>
    <w:p w14:paraId="5142A796"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Dietary linoleic acid intake in relation to breast cancer: A case-control study</w:t>
      </w:r>
    </w:p>
    <w:p w14:paraId="0523FD3D" w14:textId="77777777" w:rsidR="00205EAF" w:rsidRPr="00154C9E" w:rsidRDefault="00205EAF" w:rsidP="00154C9E">
      <w:pPr>
        <w:pStyle w:val="Heading1"/>
        <w:numPr>
          <w:ilvl w:val="0"/>
          <w:numId w:val="7"/>
        </w:numPr>
        <w:shd w:val="clear" w:color="auto" w:fill="FFFFFF"/>
        <w:tabs>
          <w:tab w:val="num" w:pos="720"/>
        </w:tabs>
        <w:spacing w:before="0" w:line="360" w:lineRule="auto"/>
        <w:ind w:left="720" w:hanging="360"/>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Fish consumption and risk of prostate cancer or its mortality: an updated systematic review and dose–response meta-analysis of prospective cohort studies</w:t>
      </w:r>
    </w:p>
    <w:p w14:paraId="50B6B52C" w14:textId="77777777" w:rsidR="00205EAF" w:rsidRPr="00154C9E" w:rsidRDefault="00205EAF" w:rsidP="00154C9E">
      <w:pPr>
        <w:pStyle w:val="Heading1"/>
        <w:shd w:val="clear" w:color="auto" w:fill="FFFFFF"/>
        <w:spacing w:before="0" w:line="360" w:lineRule="auto"/>
        <w:ind w:left="1080"/>
        <w:jc w:val="both"/>
        <w:rPr>
          <w:rFonts w:asciiTheme="majorBidi" w:hAnsiTheme="majorBidi"/>
          <w:b/>
          <w:bCs/>
          <w:color w:val="000000"/>
          <w:spacing w:val="-2"/>
          <w:sz w:val="24"/>
          <w:szCs w:val="24"/>
        </w:rPr>
      </w:pPr>
    </w:p>
    <w:p w14:paraId="0C5132AD" w14:textId="77777777" w:rsidR="00205EAF" w:rsidRPr="00154C9E" w:rsidRDefault="00205EAF" w:rsidP="00154C9E">
      <w:pPr>
        <w:pStyle w:val="Heading1"/>
        <w:shd w:val="clear" w:color="auto" w:fill="FFFFFF"/>
        <w:spacing w:before="0" w:line="360" w:lineRule="auto"/>
        <w:ind w:left="360"/>
        <w:jc w:val="both"/>
        <w:rPr>
          <w:rFonts w:asciiTheme="majorBidi" w:hAnsiTheme="majorBidi"/>
          <w:b/>
          <w:bCs/>
          <w:color w:val="000000"/>
          <w:spacing w:val="-2"/>
          <w:sz w:val="24"/>
          <w:szCs w:val="24"/>
        </w:rPr>
      </w:pPr>
    </w:p>
    <w:p w14:paraId="2211DA96" w14:textId="77777777" w:rsidR="00205EAF" w:rsidRPr="00154C9E" w:rsidRDefault="00205EAF" w:rsidP="00154C9E">
      <w:pPr>
        <w:pStyle w:val="Heading1"/>
        <w:shd w:val="clear" w:color="auto" w:fill="FFFFFF"/>
        <w:spacing w:before="0" w:line="360" w:lineRule="auto"/>
        <w:ind w:left="1080"/>
        <w:jc w:val="both"/>
        <w:rPr>
          <w:rFonts w:asciiTheme="majorBidi" w:hAnsiTheme="majorBidi"/>
          <w:b/>
          <w:bCs/>
          <w:color w:val="000000"/>
          <w:spacing w:val="-2"/>
          <w:sz w:val="24"/>
          <w:szCs w:val="24"/>
        </w:rPr>
      </w:pPr>
    </w:p>
    <w:p w14:paraId="21FB67C3" w14:textId="77777777" w:rsidR="00205EAF" w:rsidRPr="00154C9E" w:rsidRDefault="00205EAF" w:rsidP="00154C9E">
      <w:pPr>
        <w:pStyle w:val="Heading1"/>
        <w:shd w:val="clear" w:color="auto" w:fill="FFFFFF"/>
        <w:spacing w:before="150" w:line="360" w:lineRule="auto"/>
        <w:jc w:val="both"/>
        <w:rPr>
          <w:rFonts w:asciiTheme="majorBidi" w:hAnsiTheme="majorBidi"/>
          <w:b/>
          <w:bCs/>
          <w:color w:val="000000"/>
          <w:spacing w:val="-2"/>
          <w:sz w:val="24"/>
          <w:szCs w:val="24"/>
        </w:rPr>
      </w:pPr>
    </w:p>
    <w:p w14:paraId="44C87151" w14:textId="77777777" w:rsidR="00205EAF" w:rsidRPr="00154C9E" w:rsidRDefault="00205EAF" w:rsidP="00154C9E">
      <w:pPr>
        <w:pStyle w:val="Heading1"/>
        <w:shd w:val="clear" w:color="auto" w:fill="FFFFFF"/>
        <w:spacing w:before="400" w:after="200" w:line="360" w:lineRule="auto"/>
        <w:ind w:left="360"/>
        <w:jc w:val="both"/>
        <w:rPr>
          <w:rFonts w:asciiTheme="majorBidi" w:hAnsiTheme="majorBidi"/>
          <w:b/>
          <w:bCs/>
          <w:color w:val="000000"/>
          <w:spacing w:val="-2"/>
          <w:sz w:val="24"/>
          <w:szCs w:val="24"/>
        </w:rPr>
      </w:pPr>
    </w:p>
    <w:p w14:paraId="58B00338" w14:textId="77777777" w:rsidR="00205EAF" w:rsidRPr="00154C9E" w:rsidRDefault="00205EAF" w:rsidP="00154C9E">
      <w:pPr>
        <w:pStyle w:val="Heading1"/>
        <w:shd w:val="clear" w:color="auto" w:fill="FFFFFF"/>
        <w:spacing w:before="0" w:after="120" w:line="360" w:lineRule="auto"/>
        <w:ind w:left="720"/>
        <w:jc w:val="both"/>
        <w:textAlignment w:val="baseline"/>
        <w:rPr>
          <w:rFonts w:asciiTheme="majorBidi" w:hAnsiTheme="majorBidi"/>
          <w:color w:val="000000"/>
          <w:spacing w:val="-2"/>
          <w:sz w:val="24"/>
          <w:szCs w:val="24"/>
        </w:rPr>
      </w:pPr>
    </w:p>
    <w:p w14:paraId="73787087"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6E81EE8A"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09A91BF2"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37A1D779"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56D41E83"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22A37476" w14:textId="77777777" w:rsidR="00205EAF" w:rsidRPr="00CC0DB9" w:rsidRDefault="00205EAF" w:rsidP="00154C9E">
      <w:pPr>
        <w:pStyle w:val="ListParagraph"/>
        <w:spacing w:line="360" w:lineRule="auto"/>
        <w:jc w:val="both"/>
        <w:rPr>
          <w:rFonts w:asciiTheme="majorBidi" w:eastAsia="Times New Roman" w:hAnsiTheme="majorBidi" w:cstheme="majorBidi"/>
          <w:b/>
          <w:bCs/>
          <w:color w:val="000000"/>
          <w:spacing w:val="-2"/>
          <w:kern w:val="36"/>
          <w:sz w:val="24"/>
          <w:szCs w:val="24"/>
          <w14:ligatures w14:val="none"/>
        </w:rPr>
      </w:pPr>
      <w:r w:rsidRPr="00CC0DB9">
        <w:rPr>
          <w:rFonts w:asciiTheme="majorBidi" w:eastAsia="Times New Roman" w:hAnsiTheme="majorBidi" w:cstheme="majorBidi"/>
          <w:b/>
          <w:bCs/>
          <w:color w:val="000000"/>
          <w:spacing w:val="-2"/>
          <w:kern w:val="36"/>
          <w:sz w:val="24"/>
          <w:szCs w:val="24"/>
          <w14:ligatures w14:val="none"/>
        </w:rPr>
        <w:t xml:space="preserve">Dr. Mozhgan </w:t>
      </w:r>
      <w:proofErr w:type="spellStart"/>
      <w:r w:rsidRPr="00CC0DB9">
        <w:rPr>
          <w:rFonts w:asciiTheme="majorBidi" w:eastAsia="Times New Roman" w:hAnsiTheme="majorBidi" w:cstheme="majorBidi"/>
          <w:b/>
          <w:bCs/>
          <w:color w:val="000000"/>
          <w:spacing w:val="-2"/>
          <w:kern w:val="36"/>
          <w:sz w:val="24"/>
          <w:szCs w:val="24"/>
          <w14:ligatures w14:val="none"/>
        </w:rPr>
        <w:t>Karimifar</w:t>
      </w:r>
      <w:proofErr w:type="spellEnd"/>
    </w:p>
    <w:p w14:paraId="67F95278" w14:textId="663372B5" w:rsidR="00205EAF" w:rsidRPr="00154C9E" w:rsidRDefault="00205EAF" w:rsidP="00CC0DB9">
      <w:pPr>
        <w:spacing w:line="360" w:lineRule="auto"/>
        <w:jc w:val="both"/>
        <w:rPr>
          <w:rFonts w:asciiTheme="majorBidi" w:hAnsiTheme="majorBidi" w:cstheme="majorBidi"/>
          <w:sz w:val="24"/>
          <w:szCs w:val="24"/>
        </w:rPr>
      </w:pPr>
      <w:r w:rsidRPr="00154C9E">
        <w:rPr>
          <w:rFonts w:asciiTheme="majorBidi" w:hAnsiTheme="majorBidi" w:cstheme="majorBidi"/>
          <w:sz w:val="24"/>
          <w:szCs w:val="24"/>
        </w:rPr>
        <w:t>Membership:</w:t>
      </w:r>
      <w:r w:rsidR="00CC0DB9">
        <w:rPr>
          <w:rFonts w:asciiTheme="majorBidi" w:hAnsiTheme="majorBidi" w:cstheme="majorBidi"/>
          <w:sz w:val="24"/>
          <w:szCs w:val="24"/>
        </w:rPr>
        <w:t xml:space="preserve"> </w:t>
      </w:r>
      <w:r w:rsidRPr="00154C9E">
        <w:rPr>
          <w:rFonts w:asciiTheme="majorBidi" w:hAnsiTheme="majorBidi" w:cstheme="majorBidi"/>
          <w:sz w:val="24"/>
          <w:szCs w:val="24"/>
        </w:rPr>
        <w:t>Isfahan Endocrine and Metabolism Research Center, Isfahan University of Medical Sciences, Isfahan, Iran</w:t>
      </w:r>
    </w:p>
    <w:p w14:paraId="62DDA653" w14:textId="77777777" w:rsidR="00205EAF" w:rsidRPr="00154C9E" w:rsidRDefault="00205EAF" w:rsidP="00154C9E">
      <w:pPr>
        <w:spacing w:line="360" w:lineRule="auto"/>
        <w:jc w:val="both"/>
        <w:rPr>
          <w:rFonts w:asciiTheme="majorBidi" w:hAnsiTheme="majorBidi" w:cstheme="majorBidi"/>
          <w:sz w:val="24"/>
          <w:szCs w:val="24"/>
        </w:rPr>
      </w:pPr>
    </w:p>
    <w:p w14:paraId="6C42AB18" w14:textId="77777777" w:rsidR="00205EAF" w:rsidRPr="00154C9E" w:rsidRDefault="00205EAF" w:rsidP="00154C9E">
      <w:pPr>
        <w:pStyle w:val="Heading1"/>
        <w:numPr>
          <w:ilvl w:val="0"/>
          <w:numId w:val="8"/>
        </w:numPr>
        <w:shd w:val="clear" w:color="auto" w:fill="FFFFFF"/>
        <w:tabs>
          <w:tab w:val="num" w:pos="720"/>
        </w:tabs>
        <w:spacing w:before="400" w:after="20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Effect of metformin on thyroid stimulating hormone and thyroid volume in patients with prediabetes: A randomized placebo-controlled clinical trial</w:t>
      </w:r>
    </w:p>
    <w:p w14:paraId="54AABBF7" w14:textId="77777777" w:rsidR="00205EAF" w:rsidRPr="00154C9E" w:rsidRDefault="00205EAF" w:rsidP="00154C9E">
      <w:pPr>
        <w:pStyle w:val="ListParagraph"/>
        <w:numPr>
          <w:ilvl w:val="0"/>
          <w:numId w:val="8"/>
        </w:numPr>
        <w:spacing w:line="360" w:lineRule="auto"/>
        <w:jc w:val="both"/>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t xml:space="preserve">Associations between empirically derived dietary </w:t>
      </w:r>
      <w:proofErr w:type="gramStart"/>
      <w:r w:rsidRPr="00154C9E">
        <w:rPr>
          <w:rFonts w:asciiTheme="majorBidi" w:eastAsia="Times New Roman" w:hAnsiTheme="majorBidi" w:cstheme="majorBidi"/>
          <w:color w:val="000000"/>
          <w:spacing w:val="-2"/>
          <w:kern w:val="36"/>
          <w:sz w:val="24"/>
          <w:szCs w:val="24"/>
          <w14:ligatures w14:val="none"/>
        </w:rPr>
        <w:t>patterns  and</w:t>
      </w:r>
      <w:proofErr w:type="gramEnd"/>
      <w:r w:rsidRPr="00154C9E">
        <w:rPr>
          <w:rFonts w:asciiTheme="majorBidi" w:eastAsia="Times New Roman" w:hAnsiTheme="majorBidi" w:cstheme="majorBidi"/>
          <w:color w:val="000000"/>
          <w:spacing w:val="-2"/>
          <w:kern w:val="36"/>
          <w:sz w:val="24"/>
          <w:szCs w:val="24"/>
          <w14:ligatures w14:val="none"/>
        </w:rPr>
        <w:t xml:space="preserve"> oxidative stress and inflammation in adults with primary hypothyroidism: A case-control study</w:t>
      </w:r>
    </w:p>
    <w:p w14:paraId="34F9E380" w14:textId="77777777" w:rsidR="00205EAF" w:rsidRPr="00154C9E" w:rsidRDefault="00205EAF" w:rsidP="00154C9E">
      <w:pPr>
        <w:pStyle w:val="ListParagraph"/>
        <w:numPr>
          <w:ilvl w:val="0"/>
          <w:numId w:val="8"/>
        </w:numPr>
        <w:spacing w:line="360" w:lineRule="auto"/>
        <w:jc w:val="both"/>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t>The effect of linagliptin on microalbuminuria in patients with diabetic nephropathy: a randomized, double blinded clinical trial</w:t>
      </w:r>
    </w:p>
    <w:p w14:paraId="7A584632" w14:textId="77777777" w:rsidR="00205EAF" w:rsidRPr="00154C9E" w:rsidRDefault="00205EAF" w:rsidP="00154C9E">
      <w:pPr>
        <w:pStyle w:val="Heading1"/>
        <w:numPr>
          <w:ilvl w:val="0"/>
          <w:numId w:val="8"/>
        </w:numPr>
        <w:shd w:val="clear" w:color="auto" w:fill="FFFFFF"/>
        <w:tabs>
          <w:tab w:val="num" w:pos="720"/>
        </w:tabs>
        <w:spacing w:before="400" w:after="20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Predictors of perioperative hypertensive crisis in patients with pheochromocytoma: A retrospective study</w:t>
      </w:r>
    </w:p>
    <w:p w14:paraId="2789F8BB"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The effects of wheat germ consumption on mental health and brain-derived neurotrophic factor in subjects with type 2 diabetes mellitus: a randomized, double-blind, placebo-controlled trial</w:t>
      </w:r>
    </w:p>
    <w:p w14:paraId="7317EE7B"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111111"/>
          <w:sz w:val="24"/>
          <w:szCs w:val="24"/>
        </w:rPr>
      </w:pPr>
      <w:r w:rsidRPr="00154C9E">
        <w:rPr>
          <w:rFonts w:asciiTheme="majorBidi" w:hAnsiTheme="majorBidi"/>
          <w:color w:val="000000"/>
          <w:spacing w:val="-2"/>
          <w:sz w:val="24"/>
          <w:szCs w:val="24"/>
        </w:rPr>
        <w:t>Guidelines for the treatment of rheumatic patients in the pandemic of COVID-19 infection</w:t>
      </w:r>
    </w:p>
    <w:p w14:paraId="7824C8A3"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 xml:space="preserve">The effect of </w:t>
      </w:r>
      <w:proofErr w:type="spellStart"/>
      <w:r w:rsidRPr="00154C9E">
        <w:rPr>
          <w:rFonts w:asciiTheme="majorBidi" w:hAnsiTheme="majorBidi"/>
          <w:color w:val="000000"/>
          <w:spacing w:val="-2"/>
          <w:sz w:val="24"/>
          <w:szCs w:val="24"/>
        </w:rPr>
        <w:t>synbiotic</w:t>
      </w:r>
      <w:proofErr w:type="spellEnd"/>
      <w:r w:rsidRPr="00154C9E">
        <w:rPr>
          <w:rFonts w:asciiTheme="majorBidi" w:hAnsiTheme="majorBidi"/>
          <w:color w:val="000000"/>
          <w:spacing w:val="-2"/>
          <w:sz w:val="24"/>
          <w:szCs w:val="24"/>
        </w:rPr>
        <w:t xml:space="preserve"> supplementation on anthropometric indices, appetite, and constipation in people with hypothyroidism: A randomized, double‐blind, placebo‐controlled trial</w:t>
      </w:r>
    </w:p>
    <w:p w14:paraId="3631FB0B"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The effects of conventional drugs in the treatment of rheumatoid arthritis on the serum lipids</w:t>
      </w:r>
    </w:p>
    <w:p w14:paraId="3678A924"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 xml:space="preserve">Does fenugreek (Trigonella </w:t>
      </w:r>
      <w:proofErr w:type="spellStart"/>
      <w:r w:rsidRPr="00154C9E">
        <w:rPr>
          <w:rFonts w:asciiTheme="majorBidi" w:hAnsiTheme="majorBidi"/>
          <w:color w:val="000000"/>
          <w:spacing w:val="-2"/>
          <w:sz w:val="24"/>
          <w:szCs w:val="24"/>
        </w:rPr>
        <w:t>foenum</w:t>
      </w:r>
      <w:proofErr w:type="spellEnd"/>
      <w:r w:rsidRPr="00154C9E">
        <w:rPr>
          <w:rFonts w:asciiTheme="majorBidi" w:hAnsiTheme="majorBidi"/>
          <w:color w:val="000000"/>
          <w:spacing w:val="-2"/>
          <w:sz w:val="24"/>
          <w:szCs w:val="24"/>
        </w:rPr>
        <w:t>-graecum) seed improve inflammation, and oxidative stress in patients with type 2 diabetes mellitus? A parallel group randomized clinical trial</w:t>
      </w:r>
    </w:p>
    <w:p w14:paraId="4DFDA33E" w14:textId="77777777" w:rsidR="00205EAF" w:rsidRPr="00154C9E" w:rsidRDefault="00205EAF" w:rsidP="00154C9E">
      <w:pPr>
        <w:pStyle w:val="Heading1"/>
        <w:numPr>
          <w:ilvl w:val="0"/>
          <w:numId w:val="8"/>
        </w:numPr>
        <w:shd w:val="clear" w:color="auto" w:fill="FFFFFF"/>
        <w:tabs>
          <w:tab w:val="num" w:pos="720"/>
        </w:tabs>
        <w:spacing w:before="0" w:line="360" w:lineRule="auto"/>
        <w:jc w:val="both"/>
        <w:rPr>
          <w:rFonts w:asciiTheme="majorBidi" w:hAnsiTheme="majorBidi"/>
          <w:b/>
          <w:bCs/>
          <w:color w:val="000000"/>
          <w:spacing w:val="-2"/>
          <w:sz w:val="24"/>
          <w:szCs w:val="24"/>
        </w:rPr>
      </w:pPr>
      <w:r w:rsidRPr="00154C9E">
        <w:rPr>
          <w:rFonts w:asciiTheme="majorBidi" w:hAnsiTheme="majorBidi"/>
          <w:color w:val="000000"/>
          <w:spacing w:val="-2"/>
          <w:sz w:val="24"/>
          <w:szCs w:val="24"/>
        </w:rPr>
        <w:t>Effects of Levothyroxine and thyroid stimulating hormone on bone loss in patients with primary hypothyroidism</w:t>
      </w:r>
    </w:p>
    <w:p w14:paraId="0379FFD5"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p>
    <w:p w14:paraId="44026752"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38EDEB87" w14:textId="2B4281F7" w:rsidR="00205EAF" w:rsidRPr="00E248D0" w:rsidRDefault="00205EAF" w:rsidP="00154C9E">
      <w:pPr>
        <w:pStyle w:val="Heading1"/>
        <w:spacing w:before="0" w:line="360" w:lineRule="auto"/>
        <w:jc w:val="both"/>
        <w:rPr>
          <w:rStyle w:val="title-text"/>
          <w:rFonts w:asciiTheme="majorBidi" w:hAnsiTheme="majorBidi"/>
          <w:b/>
          <w:bCs/>
          <w:color w:val="1F1F1F"/>
          <w:sz w:val="24"/>
          <w:szCs w:val="24"/>
        </w:rPr>
      </w:pPr>
      <w:r w:rsidRPr="00E248D0">
        <w:rPr>
          <w:rStyle w:val="title-text"/>
          <w:rFonts w:asciiTheme="majorBidi" w:hAnsiTheme="majorBidi"/>
          <w:b/>
          <w:bCs/>
          <w:color w:val="1F1F1F"/>
          <w:sz w:val="24"/>
          <w:szCs w:val="24"/>
        </w:rPr>
        <w:t>Dr. Amir Hossein Goli</w:t>
      </w:r>
    </w:p>
    <w:p w14:paraId="1A7178FB" w14:textId="77777777" w:rsidR="00205EAF" w:rsidRPr="00154C9E" w:rsidRDefault="00205EAF" w:rsidP="00154C9E">
      <w:pPr>
        <w:pStyle w:val="Heading1"/>
        <w:numPr>
          <w:ilvl w:val="0"/>
          <w:numId w:val="9"/>
        </w:numPr>
        <w:tabs>
          <w:tab w:val="num" w:pos="720"/>
        </w:tabs>
        <w:spacing w:before="0" w:line="360" w:lineRule="auto"/>
        <w:ind w:left="720"/>
        <w:jc w:val="both"/>
        <w:rPr>
          <w:rFonts w:asciiTheme="majorBidi" w:hAnsiTheme="majorBidi"/>
          <w:b/>
          <w:bCs/>
          <w:color w:val="1F1F1F"/>
          <w:sz w:val="24"/>
          <w:szCs w:val="24"/>
        </w:rPr>
      </w:pPr>
      <w:r w:rsidRPr="00154C9E">
        <w:rPr>
          <w:rStyle w:val="title-text"/>
          <w:rFonts w:asciiTheme="majorBidi" w:hAnsiTheme="majorBidi"/>
          <w:color w:val="1F1F1F"/>
          <w:sz w:val="24"/>
          <w:szCs w:val="24"/>
        </w:rPr>
        <w:t>Essential oil variation among and within six </w:t>
      </w:r>
      <w:r w:rsidRPr="00154C9E">
        <w:rPr>
          <w:rStyle w:val="Emphasis"/>
          <w:rFonts w:asciiTheme="majorBidi" w:hAnsiTheme="majorBidi"/>
          <w:color w:val="1F1F1F"/>
          <w:sz w:val="24"/>
          <w:szCs w:val="24"/>
        </w:rPr>
        <w:t>Achillea</w:t>
      </w:r>
      <w:r w:rsidRPr="00154C9E">
        <w:rPr>
          <w:rStyle w:val="title-text"/>
          <w:rFonts w:asciiTheme="majorBidi" w:hAnsiTheme="majorBidi"/>
          <w:color w:val="1F1F1F"/>
          <w:sz w:val="24"/>
          <w:szCs w:val="24"/>
        </w:rPr>
        <w:t> species transferred from different ecological regions in Iran to the field conditions</w:t>
      </w:r>
    </w:p>
    <w:p w14:paraId="0E3AEDFC" w14:textId="77777777" w:rsidR="00205EAF" w:rsidRPr="00154C9E" w:rsidRDefault="00205EAF" w:rsidP="00154C9E">
      <w:pPr>
        <w:pStyle w:val="Heading1"/>
        <w:numPr>
          <w:ilvl w:val="0"/>
          <w:numId w:val="9"/>
        </w:numPr>
        <w:shd w:val="clear" w:color="auto" w:fill="FFFFFF"/>
        <w:tabs>
          <w:tab w:val="num" w:pos="720"/>
        </w:tabs>
        <w:spacing w:line="360" w:lineRule="auto"/>
        <w:ind w:left="720"/>
        <w:jc w:val="both"/>
        <w:rPr>
          <w:rStyle w:val="title-text"/>
          <w:rFonts w:asciiTheme="majorBidi" w:hAnsiTheme="majorBidi"/>
          <w:b/>
          <w:bCs/>
          <w:color w:val="1F1F1F"/>
          <w:sz w:val="24"/>
          <w:szCs w:val="24"/>
        </w:rPr>
      </w:pPr>
      <w:r w:rsidRPr="00154C9E">
        <w:rPr>
          <w:rStyle w:val="title-text"/>
          <w:rFonts w:asciiTheme="majorBidi" w:hAnsiTheme="majorBidi"/>
          <w:color w:val="1F1F1F"/>
          <w:sz w:val="24"/>
          <w:szCs w:val="24"/>
        </w:rPr>
        <w:t xml:space="preserve">Pomegranate seed oil </w:t>
      </w:r>
      <w:proofErr w:type="spellStart"/>
      <w:r w:rsidRPr="00154C9E">
        <w:rPr>
          <w:rStyle w:val="title-text"/>
          <w:rFonts w:asciiTheme="majorBidi" w:hAnsiTheme="majorBidi"/>
          <w:color w:val="1F1F1F"/>
          <w:sz w:val="24"/>
          <w:szCs w:val="24"/>
        </w:rPr>
        <w:t>organogels</w:t>
      </w:r>
      <w:proofErr w:type="spellEnd"/>
      <w:r w:rsidRPr="00154C9E">
        <w:rPr>
          <w:rStyle w:val="title-text"/>
          <w:rFonts w:asciiTheme="majorBidi" w:hAnsiTheme="majorBidi"/>
          <w:color w:val="1F1F1F"/>
          <w:sz w:val="24"/>
          <w:szCs w:val="24"/>
        </w:rPr>
        <w:t xml:space="preserve"> structured by propolis wax, beeswax, and their mixture</w:t>
      </w:r>
    </w:p>
    <w:p w14:paraId="05C883E3" w14:textId="77777777" w:rsidR="00205EAF" w:rsidRPr="00154C9E" w:rsidRDefault="00205EAF" w:rsidP="00154C9E">
      <w:pPr>
        <w:pStyle w:val="Heading1"/>
        <w:numPr>
          <w:ilvl w:val="0"/>
          <w:numId w:val="9"/>
        </w:numPr>
        <w:tabs>
          <w:tab w:val="num" w:pos="720"/>
        </w:tabs>
        <w:spacing w:before="0" w:line="360" w:lineRule="auto"/>
        <w:ind w:left="720"/>
        <w:jc w:val="both"/>
        <w:rPr>
          <w:rStyle w:val="title-text"/>
          <w:rFonts w:asciiTheme="majorBidi" w:hAnsiTheme="majorBidi"/>
          <w:sz w:val="24"/>
          <w:szCs w:val="24"/>
        </w:rPr>
      </w:pPr>
      <w:r w:rsidRPr="00154C9E">
        <w:rPr>
          <w:rStyle w:val="title-text"/>
          <w:rFonts w:asciiTheme="majorBidi" w:hAnsiTheme="majorBidi"/>
          <w:color w:val="1F1F1F"/>
          <w:sz w:val="24"/>
          <w:szCs w:val="24"/>
        </w:rPr>
        <w:t xml:space="preserve">Production of sesame oil </w:t>
      </w:r>
      <w:proofErr w:type="spellStart"/>
      <w:r w:rsidRPr="00154C9E">
        <w:rPr>
          <w:rStyle w:val="title-text"/>
          <w:rFonts w:asciiTheme="majorBidi" w:hAnsiTheme="majorBidi"/>
          <w:color w:val="1F1F1F"/>
          <w:sz w:val="24"/>
          <w:szCs w:val="24"/>
        </w:rPr>
        <w:t>oleogels</w:t>
      </w:r>
      <w:proofErr w:type="spellEnd"/>
      <w:r w:rsidRPr="00154C9E">
        <w:rPr>
          <w:rStyle w:val="title-text"/>
          <w:rFonts w:asciiTheme="majorBidi" w:hAnsiTheme="majorBidi"/>
          <w:color w:val="1F1F1F"/>
          <w:sz w:val="24"/>
          <w:szCs w:val="24"/>
        </w:rPr>
        <w:t xml:space="preserve"> based on beeswax and application as partial substitutes of animal fat in beef burger</w:t>
      </w:r>
    </w:p>
    <w:p w14:paraId="78785CCD" w14:textId="77777777" w:rsidR="00205EAF" w:rsidRPr="00154C9E" w:rsidRDefault="00205EAF" w:rsidP="00154C9E">
      <w:pPr>
        <w:pStyle w:val="Heading1"/>
        <w:numPr>
          <w:ilvl w:val="0"/>
          <w:numId w:val="9"/>
        </w:numPr>
        <w:tabs>
          <w:tab w:val="num" w:pos="720"/>
        </w:tabs>
        <w:spacing w:before="0" w:line="360" w:lineRule="auto"/>
        <w:ind w:left="720"/>
        <w:jc w:val="both"/>
        <w:rPr>
          <w:rStyle w:val="title-text"/>
          <w:rFonts w:asciiTheme="majorBidi" w:hAnsiTheme="majorBidi"/>
          <w:sz w:val="24"/>
          <w:szCs w:val="24"/>
        </w:rPr>
      </w:pPr>
      <w:r w:rsidRPr="00154C9E">
        <w:rPr>
          <w:rStyle w:val="title-text"/>
          <w:rFonts w:asciiTheme="majorBidi" w:hAnsiTheme="majorBidi"/>
          <w:color w:val="1F1F1F"/>
          <w:sz w:val="24"/>
          <w:szCs w:val="24"/>
        </w:rPr>
        <w:t xml:space="preserve">Improving </w:t>
      </w:r>
      <w:proofErr w:type="spellStart"/>
      <w:r w:rsidRPr="00154C9E">
        <w:rPr>
          <w:rStyle w:val="title-text"/>
          <w:rFonts w:asciiTheme="majorBidi" w:hAnsiTheme="majorBidi"/>
          <w:color w:val="1F1F1F"/>
          <w:sz w:val="24"/>
          <w:szCs w:val="24"/>
        </w:rPr>
        <w:t>exergetic</w:t>
      </w:r>
      <w:proofErr w:type="spellEnd"/>
      <w:r w:rsidRPr="00154C9E">
        <w:rPr>
          <w:rStyle w:val="title-text"/>
          <w:rFonts w:asciiTheme="majorBidi" w:hAnsiTheme="majorBidi"/>
          <w:color w:val="1F1F1F"/>
          <w:sz w:val="24"/>
          <w:szCs w:val="24"/>
        </w:rPr>
        <w:t xml:space="preserve"> and sustainability parameters of a DI diesel engine using polymer waste dissolved in biodiesel as a novel diesel additive</w:t>
      </w:r>
    </w:p>
    <w:p w14:paraId="3C8D0D4C" w14:textId="77777777" w:rsidR="00205EAF" w:rsidRPr="00154C9E" w:rsidRDefault="00205EAF" w:rsidP="00154C9E">
      <w:pPr>
        <w:pStyle w:val="Heading1"/>
        <w:spacing w:before="0" w:line="360" w:lineRule="auto"/>
        <w:ind w:left="630"/>
        <w:jc w:val="both"/>
        <w:rPr>
          <w:rStyle w:val="title-text"/>
          <w:rFonts w:asciiTheme="majorBidi" w:hAnsiTheme="majorBidi"/>
          <w:sz w:val="24"/>
          <w:szCs w:val="24"/>
        </w:rPr>
      </w:pPr>
    </w:p>
    <w:p w14:paraId="0A43FAF3" w14:textId="77777777" w:rsidR="00205EAF" w:rsidRPr="00154C9E" w:rsidRDefault="00205EAF" w:rsidP="00154C9E">
      <w:pPr>
        <w:pStyle w:val="Heading1"/>
        <w:numPr>
          <w:ilvl w:val="0"/>
          <w:numId w:val="9"/>
        </w:numPr>
        <w:tabs>
          <w:tab w:val="num" w:pos="720"/>
        </w:tabs>
        <w:spacing w:before="0" w:line="360" w:lineRule="auto"/>
        <w:ind w:left="720"/>
        <w:jc w:val="both"/>
        <w:rPr>
          <w:rStyle w:val="title-text"/>
          <w:rFonts w:asciiTheme="majorBidi" w:hAnsiTheme="majorBidi"/>
          <w:sz w:val="24"/>
          <w:szCs w:val="24"/>
        </w:rPr>
      </w:pPr>
      <w:r w:rsidRPr="00154C9E">
        <w:rPr>
          <w:rStyle w:val="title-text"/>
          <w:rFonts w:asciiTheme="majorBidi" w:hAnsiTheme="majorBidi"/>
          <w:color w:val="1F1F1F"/>
          <w:sz w:val="24"/>
          <w:szCs w:val="24"/>
        </w:rPr>
        <w:t>Plant based Pickering stabilization of emulsions using soluble flaxseed protein and mucilage nano-assemblies</w:t>
      </w:r>
    </w:p>
    <w:p w14:paraId="6CFEE3B0" w14:textId="77777777" w:rsidR="00205EAF" w:rsidRPr="00154C9E" w:rsidRDefault="00205EAF" w:rsidP="00154C9E">
      <w:pPr>
        <w:pStyle w:val="Heading1"/>
        <w:numPr>
          <w:ilvl w:val="0"/>
          <w:numId w:val="9"/>
        </w:numPr>
        <w:shd w:val="clear" w:color="auto" w:fill="FFFFFF"/>
        <w:tabs>
          <w:tab w:val="num" w:pos="720"/>
        </w:tabs>
        <w:spacing w:line="360" w:lineRule="auto"/>
        <w:ind w:left="720"/>
        <w:jc w:val="both"/>
        <w:rPr>
          <w:rStyle w:val="title-text"/>
          <w:rFonts w:asciiTheme="majorBidi" w:hAnsiTheme="majorBidi"/>
          <w:b/>
          <w:bCs/>
          <w:color w:val="1F1F1F"/>
          <w:sz w:val="24"/>
          <w:szCs w:val="24"/>
        </w:rPr>
      </w:pPr>
      <w:r w:rsidRPr="00154C9E">
        <w:rPr>
          <w:rStyle w:val="title-text"/>
          <w:rFonts w:asciiTheme="majorBidi" w:hAnsiTheme="majorBidi"/>
          <w:color w:val="1F1F1F"/>
          <w:sz w:val="24"/>
          <w:szCs w:val="24"/>
        </w:rPr>
        <w:t>The chemical composition of the seeds of Iranian pumpkin cultivars and physicochemical characteristics of the oil extract</w:t>
      </w:r>
    </w:p>
    <w:p w14:paraId="0971C59C" w14:textId="77777777" w:rsidR="00205EAF" w:rsidRPr="00154C9E" w:rsidRDefault="00205EAF" w:rsidP="00154C9E">
      <w:pPr>
        <w:pStyle w:val="Heading1"/>
        <w:numPr>
          <w:ilvl w:val="0"/>
          <w:numId w:val="9"/>
        </w:numPr>
        <w:tabs>
          <w:tab w:val="num" w:pos="720"/>
        </w:tabs>
        <w:spacing w:before="0" w:line="360" w:lineRule="auto"/>
        <w:ind w:left="720"/>
        <w:jc w:val="both"/>
        <w:rPr>
          <w:rStyle w:val="title-text"/>
          <w:rFonts w:asciiTheme="majorBidi" w:hAnsiTheme="majorBidi"/>
          <w:sz w:val="24"/>
          <w:szCs w:val="24"/>
        </w:rPr>
      </w:pPr>
      <w:r w:rsidRPr="00154C9E">
        <w:rPr>
          <w:rStyle w:val="title-text"/>
          <w:rFonts w:asciiTheme="majorBidi" w:hAnsiTheme="majorBidi"/>
          <w:color w:val="1F1F1F"/>
          <w:sz w:val="24"/>
          <w:szCs w:val="24"/>
        </w:rPr>
        <w:t>Fabrication, physicochemical properties and structural characteristics of nanoparticles from carrot pomace and its insoluble dietary fiber</w:t>
      </w:r>
    </w:p>
    <w:p w14:paraId="6CB6B016" w14:textId="77777777" w:rsidR="00205EAF" w:rsidRPr="00154C9E" w:rsidRDefault="00205EAF" w:rsidP="00154C9E">
      <w:pPr>
        <w:pStyle w:val="Heading1"/>
        <w:shd w:val="clear" w:color="auto" w:fill="FFFFFF"/>
        <w:spacing w:line="360" w:lineRule="auto"/>
        <w:ind w:left="630"/>
        <w:jc w:val="both"/>
        <w:rPr>
          <w:rStyle w:val="title-text"/>
          <w:rFonts w:asciiTheme="majorBidi" w:hAnsiTheme="majorBidi"/>
          <w:b/>
          <w:bCs/>
          <w:color w:val="1F1F1F"/>
          <w:sz w:val="24"/>
          <w:szCs w:val="24"/>
        </w:rPr>
      </w:pPr>
    </w:p>
    <w:p w14:paraId="378E2199" w14:textId="77777777" w:rsidR="00205EAF" w:rsidRPr="00154C9E" w:rsidRDefault="00205EAF" w:rsidP="00154C9E">
      <w:pPr>
        <w:pStyle w:val="Heading1"/>
        <w:shd w:val="clear" w:color="auto" w:fill="FFFFFF"/>
        <w:spacing w:line="360" w:lineRule="auto"/>
        <w:ind w:left="360"/>
        <w:jc w:val="both"/>
        <w:rPr>
          <w:rStyle w:val="title-text"/>
          <w:rFonts w:asciiTheme="majorBidi" w:hAnsiTheme="majorBidi"/>
          <w:b/>
          <w:bCs/>
          <w:color w:val="1F1F1F"/>
          <w:sz w:val="24"/>
          <w:szCs w:val="24"/>
        </w:rPr>
      </w:pPr>
    </w:p>
    <w:p w14:paraId="62ABA9BF" w14:textId="77777777" w:rsidR="00205EAF" w:rsidRPr="00154C9E" w:rsidRDefault="00205EAF" w:rsidP="00154C9E">
      <w:pPr>
        <w:pStyle w:val="Heading1"/>
        <w:numPr>
          <w:ilvl w:val="0"/>
          <w:numId w:val="9"/>
        </w:numPr>
        <w:tabs>
          <w:tab w:val="num" w:pos="720"/>
        </w:tabs>
        <w:spacing w:before="0" w:line="360" w:lineRule="auto"/>
        <w:ind w:left="720"/>
        <w:jc w:val="both"/>
        <w:rPr>
          <w:rStyle w:val="title-text"/>
          <w:rFonts w:asciiTheme="majorBidi" w:hAnsiTheme="majorBidi"/>
          <w:sz w:val="24"/>
          <w:szCs w:val="24"/>
        </w:rPr>
      </w:pPr>
      <w:r w:rsidRPr="00154C9E">
        <w:rPr>
          <w:rStyle w:val="title-text"/>
          <w:rFonts w:asciiTheme="majorBidi" w:hAnsiTheme="majorBidi"/>
          <w:color w:val="1F1F1F"/>
          <w:sz w:val="24"/>
          <w:szCs w:val="24"/>
        </w:rPr>
        <w:t>Thermodynamic compatibility of gelatin and tragacanth gum in aqueous systems</w:t>
      </w:r>
    </w:p>
    <w:p w14:paraId="6E9BE2F2" w14:textId="77777777" w:rsidR="00205EAF" w:rsidRPr="00154C9E" w:rsidRDefault="00205EAF" w:rsidP="00154C9E">
      <w:pPr>
        <w:pStyle w:val="Heading1"/>
        <w:spacing w:before="0" w:line="360" w:lineRule="auto"/>
        <w:jc w:val="both"/>
        <w:rPr>
          <w:rStyle w:val="title-text"/>
          <w:rFonts w:asciiTheme="majorBidi" w:hAnsiTheme="majorBidi"/>
          <w:b/>
          <w:bCs/>
          <w:color w:val="1F1F1F"/>
          <w:sz w:val="24"/>
          <w:szCs w:val="24"/>
        </w:rPr>
      </w:pPr>
    </w:p>
    <w:p w14:paraId="6D5E4098" w14:textId="77777777" w:rsidR="00205EAF" w:rsidRPr="00154C9E" w:rsidRDefault="00205EAF" w:rsidP="00154C9E">
      <w:pPr>
        <w:pStyle w:val="Heading1"/>
        <w:spacing w:before="0" w:line="360" w:lineRule="auto"/>
        <w:jc w:val="both"/>
        <w:rPr>
          <w:rStyle w:val="title-text"/>
          <w:rFonts w:asciiTheme="majorBidi" w:hAnsiTheme="majorBidi"/>
          <w:b/>
          <w:bCs/>
          <w:color w:val="1F1F1F"/>
          <w:sz w:val="24"/>
          <w:szCs w:val="24"/>
        </w:rPr>
      </w:pPr>
    </w:p>
    <w:p w14:paraId="53E0E999" w14:textId="77777777" w:rsidR="00205EAF" w:rsidRPr="00154C9E" w:rsidRDefault="00205EAF" w:rsidP="00154C9E">
      <w:pPr>
        <w:pStyle w:val="Heading1"/>
        <w:spacing w:before="0" w:line="360" w:lineRule="auto"/>
        <w:jc w:val="both"/>
        <w:rPr>
          <w:rStyle w:val="title-text"/>
          <w:rFonts w:asciiTheme="majorBidi" w:hAnsiTheme="majorBidi"/>
          <w:b/>
          <w:bCs/>
          <w:color w:val="1F1F1F"/>
          <w:sz w:val="24"/>
          <w:szCs w:val="24"/>
        </w:rPr>
      </w:pPr>
    </w:p>
    <w:p w14:paraId="766E7F73" w14:textId="77777777" w:rsidR="00205EAF" w:rsidRPr="00154C9E" w:rsidRDefault="00205EAF" w:rsidP="00154C9E">
      <w:pPr>
        <w:pStyle w:val="Heading1"/>
        <w:spacing w:before="0" w:line="360" w:lineRule="auto"/>
        <w:jc w:val="both"/>
        <w:rPr>
          <w:rStyle w:val="title-text"/>
          <w:rFonts w:asciiTheme="majorBidi" w:hAnsiTheme="majorBidi"/>
          <w:b/>
          <w:bCs/>
          <w:color w:val="1F1F1F"/>
          <w:sz w:val="24"/>
          <w:szCs w:val="24"/>
        </w:rPr>
      </w:pPr>
    </w:p>
    <w:p w14:paraId="171A6B73"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600F36A4"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7A3F30AC"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2BED0CD7"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1CF41B64"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2C616D41" w14:textId="77777777" w:rsidR="00205EAF" w:rsidRPr="00154C9E" w:rsidRDefault="00205EAF" w:rsidP="00154C9E">
      <w:pPr>
        <w:pStyle w:val="Heading1"/>
        <w:spacing w:before="0" w:line="360" w:lineRule="auto"/>
        <w:jc w:val="both"/>
        <w:rPr>
          <w:rStyle w:val="title-text"/>
          <w:rFonts w:asciiTheme="majorBidi" w:hAnsiTheme="majorBidi"/>
          <w:color w:val="1F1F1F"/>
          <w:sz w:val="24"/>
          <w:szCs w:val="24"/>
        </w:rPr>
      </w:pPr>
    </w:p>
    <w:p w14:paraId="081C5C10" w14:textId="4DB71E8A" w:rsidR="00205EAF" w:rsidRPr="00154C9E" w:rsidRDefault="00205EAF" w:rsidP="00154C9E">
      <w:pPr>
        <w:pStyle w:val="Heading1"/>
        <w:spacing w:before="0" w:line="360" w:lineRule="auto"/>
        <w:jc w:val="both"/>
        <w:rPr>
          <w:rStyle w:val="title-text"/>
          <w:rFonts w:asciiTheme="majorBidi" w:hAnsiTheme="majorBidi"/>
          <w:b/>
          <w:bCs/>
          <w:color w:val="1F1F1F"/>
          <w:sz w:val="24"/>
          <w:szCs w:val="24"/>
        </w:rPr>
      </w:pPr>
      <w:r w:rsidRPr="00154C9E">
        <w:rPr>
          <w:rStyle w:val="title-text"/>
          <w:rFonts w:asciiTheme="majorBidi" w:hAnsiTheme="majorBidi"/>
          <w:color w:val="1F1F1F"/>
          <w:sz w:val="24"/>
          <w:szCs w:val="24"/>
        </w:rPr>
        <w:lastRenderedPageBreak/>
        <w:t>Prof. Reza Amani</w:t>
      </w:r>
    </w:p>
    <w:p w14:paraId="430479E6" w14:textId="77777777" w:rsidR="00205EAF" w:rsidRPr="00154C9E" w:rsidRDefault="00205EAF" w:rsidP="00154C9E">
      <w:pPr>
        <w:pStyle w:val="ListParagraph"/>
        <w:numPr>
          <w:ilvl w:val="0"/>
          <w:numId w:val="10"/>
        </w:numPr>
        <w:shd w:val="clear" w:color="auto" w:fill="FFFFFF"/>
        <w:spacing w:before="100" w:beforeAutospacing="1" w:after="100" w:afterAutospacing="1" w:line="360" w:lineRule="auto"/>
        <w:jc w:val="both"/>
        <w:outlineLvl w:val="0"/>
        <w:rPr>
          <w:rStyle w:val="title-text"/>
          <w:rFonts w:asciiTheme="majorBidi" w:hAnsiTheme="majorBidi" w:cstheme="majorBidi"/>
          <w:color w:val="1F1F1F"/>
          <w:sz w:val="24"/>
          <w:szCs w:val="24"/>
        </w:rPr>
      </w:pPr>
      <w:r w:rsidRPr="00154C9E">
        <w:rPr>
          <w:rStyle w:val="title-text"/>
          <w:rFonts w:asciiTheme="majorBidi" w:hAnsiTheme="majorBidi" w:cstheme="majorBidi"/>
          <w:color w:val="1F1F1F"/>
          <w:sz w:val="24"/>
          <w:szCs w:val="24"/>
        </w:rPr>
        <w:t>Effects of the royal jelly consumption on post-stroke complications in patients with ischemic stroke: results of a randomized controlled trial</w:t>
      </w:r>
      <w:r w:rsidRPr="00154C9E">
        <w:rPr>
          <w:rStyle w:val="title-text"/>
          <w:rFonts w:asciiTheme="majorBidi" w:hAnsiTheme="majorBidi" w:cstheme="majorBidi"/>
          <w:color w:val="1F1F1F"/>
          <w:sz w:val="24"/>
          <w:szCs w:val="24"/>
        </w:rPr>
        <w:fldChar w:fldCharType="begin"/>
      </w:r>
      <w:r w:rsidRPr="00154C9E">
        <w:rPr>
          <w:rStyle w:val="title-text"/>
          <w:rFonts w:asciiTheme="majorBidi" w:hAnsiTheme="majorBidi" w:cstheme="majorBidi"/>
          <w:color w:val="1F1F1F"/>
          <w:sz w:val="24"/>
          <w:szCs w:val="24"/>
        </w:rPr>
        <w:instrText xml:space="preserve"> ADDIN EN.CITE &lt;EndNote&gt;&lt;Cite&gt;&lt;Author&gt;Karimi&lt;/Author&gt;&lt;Year&gt;2023&lt;/Year&gt;&lt;RecNum&gt;491&lt;/RecNum&gt;&lt;DisplayText&gt;(Karimi, Arab et al. 2023)&lt;/DisplayText&gt;&lt;record&gt;&lt;rec-number&gt;491&lt;/rec-number&gt;&lt;foreign-keys&gt;&lt;key app="EN" db-id="0fzd90ttjszadaeeftlv0ax30z52par95zp0" timestamp="1709391528"&gt;491&lt;/key&gt;&lt;/foreign-keys&gt;&lt;ref-type name="Journal Article"&gt;17&lt;/ref-type&gt;&lt;contributors&gt;&lt;authors&gt;&lt;author&gt;Karimi, Elham&lt;/author&gt;&lt;author&gt;Arab, Arman&lt;/author&gt;&lt;author&gt;Sepidarkish, Mahdi&lt;/author&gt;&lt;author&gt;Khorvash, Fariborz&lt;/author&gt;&lt;author&gt;Saadatnia, Mohammad&lt;/author&gt;&lt;author&gt;Amani, Reza&lt;/author&gt;&lt;/authors&gt;&lt;/contributors&gt;&lt;titles&gt;&lt;title&gt;Effects of the royal jelly consumption on post-stroke complications in patients with ischemic stroke: results of a randomized controlled trial&lt;/title&gt;&lt;secondary-title&gt;Frontiers in Nutrition&lt;/secondary-title&gt;&lt;/titles&gt;&lt;periodical&gt;&lt;full-title&gt;Frontiers in Nutrition&lt;/full-title&gt;&lt;/periodical&gt;&lt;volume&gt;10&lt;/volume&gt;&lt;dates&gt;&lt;year&gt;2023&lt;/year&gt;&lt;/dates&gt;&lt;urls&gt;&lt;/urls&gt;&lt;/record&gt;&lt;/Cite&gt;&lt;/EndNote&gt;</w:instrText>
      </w:r>
      <w:r w:rsidRPr="00154C9E">
        <w:rPr>
          <w:rStyle w:val="title-text"/>
          <w:rFonts w:asciiTheme="majorBidi" w:hAnsiTheme="majorBidi" w:cstheme="majorBidi"/>
          <w:color w:val="1F1F1F"/>
          <w:sz w:val="24"/>
          <w:szCs w:val="24"/>
        </w:rPr>
        <w:fldChar w:fldCharType="separate"/>
      </w:r>
      <w:r w:rsidRPr="00154C9E">
        <w:rPr>
          <w:rStyle w:val="title-text"/>
          <w:rFonts w:asciiTheme="majorBidi" w:hAnsiTheme="majorBidi" w:cstheme="majorBidi"/>
          <w:noProof/>
          <w:color w:val="1F1F1F"/>
          <w:sz w:val="24"/>
          <w:szCs w:val="24"/>
        </w:rPr>
        <w:t>(Karimi, Arab et al. 2023)</w:t>
      </w:r>
      <w:r w:rsidRPr="00154C9E">
        <w:rPr>
          <w:rStyle w:val="title-text"/>
          <w:rFonts w:asciiTheme="majorBidi" w:hAnsiTheme="majorBidi" w:cstheme="majorBidi"/>
          <w:color w:val="1F1F1F"/>
          <w:sz w:val="24"/>
          <w:szCs w:val="24"/>
        </w:rPr>
        <w:fldChar w:fldCharType="end"/>
      </w:r>
    </w:p>
    <w:p w14:paraId="1DC54D37" w14:textId="77777777" w:rsidR="00205EAF" w:rsidRPr="00154C9E" w:rsidRDefault="00205EAF" w:rsidP="00154C9E">
      <w:pPr>
        <w:pStyle w:val="Heading1"/>
        <w:numPr>
          <w:ilvl w:val="0"/>
          <w:numId w:val="10"/>
        </w:numPr>
        <w:shd w:val="clear" w:color="auto" w:fill="FFFFFF"/>
        <w:spacing w:line="360" w:lineRule="auto"/>
        <w:ind w:left="720"/>
        <w:jc w:val="both"/>
        <w:rPr>
          <w:rStyle w:val="title-text"/>
          <w:rFonts w:asciiTheme="majorBidi" w:eastAsiaTheme="minorHAnsi" w:hAnsiTheme="majorBidi"/>
          <w:b/>
          <w:bCs/>
          <w:color w:val="1F1F1F"/>
          <w:sz w:val="24"/>
          <w:szCs w:val="24"/>
        </w:rPr>
      </w:pPr>
      <w:r w:rsidRPr="00154C9E">
        <w:rPr>
          <w:rStyle w:val="title-text"/>
          <w:rFonts w:asciiTheme="majorBidi" w:eastAsiaTheme="minorHAnsi" w:hAnsiTheme="majorBidi"/>
          <w:color w:val="1F1F1F"/>
          <w:sz w:val="24"/>
          <w:szCs w:val="24"/>
        </w:rPr>
        <w:t>Effect of vitamin D supplementation on symptoms severity in vitamin D insufficient women with premenstrual syndrome: A randomized controlled trial</w:t>
      </w:r>
      <w:r w:rsidRPr="00154C9E">
        <w:rPr>
          <w:rStyle w:val="title-text"/>
          <w:rFonts w:asciiTheme="majorBidi" w:eastAsiaTheme="minorHAnsi" w:hAnsiTheme="majorBidi"/>
          <w:b/>
          <w:bCs/>
          <w:color w:val="1F1F1F"/>
          <w:sz w:val="24"/>
          <w:szCs w:val="24"/>
        </w:rPr>
        <w:fldChar w:fldCharType="begin"/>
      </w:r>
      <w:r w:rsidRPr="00154C9E">
        <w:rPr>
          <w:rStyle w:val="title-text"/>
          <w:rFonts w:asciiTheme="majorBidi" w:eastAsiaTheme="minorHAnsi" w:hAnsiTheme="majorBidi"/>
          <w:color w:val="1F1F1F"/>
          <w:sz w:val="24"/>
          <w:szCs w:val="24"/>
        </w:rPr>
        <w:instrText xml:space="preserve"> ADDIN EN.CITE &lt;EndNote&gt;&lt;Cite&gt;&lt;Author&gt;Heidari&lt;/Author&gt;&lt;Year&gt;2024&lt;/Year&gt;&lt;RecNum&gt;493&lt;/RecNum&gt;&lt;DisplayText&gt;(Heidari, Abbasi et al. 2024)&lt;/DisplayText&gt;&lt;record&gt;&lt;rec-number&gt;493&lt;/rec-number&gt;&lt;foreign-keys&gt;&lt;key app="EN" db-id="0fzd90ttjszadaeeftlv0ax30z52par95zp0" timestamp="1709391794"&gt;493&lt;/key&gt;&lt;/foreign-keys&gt;&lt;ref-type name="Journal Article"&gt;17&lt;/ref-type&gt;&lt;contributors&gt;&lt;authors&gt;&lt;author&gt;Heidari, Hajar&lt;/author&gt;&lt;author&gt;Abbasi, Khadijeh&lt;/author&gt;&lt;author&gt;Feizi, Awat&lt;/author&gt;&lt;author&gt;Kohan, Shahnaz&lt;/author&gt;&lt;author&gt;Amani, Reza&lt;/author&gt;&lt;/authors&gt;&lt;/contributors&gt;&lt;titles&gt;&lt;title&gt;Effect of vitamin D supplementation on symptoms severity in vitamin D insufficient women with premenstrual syndrome: A randomized controlled trial&lt;/title&gt;&lt;secondary-title&gt;Clinical Nutrition ESPEN&lt;/secondary-title&gt;&lt;/titles&gt;&lt;periodical&gt;&lt;full-title&gt;Clinical Nutrition ESPEN&lt;/full-title&gt;&lt;/periodical&gt;&lt;pages&gt;241-248&lt;/pages&gt;&lt;volume&gt;59&lt;/volume&gt;&lt;dates&gt;&lt;year&gt;2024&lt;/year&gt;&lt;/dates&gt;&lt;isbn&gt;2405-4577&lt;/isbn&gt;&lt;urls&gt;&lt;/urls&gt;&lt;/record&gt;&lt;/Cite&gt;&lt;/EndNote&gt;</w:instrText>
      </w:r>
      <w:r w:rsidRPr="00154C9E">
        <w:rPr>
          <w:rStyle w:val="title-text"/>
          <w:rFonts w:asciiTheme="majorBidi" w:eastAsiaTheme="minorHAnsi" w:hAnsiTheme="majorBidi"/>
          <w:b/>
          <w:bCs/>
          <w:color w:val="1F1F1F"/>
          <w:sz w:val="24"/>
          <w:szCs w:val="24"/>
        </w:rPr>
        <w:fldChar w:fldCharType="separate"/>
      </w:r>
      <w:r w:rsidRPr="00154C9E">
        <w:rPr>
          <w:rStyle w:val="title-text"/>
          <w:rFonts w:asciiTheme="majorBidi" w:eastAsiaTheme="minorHAnsi" w:hAnsiTheme="majorBidi"/>
          <w:noProof/>
          <w:color w:val="1F1F1F"/>
          <w:sz w:val="24"/>
          <w:szCs w:val="24"/>
        </w:rPr>
        <w:t>(Heidari, Abbasi et al. 2024)</w:t>
      </w:r>
      <w:r w:rsidRPr="00154C9E">
        <w:rPr>
          <w:rStyle w:val="title-text"/>
          <w:rFonts w:asciiTheme="majorBidi" w:eastAsiaTheme="minorHAnsi" w:hAnsiTheme="majorBidi"/>
          <w:b/>
          <w:bCs/>
          <w:color w:val="1F1F1F"/>
          <w:sz w:val="24"/>
          <w:szCs w:val="24"/>
        </w:rPr>
        <w:fldChar w:fldCharType="end"/>
      </w:r>
    </w:p>
    <w:p w14:paraId="352FF698" w14:textId="77777777" w:rsidR="00205EAF" w:rsidRPr="00154C9E" w:rsidRDefault="00205EAF" w:rsidP="00154C9E">
      <w:pPr>
        <w:pStyle w:val="Heading1"/>
        <w:numPr>
          <w:ilvl w:val="0"/>
          <w:numId w:val="10"/>
        </w:numPr>
        <w:shd w:val="clear" w:color="auto" w:fill="FFFFFF"/>
        <w:spacing w:line="360" w:lineRule="auto"/>
        <w:ind w:left="720"/>
        <w:jc w:val="both"/>
        <w:rPr>
          <w:rStyle w:val="title-text"/>
          <w:rFonts w:asciiTheme="majorBidi" w:eastAsiaTheme="minorHAnsi" w:hAnsiTheme="majorBidi"/>
          <w:b/>
          <w:bCs/>
          <w:color w:val="1F1F1F"/>
          <w:sz w:val="24"/>
          <w:szCs w:val="24"/>
        </w:rPr>
      </w:pPr>
      <w:r w:rsidRPr="00154C9E">
        <w:rPr>
          <w:rStyle w:val="title-text"/>
          <w:rFonts w:asciiTheme="majorBidi" w:eastAsiaTheme="minorHAnsi" w:hAnsiTheme="majorBidi"/>
          <w:color w:val="1F1F1F"/>
          <w:sz w:val="24"/>
          <w:szCs w:val="24"/>
        </w:rPr>
        <w:t>The effects of ginger supplementation on common gastrointestinal symptoms in patients with relapsing-remitting multiple sclerosis: a double-blind randomized placebo-controlled trial</w:t>
      </w:r>
      <w:r w:rsidRPr="00154C9E">
        <w:rPr>
          <w:rStyle w:val="title-text"/>
          <w:rFonts w:asciiTheme="majorBidi" w:eastAsiaTheme="minorHAnsi" w:hAnsiTheme="majorBidi"/>
          <w:b/>
          <w:bCs/>
          <w:color w:val="1F1F1F"/>
          <w:sz w:val="24"/>
          <w:szCs w:val="24"/>
        </w:rPr>
        <w:fldChar w:fldCharType="begin"/>
      </w:r>
      <w:r w:rsidRPr="00154C9E">
        <w:rPr>
          <w:rStyle w:val="title-text"/>
          <w:rFonts w:asciiTheme="majorBidi" w:eastAsiaTheme="minorHAnsi" w:hAnsiTheme="majorBidi"/>
          <w:color w:val="1F1F1F"/>
          <w:sz w:val="24"/>
          <w:szCs w:val="24"/>
        </w:rPr>
        <w:instrText xml:space="preserve"> ADDIN EN.CITE &lt;EndNote&gt;&lt;Cite&gt;&lt;Author&gt;Foshati&lt;/Author&gt;&lt;Year&gt;2023&lt;/Year&gt;&lt;RecNum&gt;494&lt;/RecNum&gt;&lt;DisplayText&gt;(Foshati, Poursadeghfard et al. 2023)&lt;/DisplayText&gt;&lt;record&gt;&lt;rec-number&gt;494&lt;/rec-number&gt;&lt;foreign-keys&gt;&lt;key app="EN" db-id="0fzd90ttjszadaeeftlv0ax30z52par95zp0" timestamp="1709391945"&gt;494&lt;/key&gt;&lt;/foreign-keys&gt;&lt;ref-type name="Journal Article"&gt;17&lt;/ref-type&gt;&lt;contributors&gt;&lt;authors&gt;&lt;author&gt;Foshati, Sahar&lt;/author&gt;&lt;author&gt;Poursadeghfard, Maryam&lt;/author&gt;&lt;author&gt;Heidari, Zahra&lt;/author&gt;&lt;author&gt;Amani, Reza&lt;/author&gt;&lt;/authors&gt;&lt;/contributors&gt;&lt;titles&gt;&lt;title&gt;The effects of ginger supplementation on common gastrointestinal symptoms in patients with relapsing-remitting multiple sclerosis: a double-blind randomized placebo-controlled trial&lt;/title&gt;&lt;secondary-title&gt;BMC Complementary Medicine and Therapies&lt;/secondary-title&gt;&lt;/titles&gt;&lt;periodical&gt;&lt;full-title&gt;BMC Complementary Medicine and Therapies&lt;/full-title&gt;&lt;/periodical&gt;&lt;pages&gt;383&lt;/pages&gt;&lt;volume&gt;23&lt;/volume&gt;&lt;number&gt;1&lt;/number&gt;&lt;dates&gt;&lt;year&gt;2023&lt;/year&gt;&lt;/dates&gt;&lt;isbn&gt;2662-7671&lt;/isbn&gt;&lt;urls&gt;&lt;/urls&gt;&lt;/record&gt;&lt;/Cite&gt;&lt;/EndNote&gt;</w:instrText>
      </w:r>
      <w:r w:rsidRPr="00154C9E">
        <w:rPr>
          <w:rStyle w:val="title-text"/>
          <w:rFonts w:asciiTheme="majorBidi" w:eastAsiaTheme="minorHAnsi" w:hAnsiTheme="majorBidi"/>
          <w:b/>
          <w:bCs/>
          <w:color w:val="1F1F1F"/>
          <w:sz w:val="24"/>
          <w:szCs w:val="24"/>
        </w:rPr>
        <w:fldChar w:fldCharType="separate"/>
      </w:r>
      <w:r w:rsidRPr="00154C9E">
        <w:rPr>
          <w:rStyle w:val="title-text"/>
          <w:rFonts w:asciiTheme="majorBidi" w:eastAsiaTheme="minorHAnsi" w:hAnsiTheme="majorBidi"/>
          <w:noProof/>
          <w:color w:val="1F1F1F"/>
          <w:sz w:val="24"/>
          <w:szCs w:val="24"/>
        </w:rPr>
        <w:t>(</w:t>
      </w:r>
      <w:proofErr w:type="spellStart"/>
      <w:r w:rsidRPr="00154C9E">
        <w:rPr>
          <w:rStyle w:val="title-text"/>
          <w:rFonts w:asciiTheme="majorBidi" w:eastAsiaTheme="minorHAnsi" w:hAnsiTheme="majorBidi"/>
          <w:noProof/>
          <w:color w:val="1F1F1F"/>
          <w:sz w:val="24"/>
          <w:szCs w:val="24"/>
        </w:rPr>
        <w:t>Foshati</w:t>
      </w:r>
      <w:proofErr w:type="spellEnd"/>
      <w:r w:rsidRPr="00154C9E">
        <w:rPr>
          <w:rStyle w:val="title-text"/>
          <w:rFonts w:asciiTheme="majorBidi" w:eastAsiaTheme="minorHAnsi" w:hAnsiTheme="majorBidi"/>
          <w:noProof/>
          <w:color w:val="1F1F1F"/>
          <w:sz w:val="24"/>
          <w:szCs w:val="24"/>
        </w:rPr>
        <w:t>, Poursadeghfard et al. 2023)</w:t>
      </w:r>
      <w:r w:rsidRPr="00154C9E">
        <w:rPr>
          <w:rStyle w:val="title-text"/>
          <w:rFonts w:asciiTheme="majorBidi" w:eastAsiaTheme="minorHAnsi" w:hAnsiTheme="majorBidi"/>
          <w:b/>
          <w:bCs/>
          <w:color w:val="1F1F1F"/>
          <w:sz w:val="24"/>
          <w:szCs w:val="24"/>
        </w:rPr>
        <w:fldChar w:fldCharType="end"/>
      </w:r>
    </w:p>
    <w:p w14:paraId="0C14073A" w14:textId="77777777" w:rsidR="00205EAF" w:rsidRPr="00154C9E" w:rsidRDefault="00205EAF" w:rsidP="00154C9E">
      <w:pPr>
        <w:pStyle w:val="Heading1"/>
        <w:numPr>
          <w:ilvl w:val="0"/>
          <w:numId w:val="10"/>
        </w:numPr>
        <w:shd w:val="clear" w:color="auto" w:fill="FFFFFF"/>
        <w:spacing w:line="360" w:lineRule="auto"/>
        <w:ind w:left="720"/>
        <w:jc w:val="both"/>
        <w:rPr>
          <w:rStyle w:val="title-text"/>
          <w:rFonts w:asciiTheme="majorBidi" w:eastAsiaTheme="minorHAnsi" w:hAnsiTheme="majorBidi"/>
          <w:b/>
          <w:bCs/>
          <w:color w:val="1F1F1F"/>
          <w:sz w:val="24"/>
          <w:szCs w:val="24"/>
        </w:rPr>
      </w:pPr>
      <w:r w:rsidRPr="00154C9E">
        <w:rPr>
          <w:rStyle w:val="title-text"/>
          <w:rFonts w:asciiTheme="majorBidi" w:eastAsiaTheme="minorHAnsi" w:hAnsiTheme="majorBidi"/>
          <w:color w:val="1F1F1F"/>
          <w:sz w:val="24"/>
          <w:szCs w:val="24"/>
        </w:rPr>
        <w:t>Vitamin D and biomarkers of inflammation and oxidative stress among pregnant women: a systematic review of observational studies</w:t>
      </w:r>
      <w:r w:rsidRPr="00154C9E">
        <w:rPr>
          <w:rStyle w:val="title-text"/>
          <w:rFonts w:asciiTheme="majorBidi" w:eastAsiaTheme="minorHAnsi" w:hAnsiTheme="majorBidi"/>
          <w:b/>
          <w:bCs/>
          <w:color w:val="1F1F1F"/>
          <w:sz w:val="24"/>
          <w:szCs w:val="24"/>
        </w:rPr>
        <w:fldChar w:fldCharType="begin"/>
      </w:r>
      <w:r w:rsidRPr="00154C9E">
        <w:rPr>
          <w:rStyle w:val="title-text"/>
          <w:rFonts w:asciiTheme="majorBidi" w:eastAsiaTheme="minorHAnsi" w:hAnsiTheme="majorBidi"/>
          <w:color w:val="1F1F1F"/>
          <w:sz w:val="24"/>
          <w:szCs w:val="24"/>
        </w:rPr>
        <w:instrText xml:space="preserve"> ADDIN EN.CITE &lt;EndNote&gt;&lt;Cite&gt;&lt;Author&gt;Motamed&lt;/Author&gt;&lt;Year&gt;2023&lt;/Year&gt;&lt;RecNum&gt;495&lt;/RecNum&gt;&lt;DisplayText&gt;(Motamed, Anari et al. 2023)&lt;/DisplayText&gt;&lt;record&gt;&lt;rec-number&gt;495&lt;/rec-number&gt;&lt;foreign-keys&gt;&lt;key app="EN" db-id="0fzd90ttjszadaeeftlv0ax30z52par95zp0" timestamp="1709392081"&gt;495&lt;/key&gt;&lt;/foreign-keys&gt;&lt;ref-type name="Journal Article"&gt;17&lt;/ref-type&gt;&lt;contributors&gt;&lt;authors&gt;&lt;author&gt;Motamed, Soudabe&lt;/author&gt;&lt;author&gt;Anari, Razieh&lt;/author&gt;&lt;author&gt;Motamed, Somayeh&lt;/author&gt;&lt;author&gt;Amani, Reza&lt;/author&gt;&lt;/authors&gt;&lt;/contributors&gt;&lt;titles&gt;&lt;title&gt;Vitamin D and biomarkers of inflammation and oxidative stress among pregnant women: a systematic review of observational studies&lt;/title&gt;&lt;secondary-title&gt;BMC immunology&lt;/secondary-title&gt;&lt;/titles&gt;&lt;periodical&gt;&lt;full-title&gt;BMC immunology&lt;/full-title&gt;&lt;/periodical&gt;&lt;pages&gt;41&lt;/pages&gt;&lt;volume&gt;24&lt;/volume&gt;&lt;number&gt;1&lt;/number&gt;&lt;dates&gt;&lt;year&gt;2023&lt;/year&gt;&lt;/dates&gt;&lt;isbn&gt;1471-2172&lt;/isbn&gt;&lt;urls&gt;&lt;/urls&gt;&lt;/record&gt;&lt;/Cite&gt;&lt;/EndNote&gt;</w:instrText>
      </w:r>
      <w:r w:rsidRPr="00154C9E">
        <w:rPr>
          <w:rStyle w:val="title-text"/>
          <w:rFonts w:asciiTheme="majorBidi" w:eastAsiaTheme="minorHAnsi" w:hAnsiTheme="majorBidi"/>
          <w:b/>
          <w:bCs/>
          <w:color w:val="1F1F1F"/>
          <w:sz w:val="24"/>
          <w:szCs w:val="24"/>
        </w:rPr>
        <w:fldChar w:fldCharType="separate"/>
      </w:r>
      <w:r w:rsidRPr="00154C9E">
        <w:rPr>
          <w:rStyle w:val="title-text"/>
          <w:rFonts w:asciiTheme="majorBidi" w:eastAsiaTheme="minorHAnsi" w:hAnsiTheme="majorBidi"/>
          <w:noProof/>
          <w:color w:val="1F1F1F"/>
          <w:sz w:val="24"/>
          <w:szCs w:val="24"/>
        </w:rPr>
        <w:t>(Motamed, Anari et al. 2023)</w:t>
      </w:r>
      <w:r w:rsidRPr="00154C9E">
        <w:rPr>
          <w:rStyle w:val="title-text"/>
          <w:rFonts w:asciiTheme="majorBidi" w:eastAsiaTheme="minorHAnsi" w:hAnsiTheme="majorBidi"/>
          <w:b/>
          <w:bCs/>
          <w:color w:val="1F1F1F"/>
          <w:sz w:val="24"/>
          <w:szCs w:val="24"/>
        </w:rPr>
        <w:fldChar w:fldCharType="end"/>
      </w:r>
    </w:p>
    <w:p w14:paraId="77660605" w14:textId="77777777" w:rsidR="00205EAF" w:rsidRPr="00154C9E" w:rsidRDefault="00205EAF" w:rsidP="00154C9E">
      <w:pPr>
        <w:pStyle w:val="Heading1"/>
        <w:numPr>
          <w:ilvl w:val="0"/>
          <w:numId w:val="10"/>
        </w:numPr>
        <w:shd w:val="clear" w:color="auto" w:fill="FFFFFF"/>
        <w:spacing w:line="360" w:lineRule="auto"/>
        <w:ind w:left="720"/>
        <w:jc w:val="both"/>
        <w:rPr>
          <w:rStyle w:val="title-text"/>
          <w:rFonts w:asciiTheme="majorBidi" w:eastAsiaTheme="minorHAnsi" w:hAnsiTheme="majorBidi"/>
          <w:b/>
          <w:bCs/>
          <w:color w:val="1F1F1F"/>
          <w:sz w:val="24"/>
          <w:szCs w:val="24"/>
        </w:rPr>
      </w:pPr>
      <w:r w:rsidRPr="00154C9E">
        <w:rPr>
          <w:rStyle w:val="title-text"/>
          <w:rFonts w:asciiTheme="majorBidi" w:eastAsiaTheme="minorHAnsi" w:hAnsiTheme="majorBidi"/>
          <w:color w:val="1F1F1F"/>
          <w:sz w:val="24"/>
          <w:szCs w:val="24"/>
        </w:rPr>
        <w:t>Global, regional, and national incidence of six major immune-mediated inflammatory diseases: findings from the global burden of disease study 2019</w:t>
      </w:r>
      <w:r w:rsidRPr="00154C9E">
        <w:rPr>
          <w:rStyle w:val="title-text"/>
          <w:rFonts w:asciiTheme="majorBidi" w:eastAsiaTheme="minorHAnsi" w:hAnsiTheme="majorBidi"/>
          <w:b/>
          <w:bCs/>
          <w:color w:val="1F1F1F"/>
          <w:sz w:val="24"/>
          <w:szCs w:val="24"/>
        </w:rPr>
        <w:fldChar w:fldCharType="begin"/>
      </w:r>
      <w:r w:rsidRPr="00154C9E">
        <w:rPr>
          <w:rStyle w:val="title-text"/>
          <w:rFonts w:asciiTheme="majorBidi" w:eastAsiaTheme="minorHAnsi" w:hAnsiTheme="majorBidi"/>
          <w:color w:val="1F1F1F"/>
          <w:sz w:val="24"/>
          <w:szCs w:val="24"/>
        </w:rPr>
        <w:instrText xml:space="preserve"> ADDIN EN.CITE &lt;EndNote&gt;&lt;Cite&gt;&lt;Author&gt;Wu&lt;/Author&gt;&lt;Year&gt;2023&lt;/Year&gt;&lt;RecNum&gt;496&lt;/RecNum&gt;&lt;DisplayText&gt;(Wu, Jin et al. 2023)&lt;/DisplayText&gt;&lt;record&gt;&lt;rec-number&gt;496&lt;/rec-number&gt;&lt;foreign-keys&gt;&lt;key app="EN" db-id="0fzd90ttjszadaeeftlv0ax30z52par95zp0" timestamp="1709392217"&gt;496&lt;/key&gt;&lt;/foreign-keys&gt;&lt;ref-type name="Journal Article"&gt;17&lt;/ref-type&gt;&lt;contributors&gt;&lt;authors&gt;&lt;author&gt;Wu, Dongze&lt;/author&gt;&lt;author&gt;Jin, Yingzhao&lt;/author&gt;&lt;author&gt;Xing, Yuhan&lt;/author&gt;&lt;author&gt;Abate, Melsew Dagne&lt;/author&gt;&lt;author&gt;Abbasian, Mohammadreza&lt;/author&gt;&lt;author&gt;Abbasi-Kangevari, Mohsen&lt;/author&gt;&lt;author&gt;Abbasi-Kangevari, Zeinab&lt;/author&gt;&lt;author&gt;Abd-Allah, Foad&lt;/author&gt;&lt;author&gt;Abdelmasseh, Michael&lt;/author&gt;&lt;author&gt;Abdollahifar, Mohammad-Amin&lt;/author&gt;&lt;/authors&gt;&lt;/contributors&gt;&lt;titles&gt;&lt;title&gt;Global, regional, and national incidence of six major immune-mediated inflammatory diseases: findings from the global burden of disease study 2019&lt;/title&gt;&lt;secondary-title&gt;EClinicalMedicine&lt;/secondary-title&gt;&lt;/titles&gt;&lt;periodical&gt;&lt;full-title&gt;EClinicalMedicine&lt;/full-title&gt;&lt;/periodical&gt;&lt;volume&gt;64&lt;/volume&gt;&lt;dates&gt;&lt;year&gt;2023&lt;/year&gt;&lt;/dates&gt;&lt;isbn&gt;2589-5370&lt;/isbn&gt;&lt;urls&gt;&lt;/urls&gt;&lt;/record&gt;&lt;/Cite&gt;&lt;/EndNote&gt;</w:instrText>
      </w:r>
      <w:r w:rsidRPr="00154C9E">
        <w:rPr>
          <w:rStyle w:val="title-text"/>
          <w:rFonts w:asciiTheme="majorBidi" w:eastAsiaTheme="minorHAnsi" w:hAnsiTheme="majorBidi"/>
          <w:b/>
          <w:bCs/>
          <w:color w:val="1F1F1F"/>
          <w:sz w:val="24"/>
          <w:szCs w:val="24"/>
        </w:rPr>
        <w:fldChar w:fldCharType="separate"/>
      </w:r>
      <w:r w:rsidRPr="00154C9E">
        <w:rPr>
          <w:rStyle w:val="title-text"/>
          <w:rFonts w:asciiTheme="majorBidi" w:eastAsiaTheme="minorHAnsi" w:hAnsiTheme="majorBidi"/>
          <w:noProof/>
          <w:color w:val="1F1F1F"/>
          <w:sz w:val="24"/>
          <w:szCs w:val="24"/>
        </w:rPr>
        <w:t>(Wu, Jin et al. 2023)</w:t>
      </w:r>
      <w:r w:rsidRPr="00154C9E">
        <w:rPr>
          <w:rStyle w:val="title-text"/>
          <w:rFonts w:asciiTheme="majorBidi" w:eastAsiaTheme="minorHAnsi" w:hAnsiTheme="majorBidi"/>
          <w:b/>
          <w:bCs/>
          <w:color w:val="1F1F1F"/>
          <w:sz w:val="24"/>
          <w:szCs w:val="24"/>
        </w:rPr>
        <w:fldChar w:fldCharType="end"/>
      </w:r>
    </w:p>
    <w:p w14:paraId="6FA82249" w14:textId="77777777" w:rsidR="00205EAF" w:rsidRPr="00154C9E" w:rsidRDefault="00205EAF" w:rsidP="00154C9E">
      <w:pPr>
        <w:pStyle w:val="EndNoteBibliography"/>
        <w:spacing w:line="360" w:lineRule="auto"/>
        <w:rPr>
          <w:rFonts w:asciiTheme="majorBidi" w:hAnsiTheme="majorBidi" w:cstheme="majorBidi"/>
          <w:sz w:val="24"/>
          <w:szCs w:val="24"/>
        </w:rPr>
      </w:pPr>
      <w:r w:rsidRPr="00154C9E">
        <w:rPr>
          <w:rFonts w:asciiTheme="majorBidi" w:eastAsia="Times New Roman" w:hAnsiTheme="majorBidi" w:cstheme="majorBidi"/>
          <w:color w:val="000000"/>
          <w:spacing w:val="-2"/>
          <w:kern w:val="36"/>
          <w:sz w:val="24"/>
          <w:szCs w:val="24"/>
          <w14:ligatures w14:val="none"/>
        </w:rPr>
        <w:fldChar w:fldCharType="begin"/>
      </w:r>
      <w:r w:rsidRPr="00154C9E">
        <w:rPr>
          <w:rFonts w:asciiTheme="majorBidi" w:eastAsia="Times New Roman" w:hAnsiTheme="majorBidi" w:cstheme="majorBidi"/>
          <w:color w:val="000000"/>
          <w:spacing w:val="-2"/>
          <w:kern w:val="36"/>
          <w:sz w:val="24"/>
          <w:szCs w:val="24"/>
          <w14:ligatures w14:val="none"/>
        </w:rPr>
        <w:instrText xml:space="preserve"> ADDIN EN.REFLIST </w:instrText>
      </w:r>
      <w:r w:rsidRPr="00154C9E">
        <w:rPr>
          <w:rFonts w:asciiTheme="majorBidi" w:eastAsia="Times New Roman" w:hAnsiTheme="majorBidi" w:cstheme="majorBidi"/>
          <w:color w:val="000000"/>
          <w:spacing w:val="-2"/>
          <w:kern w:val="36"/>
          <w:sz w:val="24"/>
          <w:szCs w:val="24"/>
          <w14:ligatures w14:val="none"/>
        </w:rPr>
        <w:fldChar w:fldCharType="separate"/>
      </w:r>
      <w:r w:rsidRPr="00154C9E">
        <w:rPr>
          <w:rFonts w:asciiTheme="majorBidi" w:hAnsiTheme="majorBidi" w:cstheme="majorBidi"/>
          <w:sz w:val="24"/>
          <w:szCs w:val="24"/>
        </w:rPr>
        <w:t xml:space="preserve">Foshati, S., et al. (2023). "The effects of ginger supplementation on common gastrointestinal symptoms in patients with relapsing-remitting multiple sclerosis: a double-blind randomized placebo-controlled trial." </w:t>
      </w:r>
      <w:r w:rsidRPr="00154C9E">
        <w:rPr>
          <w:rFonts w:asciiTheme="majorBidi" w:hAnsiTheme="majorBidi" w:cstheme="majorBidi"/>
          <w:sz w:val="24"/>
          <w:szCs w:val="24"/>
          <w:u w:val="single"/>
        </w:rPr>
        <w:t>BMC Complementary Medicine and Therapies</w:t>
      </w:r>
      <w:r w:rsidRPr="00154C9E">
        <w:rPr>
          <w:rFonts w:asciiTheme="majorBidi" w:hAnsiTheme="majorBidi" w:cstheme="majorBidi"/>
          <w:sz w:val="24"/>
          <w:szCs w:val="24"/>
        </w:rPr>
        <w:t xml:space="preserve"> </w:t>
      </w:r>
      <w:r w:rsidRPr="00154C9E">
        <w:rPr>
          <w:rFonts w:asciiTheme="majorBidi" w:hAnsiTheme="majorBidi" w:cstheme="majorBidi"/>
          <w:b/>
          <w:sz w:val="24"/>
          <w:szCs w:val="24"/>
        </w:rPr>
        <w:t>23</w:t>
      </w:r>
      <w:r w:rsidRPr="00154C9E">
        <w:rPr>
          <w:rFonts w:asciiTheme="majorBidi" w:hAnsiTheme="majorBidi" w:cstheme="majorBidi"/>
          <w:sz w:val="24"/>
          <w:szCs w:val="24"/>
        </w:rPr>
        <w:t>(1): 383.</w:t>
      </w:r>
    </w:p>
    <w:p w14:paraId="203841BC" w14:textId="77777777" w:rsidR="00205EAF" w:rsidRPr="00154C9E" w:rsidRDefault="00205EAF" w:rsidP="00154C9E">
      <w:pPr>
        <w:pStyle w:val="EndNoteBibliography"/>
        <w:spacing w:after="0" w:line="360" w:lineRule="auto"/>
        <w:ind w:left="720" w:hanging="720"/>
        <w:rPr>
          <w:rFonts w:asciiTheme="majorBidi" w:hAnsiTheme="majorBidi" w:cstheme="majorBidi"/>
          <w:sz w:val="24"/>
          <w:szCs w:val="24"/>
        </w:rPr>
      </w:pPr>
      <w:r w:rsidRPr="00154C9E">
        <w:rPr>
          <w:rFonts w:asciiTheme="majorBidi" w:hAnsiTheme="majorBidi" w:cstheme="majorBidi"/>
          <w:sz w:val="24"/>
          <w:szCs w:val="24"/>
        </w:rPr>
        <w:tab/>
      </w:r>
    </w:p>
    <w:p w14:paraId="293E7C7A" w14:textId="77777777" w:rsidR="00205EAF" w:rsidRPr="00154C9E" w:rsidRDefault="00205EAF" w:rsidP="00154C9E">
      <w:pPr>
        <w:pStyle w:val="EndNoteBibliography"/>
        <w:spacing w:line="360" w:lineRule="auto"/>
        <w:rPr>
          <w:rFonts w:asciiTheme="majorBidi" w:hAnsiTheme="majorBidi" w:cstheme="majorBidi"/>
          <w:sz w:val="24"/>
          <w:szCs w:val="24"/>
        </w:rPr>
      </w:pPr>
      <w:r w:rsidRPr="00154C9E">
        <w:rPr>
          <w:rFonts w:asciiTheme="majorBidi" w:hAnsiTheme="majorBidi" w:cstheme="majorBidi"/>
          <w:sz w:val="24"/>
          <w:szCs w:val="24"/>
        </w:rPr>
        <w:t xml:space="preserve">Heidari, H., et al. (2024). "Effect of vitamin D supplementation on symptoms severity in vitamin D insufficient women with premenstrual syndrome: A randomized controlled trial." </w:t>
      </w:r>
      <w:r w:rsidRPr="00154C9E">
        <w:rPr>
          <w:rFonts w:asciiTheme="majorBidi" w:hAnsiTheme="majorBidi" w:cstheme="majorBidi"/>
          <w:sz w:val="24"/>
          <w:szCs w:val="24"/>
          <w:u w:val="single"/>
        </w:rPr>
        <w:t>Clinical Nutrition ESPEN</w:t>
      </w:r>
      <w:r w:rsidRPr="00154C9E">
        <w:rPr>
          <w:rFonts w:asciiTheme="majorBidi" w:hAnsiTheme="majorBidi" w:cstheme="majorBidi"/>
          <w:sz w:val="24"/>
          <w:szCs w:val="24"/>
        </w:rPr>
        <w:t xml:space="preserve"> </w:t>
      </w:r>
      <w:r w:rsidRPr="00154C9E">
        <w:rPr>
          <w:rFonts w:asciiTheme="majorBidi" w:hAnsiTheme="majorBidi" w:cstheme="majorBidi"/>
          <w:b/>
          <w:sz w:val="24"/>
          <w:szCs w:val="24"/>
        </w:rPr>
        <w:t>59</w:t>
      </w:r>
      <w:r w:rsidRPr="00154C9E">
        <w:rPr>
          <w:rFonts w:asciiTheme="majorBidi" w:hAnsiTheme="majorBidi" w:cstheme="majorBidi"/>
          <w:sz w:val="24"/>
          <w:szCs w:val="24"/>
        </w:rPr>
        <w:t>: 241-248.</w:t>
      </w:r>
    </w:p>
    <w:p w14:paraId="5D3A0A1E" w14:textId="77777777" w:rsidR="00205EAF" w:rsidRPr="00154C9E" w:rsidRDefault="00205EAF" w:rsidP="00154C9E">
      <w:pPr>
        <w:pStyle w:val="EndNoteBibliography"/>
        <w:spacing w:after="0" w:line="360" w:lineRule="auto"/>
        <w:ind w:left="720" w:hanging="720"/>
        <w:rPr>
          <w:rFonts w:asciiTheme="majorBidi" w:hAnsiTheme="majorBidi" w:cstheme="majorBidi"/>
          <w:sz w:val="24"/>
          <w:szCs w:val="24"/>
        </w:rPr>
      </w:pPr>
      <w:r w:rsidRPr="00154C9E">
        <w:rPr>
          <w:rFonts w:asciiTheme="majorBidi" w:hAnsiTheme="majorBidi" w:cstheme="majorBidi"/>
          <w:sz w:val="24"/>
          <w:szCs w:val="24"/>
        </w:rPr>
        <w:tab/>
      </w:r>
    </w:p>
    <w:p w14:paraId="16A30AC6" w14:textId="77777777" w:rsidR="00205EAF" w:rsidRPr="00154C9E" w:rsidRDefault="00205EAF" w:rsidP="00154C9E">
      <w:pPr>
        <w:pStyle w:val="EndNoteBibliography"/>
        <w:spacing w:line="360" w:lineRule="auto"/>
        <w:rPr>
          <w:rFonts w:asciiTheme="majorBidi" w:hAnsiTheme="majorBidi" w:cstheme="majorBidi"/>
          <w:sz w:val="24"/>
          <w:szCs w:val="24"/>
        </w:rPr>
      </w:pPr>
      <w:r w:rsidRPr="00154C9E">
        <w:rPr>
          <w:rFonts w:asciiTheme="majorBidi" w:hAnsiTheme="majorBidi" w:cstheme="majorBidi"/>
          <w:sz w:val="24"/>
          <w:szCs w:val="24"/>
        </w:rPr>
        <w:t xml:space="preserve">Karimi, E., et al. (2023). "Effects of the royal jelly consumption on post-stroke complications in patients with ischemic stroke: results of a randomized controlled trial." </w:t>
      </w:r>
      <w:r w:rsidRPr="00154C9E">
        <w:rPr>
          <w:rFonts w:asciiTheme="majorBidi" w:hAnsiTheme="majorBidi" w:cstheme="majorBidi"/>
          <w:sz w:val="24"/>
          <w:szCs w:val="24"/>
          <w:u w:val="single"/>
        </w:rPr>
        <w:t>Frontiers in Nutrition</w:t>
      </w:r>
      <w:r w:rsidRPr="00154C9E">
        <w:rPr>
          <w:rFonts w:asciiTheme="majorBidi" w:hAnsiTheme="majorBidi" w:cstheme="majorBidi"/>
          <w:sz w:val="24"/>
          <w:szCs w:val="24"/>
        </w:rPr>
        <w:t xml:space="preserve"> </w:t>
      </w:r>
      <w:r w:rsidRPr="00154C9E">
        <w:rPr>
          <w:rFonts w:asciiTheme="majorBidi" w:hAnsiTheme="majorBidi" w:cstheme="majorBidi"/>
          <w:b/>
          <w:sz w:val="24"/>
          <w:szCs w:val="24"/>
        </w:rPr>
        <w:t>10</w:t>
      </w:r>
      <w:r w:rsidRPr="00154C9E">
        <w:rPr>
          <w:rFonts w:asciiTheme="majorBidi" w:hAnsiTheme="majorBidi" w:cstheme="majorBidi"/>
          <w:sz w:val="24"/>
          <w:szCs w:val="24"/>
        </w:rPr>
        <w:t>.</w:t>
      </w:r>
    </w:p>
    <w:p w14:paraId="07E11AA9" w14:textId="77777777" w:rsidR="00205EAF" w:rsidRPr="00154C9E" w:rsidRDefault="00205EAF" w:rsidP="00154C9E">
      <w:pPr>
        <w:pStyle w:val="EndNoteBibliography"/>
        <w:spacing w:after="0" w:line="360" w:lineRule="auto"/>
        <w:ind w:left="720" w:hanging="720"/>
        <w:rPr>
          <w:rFonts w:asciiTheme="majorBidi" w:hAnsiTheme="majorBidi" w:cstheme="majorBidi"/>
          <w:sz w:val="24"/>
          <w:szCs w:val="24"/>
        </w:rPr>
      </w:pPr>
      <w:r w:rsidRPr="00154C9E">
        <w:rPr>
          <w:rFonts w:asciiTheme="majorBidi" w:hAnsiTheme="majorBidi" w:cstheme="majorBidi"/>
          <w:sz w:val="24"/>
          <w:szCs w:val="24"/>
        </w:rPr>
        <w:tab/>
      </w:r>
    </w:p>
    <w:p w14:paraId="61C878DE" w14:textId="77777777" w:rsidR="00205EAF" w:rsidRPr="00154C9E" w:rsidRDefault="00205EAF" w:rsidP="00154C9E">
      <w:pPr>
        <w:pStyle w:val="EndNoteBibliography"/>
        <w:spacing w:line="360" w:lineRule="auto"/>
        <w:rPr>
          <w:rFonts w:asciiTheme="majorBidi" w:hAnsiTheme="majorBidi" w:cstheme="majorBidi"/>
          <w:sz w:val="24"/>
          <w:szCs w:val="24"/>
        </w:rPr>
      </w:pPr>
      <w:r w:rsidRPr="00154C9E">
        <w:rPr>
          <w:rFonts w:asciiTheme="majorBidi" w:hAnsiTheme="majorBidi" w:cstheme="majorBidi"/>
          <w:sz w:val="24"/>
          <w:szCs w:val="24"/>
        </w:rPr>
        <w:t xml:space="preserve">Motamed, S., et al. (2023). "Vitamin D and biomarkers of inflammation and oxidative stress among pregnant women: a systematic review of observational studies." </w:t>
      </w:r>
      <w:r w:rsidRPr="00154C9E">
        <w:rPr>
          <w:rFonts w:asciiTheme="majorBidi" w:hAnsiTheme="majorBidi" w:cstheme="majorBidi"/>
          <w:sz w:val="24"/>
          <w:szCs w:val="24"/>
          <w:u w:val="single"/>
        </w:rPr>
        <w:t>BMC immunology</w:t>
      </w:r>
      <w:r w:rsidRPr="00154C9E">
        <w:rPr>
          <w:rFonts w:asciiTheme="majorBidi" w:hAnsiTheme="majorBidi" w:cstheme="majorBidi"/>
          <w:sz w:val="24"/>
          <w:szCs w:val="24"/>
        </w:rPr>
        <w:t xml:space="preserve"> </w:t>
      </w:r>
      <w:r w:rsidRPr="00154C9E">
        <w:rPr>
          <w:rFonts w:asciiTheme="majorBidi" w:hAnsiTheme="majorBidi" w:cstheme="majorBidi"/>
          <w:b/>
          <w:sz w:val="24"/>
          <w:szCs w:val="24"/>
        </w:rPr>
        <w:t>24</w:t>
      </w:r>
      <w:r w:rsidRPr="00154C9E">
        <w:rPr>
          <w:rFonts w:asciiTheme="majorBidi" w:hAnsiTheme="majorBidi" w:cstheme="majorBidi"/>
          <w:sz w:val="24"/>
          <w:szCs w:val="24"/>
        </w:rPr>
        <w:t>(1): 41.</w:t>
      </w:r>
    </w:p>
    <w:p w14:paraId="62D1D4AF" w14:textId="77777777" w:rsidR="00205EAF" w:rsidRPr="00154C9E" w:rsidRDefault="00205EAF" w:rsidP="00154C9E">
      <w:pPr>
        <w:pStyle w:val="EndNoteBibliography"/>
        <w:spacing w:after="0" w:line="360" w:lineRule="auto"/>
        <w:ind w:left="720" w:hanging="720"/>
        <w:rPr>
          <w:rFonts w:asciiTheme="majorBidi" w:hAnsiTheme="majorBidi" w:cstheme="majorBidi"/>
          <w:sz w:val="24"/>
          <w:szCs w:val="24"/>
        </w:rPr>
      </w:pPr>
      <w:r w:rsidRPr="00154C9E">
        <w:rPr>
          <w:rFonts w:asciiTheme="majorBidi" w:hAnsiTheme="majorBidi" w:cstheme="majorBidi"/>
          <w:sz w:val="24"/>
          <w:szCs w:val="24"/>
        </w:rPr>
        <w:tab/>
      </w:r>
    </w:p>
    <w:p w14:paraId="26D916F7" w14:textId="77777777" w:rsidR="00205EAF" w:rsidRPr="00154C9E" w:rsidRDefault="00205EAF" w:rsidP="00154C9E">
      <w:pPr>
        <w:pStyle w:val="EndNoteBibliography"/>
        <w:spacing w:line="360" w:lineRule="auto"/>
        <w:rPr>
          <w:rFonts w:asciiTheme="majorBidi" w:hAnsiTheme="majorBidi" w:cstheme="majorBidi"/>
          <w:sz w:val="24"/>
          <w:szCs w:val="24"/>
        </w:rPr>
      </w:pPr>
      <w:r w:rsidRPr="00154C9E">
        <w:rPr>
          <w:rFonts w:asciiTheme="majorBidi" w:hAnsiTheme="majorBidi" w:cstheme="majorBidi"/>
          <w:sz w:val="24"/>
          <w:szCs w:val="24"/>
        </w:rPr>
        <w:lastRenderedPageBreak/>
        <w:t xml:space="preserve">Wu, D., et al. (2023). "Global, regional, and national incidence of six major immune-mediated inflammatory diseases: findings from the global burden of disease study 2019." </w:t>
      </w:r>
      <w:r w:rsidRPr="00154C9E">
        <w:rPr>
          <w:rFonts w:asciiTheme="majorBidi" w:hAnsiTheme="majorBidi" w:cstheme="majorBidi"/>
          <w:sz w:val="24"/>
          <w:szCs w:val="24"/>
          <w:u w:val="single"/>
        </w:rPr>
        <w:t>EClinicalMedicine</w:t>
      </w:r>
      <w:r w:rsidRPr="00154C9E">
        <w:rPr>
          <w:rFonts w:asciiTheme="majorBidi" w:hAnsiTheme="majorBidi" w:cstheme="majorBidi"/>
          <w:sz w:val="24"/>
          <w:szCs w:val="24"/>
        </w:rPr>
        <w:t xml:space="preserve"> </w:t>
      </w:r>
      <w:r w:rsidRPr="00154C9E">
        <w:rPr>
          <w:rFonts w:asciiTheme="majorBidi" w:hAnsiTheme="majorBidi" w:cstheme="majorBidi"/>
          <w:b/>
          <w:sz w:val="24"/>
          <w:szCs w:val="24"/>
        </w:rPr>
        <w:t>64</w:t>
      </w:r>
      <w:r w:rsidRPr="00154C9E">
        <w:rPr>
          <w:rFonts w:asciiTheme="majorBidi" w:hAnsiTheme="majorBidi" w:cstheme="majorBidi"/>
          <w:sz w:val="24"/>
          <w:szCs w:val="24"/>
        </w:rPr>
        <w:t>.</w:t>
      </w:r>
    </w:p>
    <w:p w14:paraId="7152CFF4" w14:textId="77777777" w:rsidR="00205EAF" w:rsidRPr="00154C9E" w:rsidRDefault="00205EAF" w:rsidP="00154C9E">
      <w:pPr>
        <w:pStyle w:val="EndNoteBibliography"/>
        <w:spacing w:line="360" w:lineRule="auto"/>
        <w:ind w:left="720" w:hanging="720"/>
        <w:rPr>
          <w:rFonts w:asciiTheme="majorBidi" w:hAnsiTheme="majorBidi" w:cstheme="majorBidi"/>
          <w:sz w:val="24"/>
          <w:szCs w:val="24"/>
        </w:rPr>
      </w:pPr>
      <w:r w:rsidRPr="00154C9E">
        <w:rPr>
          <w:rFonts w:asciiTheme="majorBidi" w:hAnsiTheme="majorBidi" w:cstheme="majorBidi"/>
          <w:sz w:val="24"/>
          <w:szCs w:val="24"/>
        </w:rPr>
        <w:tab/>
      </w:r>
    </w:p>
    <w:p w14:paraId="1100B5C2" w14:textId="77777777" w:rsidR="00205EAF" w:rsidRPr="00154C9E" w:rsidRDefault="00205EAF" w:rsidP="00154C9E">
      <w:pPr>
        <w:pStyle w:val="ListParagraph"/>
        <w:spacing w:line="360" w:lineRule="auto"/>
        <w:jc w:val="both"/>
        <w:rPr>
          <w:rFonts w:asciiTheme="majorBidi" w:eastAsia="Times New Roman" w:hAnsiTheme="majorBidi" w:cstheme="majorBidi"/>
          <w:color w:val="000000"/>
          <w:spacing w:val="-2"/>
          <w:kern w:val="36"/>
          <w:sz w:val="24"/>
          <w:szCs w:val="24"/>
          <w14:ligatures w14:val="none"/>
        </w:rPr>
      </w:pPr>
      <w:r w:rsidRPr="00154C9E">
        <w:rPr>
          <w:rFonts w:asciiTheme="majorBidi" w:eastAsia="Times New Roman" w:hAnsiTheme="majorBidi" w:cstheme="majorBidi"/>
          <w:color w:val="000000"/>
          <w:spacing w:val="-2"/>
          <w:kern w:val="36"/>
          <w:sz w:val="24"/>
          <w:szCs w:val="24"/>
          <w14:ligatures w14:val="none"/>
        </w:rPr>
        <w:fldChar w:fldCharType="end"/>
      </w:r>
    </w:p>
    <w:p w14:paraId="73B5C319" w14:textId="77777777" w:rsidR="00205EAF" w:rsidRPr="00154C9E" w:rsidRDefault="00205EAF" w:rsidP="00154C9E">
      <w:pPr>
        <w:pStyle w:val="Heading3"/>
        <w:shd w:val="clear" w:color="auto" w:fill="FFFFFF"/>
        <w:spacing w:line="360" w:lineRule="auto"/>
        <w:jc w:val="both"/>
        <w:rPr>
          <w:rFonts w:asciiTheme="majorBidi" w:hAnsiTheme="majorBidi" w:cstheme="majorBidi"/>
          <w:color w:val="3C4245"/>
          <w:sz w:val="24"/>
          <w:szCs w:val="24"/>
        </w:rPr>
      </w:pPr>
    </w:p>
    <w:bookmarkEnd w:id="0"/>
    <w:p w14:paraId="375CBC48" w14:textId="77777777" w:rsidR="00CF463E" w:rsidRPr="00154C9E" w:rsidRDefault="00CF463E" w:rsidP="00154C9E">
      <w:pPr>
        <w:pStyle w:val="Heading3"/>
        <w:shd w:val="clear" w:color="auto" w:fill="FFFFFF"/>
        <w:spacing w:line="360" w:lineRule="auto"/>
        <w:jc w:val="both"/>
        <w:rPr>
          <w:rFonts w:asciiTheme="majorBidi" w:hAnsiTheme="majorBidi" w:cstheme="majorBidi"/>
          <w:color w:val="3C4245"/>
          <w:sz w:val="24"/>
          <w:szCs w:val="24"/>
          <w:rtl/>
          <w:lang w:bidi="fa-IR"/>
        </w:rPr>
      </w:pPr>
    </w:p>
    <w:p w14:paraId="624D2E1F" w14:textId="77777777" w:rsidR="00B8229C" w:rsidRPr="00154C9E" w:rsidRDefault="00B8229C" w:rsidP="00154C9E">
      <w:pPr>
        <w:pStyle w:val="ListParagraph"/>
        <w:spacing w:line="360" w:lineRule="auto"/>
        <w:ind w:left="1440"/>
        <w:jc w:val="both"/>
        <w:rPr>
          <w:rFonts w:asciiTheme="majorBidi" w:hAnsiTheme="majorBidi" w:cstheme="majorBidi"/>
          <w:sz w:val="24"/>
          <w:szCs w:val="24"/>
        </w:rPr>
      </w:pPr>
    </w:p>
    <w:sectPr w:rsidR="00B8229C" w:rsidRPr="00154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79A0"/>
    <w:multiLevelType w:val="multilevel"/>
    <w:tmpl w:val="64FC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20A54"/>
    <w:multiLevelType w:val="hybridMultilevel"/>
    <w:tmpl w:val="0AFA8776"/>
    <w:lvl w:ilvl="0" w:tplc="977CDB34">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B4F6E"/>
    <w:multiLevelType w:val="hybridMultilevel"/>
    <w:tmpl w:val="1AF80748"/>
    <w:lvl w:ilvl="0" w:tplc="ADBA4AAC">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3004E"/>
    <w:multiLevelType w:val="hybridMultilevel"/>
    <w:tmpl w:val="A426F522"/>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34CC9"/>
    <w:multiLevelType w:val="hybridMultilevel"/>
    <w:tmpl w:val="90D49C90"/>
    <w:lvl w:ilvl="0" w:tplc="B132775A">
      <w:start w:val="1"/>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42198"/>
    <w:multiLevelType w:val="multilevel"/>
    <w:tmpl w:val="E1AC49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F259C"/>
    <w:multiLevelType w:val="multilevel"/>
    <w:tmpl w:val="335C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F3599"/>
    <w:multiLevelType w:val="multilevel"/>
    <w:tmpl w:val="ECDE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9B4EBB"/>
    <w:multiLevelType w:val="multilevel"/>
    <w:tmpl w:val="1D92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37E8E"/>
    <w:multiLevelType w:val="hybridMultilevel"/>
    <w:tmpl w:val="CF8CC7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090066"/>
    <w:multiLevelType w:val="hybridMultilevel"/>
    <w:tmpl w:val="DB3E66CA"/>
    <w:lvl w:ilvl="0" w:tplc="B324EA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4154426">
    <w:abstractNumId w:val="5"/>
  </w:num>
  <w:num w:numId="2" w16cid:durableId="885335686">
    <w:abstractNumId w:val="6"/>
  </w:num>
  <w:num w:numId="3" w16cid:durableId="178660411">
    <w:abstractNumId w:val="7"/>
  </w:num>
  <w:num w:numId="4" w16cid:durableId="2052806221">
    <w:abstractNumId w:val="8"/>
  </w:num>
  <w:num w:numId="5" w16cid:durableId="1245262336">
    <w:abstractNumId w:val="0"/>
  </w:num>
  <w:num w:numId="6" w16cid:durableId="1889027878">
    <w:abstractNumId w:val="1"/>
  </w:num>
  <w:num w:numId="7" w16cid:durableId="955135759">
    <w:abstractNumId w:val="10"/>
  </w:num>
  <w:num w:numId="8" w16cid:durableId="2052916704">
    <w:abstractNumId w:val="2"/>
  </w:num>
  <w:num w:numId="9" w16cid:durableId="470754635">
    <w:abstractNumId w:val="4"/>
  </w:num>
  <w:num w:numId="10" w16cid:durableId="1855266872">
    <w:abstractNumId w:val="3"/>
  </w:num>
  <w:num w:numId="11" w16cid:durableId="1363437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64"/>
    <w:rsid w:val="00025F82"/>
    <w:rsid w:val="00047A5B"/>
    <w:rsid w:val="0005492C"/>
    <w:rsid w:val="00082B08"/>
    <w:rsid w:val="000C4B68"/>
    <w:rsid w:val="000F05B6"/>
    <w:rsid w:val="00142F25"/>
    <w:rsid w:val="00154C9E"/>
    <w:rsid w:val="00160592"/>
    <w:rsid w:val="00162F8A"/>
    <w:rsid w:val="001E04C7"/>
    <w:rsid w:val="00205EAF"/>
    <w:rsid w:val="00207A4A"/>
    <w:rsid w:val="00231271"/>
    <w:rsid w:val="002500E7"/>
    <w:rsid w:val="00260A70"/>
    <w:rsid w:val="002C04CC"/>
    <w:rsid w:val="002C3EA1"/>
    <w:rsid w:val="003D1E59"/>
    <w:rsid w:val="003E49F7"/>
    <w:rsid w:val="00445EDC"/>
    <w:rsid w:val="00472F4C"/>
    <w:rsid w:val="005454C0"/>
    <w:rsid w:val="0055105A"/>
    <w:rsid w:val="00590F98"/>
    <w:rsid w:val="005D7283"/>
    <w:rsid w:val="00652A79"/>
    <w:rsid w:val="00693D59"/>
    <w:rsid w:val="006B3C5C"/>
    <w:rsid w:val="00712097"/>
    <w:rsid w:val="00726FFD"/>
    <w:rsid w:val="00755764"/>
    <w:rsid w:val="00857857"/>
    <w:rsid w:val="008D5E84"/>
    <w:rsid w:val="00902A8E"/>
    <w:rsid w:val="009311E4"/>
    <w:rsid w:val="009C71C9"/>
    <w:rsid w:val="009E0D92"/>
    <w:rsid w:val="00A26658"/>
    <w:rsid w:val="00A2678E"/>
    <w:rsid w:val="00A70238"/>
    <w:rsid w:val="00AB0AE2"/>
    <w:rsid w:val="00AB336E"/>
    <w:rsid w:val="00AC332B"/>
    <w:rsid w:val="00AD184C"/>
    <w:rsid w:val="00B53296"/>
    <w:rsid w:val="00B8229C"/>
    <w:rsid w:val="00B902B2"/>
    <w:rsid w:val="00B97DAC"/>
    <w:rsid w:val="00BC741A"/>
    <w:rsid w:val="00CA687C"/>
    <w:rsid w:val="00CB512B"/>
    <w:rsid w:val="00CC0DB9"/>
    <w:rsid w:val="00CF463E"/>
    <w:rsid w:val="00D73C7C"/>
    <w:rsid w:val="00D85C44"/>
    <w:rsid w:val="00DB3D84"/>
    <w:rsid w:val="00DC0DCC"/>
    <w:rsid w:val="00DC2132"/>
    <w:rsid w:val="00DC4015"/>
    <w:rsid w:val="00E02962"/>
    <w:rsid w:val="00E248D0"/>
    <w:rsid w:val="00E45BAC"/>
    <w:rsid w:val="00E51EE0"/>
    <w:rsid w:val="00E77E9B"/>
    <w:rsid w:val="00ED1803"/>
    <w:rsid w:val="00EE3DD3"/>
    <w:rsid w:val="00F71B94"/>
    <w:rsid w:val="00F83C8B"/>
    <w:rsid w:val="00FC6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D3BE"/>
  <w15:chartTrackingRefBased/>
  <w15:docId w15:val="{C6F0933D-FA1C-4C93-8FFF-0F13A319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E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55764"/>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5">
    <w:name w:val="heading 5"/>
    <w:basedOn w:val="Normal"/>
    <w:next w:val="Normal"/>
    <w:link w:val="Heading5Char"/>
    <w:uiPriority w:val="9"/>
    <w:semiHidden/>
    <w:unhideWhenUsed/>
    <w:qFormat/>
    <w:rsid w:val="00DC401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764"/>
    <w:rPr>
      <w:rFonts w:ascii="Times New Roman" w:eastAsia="Times New Roman" w:hAnsi="Times New Roman" w:cs="Times New Roman"/>
      <w:b/>
      <w:bCs/>
      <w:kern w:val="0"/>
      <w:sz w:val="27"/>
      <w:szCs w:val="27"/>
      <w14:ligatures w14:val="none"/>
    </w:rPr>
  </w:style>
  <w:style w:type="character" w:customStyle="1" w:styleId="identifier">
    <w:name w:val="identifier"/>
    <w:basedOn w:val="DefaultParagraphFont"/>
    <w:rsid w:val="005D7283"/>
  </w:style>
  <w:style w:type="character" w:customStyle="1" w:styleId="id-label">
    <w:name w:val="id-label"/>
    <w:basedOn w:val="DefaultParagraphFont"/>
    <w:rsid w:val="005D7283"/>
  </w:style>
  <w:style w:type="character" w:styleId="Hyperlink">
    <w:name w:val="Hyperlink"/>
    <w:basedOn w:val="DefaultParagraphFont"/>
    <w:uiPriority w:val="99"/>
    <w:semiHidden/>
    <w:unhideWhenUsed/>
    <w:rsid w:val="005D7283"/>
    <w:rPr>
      <w:color w:val="0000FF"/>
      <w:u w:val="single"/>
    </w:rPr>
  </w:style>
  <w:style w:type="paragraph" w:styleId="ListParagraph">
    <w:name w:val="List Paragraph"/>
    <w:basedOn w:val="Normal"/>
    <w:uiPriority w:val="34"/>
    <w:qFormat/>
    <w:rsid w:val="009C71C9"/>
    <w:pPr>
      <w:ind w:left="720"/>
      <w:contextualSpacing/>
    </w:pPr>
  </w:style>
  <w:style w:type="paragraph" w:customStyle="1" w:styleId="p">
    <w:name w:val="p"/>
    <w:basedOn w:val="Normal"/>
    <w:rsid w:val="00DC40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DC40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C4015"/>
    <w:rPr>
      <w:i/>
      <w:iCs/>
    </w:rPr>
  </w:style>
  <w:style w:type="character" w:customStyle="1" w:styleId="Heading5Char">
    <w:name w:val="Heading 5 Char"/>
    <w:basedOn w:val="DefaultParagraphFont"/>
    <w:link w:val="Heading5"/>
    <w:uiPriority w:val="9"/>
    <w:semiHidden/>
    <w:rsid w:val="00DC4015"/>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205EAF"/>
    <w:rPr>
      <w:rFonts w:asciiTheme="majorHAnsi" w:eastAsiaTheme="majorEastAsia" w:hAnsiTheme="majorHAnsi" w:cstheme="majorBidi"/>
      <w:color w:val="2F5496" w:themeColor="accent1" w:themeShade="BF"/>
      <w:sz w:val="32"/>
      <w:szCs w:val="32"/>
    </w:rPr>
  </w:style>
  <w:style w:type="character" w:customStyle="1" w:styleId="title-text">
    <w:name w:val="title-text"/>
    <w:basedOn w:val="DefaultParagraphFont"/>
    <w:rsid w:val="00205EAF"/>
  </w:style>
  <w:style w:type="paragraph" w:customStyle="1" w:styleId="EndNoteBibliography">
    <w:name w:val="EndNote Bibliography"/>
    <w:basedOn w:val="Normal"/>
    <w:link w:val="EndNoteBibliographyChar"/>
    <w:rsid w:val="00205EAF"/>
    <w:pPr>
      <w:spacing w:line="240" w:lineRule="auto"/>
      <w:jc w:val="both"/>
    </w:pPr>
    <w:rPr>
      <w:rFonts w:ascii="Calibri" w:eastAsiaTheme="majorEastAsia" w:hAnsi="Calibri" w:cs="Calibri"/>
      <w:noProof/>
      <w:color w:val="2F5496" w:themeColor="accent1" w:themeShade="BF"/>
      <w:sz w:val="32"/>
      <w:szCs w:val="32"/>
    </w:rPr>
  </w:style>
  <w:style w:type="character" w:customStyle="1" w:styleId="EndNoteBibliographyChar">
    <w:name w:val="EndNote Bibliography Char"/>
    <w:basedOn w:val="Heading1Char"/>
    <w:link w:val="EndNoteBibliography"/>
    <w:rsid w:val="00205EAF"/>
    <w:rPr>
      <w:rFonts w:ascii="Calibri" w:eastAsiaTheme="majorEastAsia" w:hAnsi="Calibri" w:cs="Calibri"/>
      <w:noProof/>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2943">
      <w:bodyDiv w:val="1"/>
      <w:marLeft w:val="0"/>
      <w:marRight w:val="0"/>
      <w:marTop w:val="0"/>
      <w:marBottom w:val="0"/>
      <w:divBdr>
        <w:top w:val="none" w:sz="0" w:space="0" w:color="auto"/>
        <w:left w:val="none" w:sz="0" w:space="0" w:color="auto"/>
        <w:bottom w:val="none" w:sz="0" w:space="0" w:color="auto"/>
        <w:right w:val="none" w:sz="0" w:space="0" w:color="auto"/>
      </w:divBdr>
    </w:div>
    <w:div w:id="307367525">
      <w:bodyDiv w:val="1"/>
      <w:marLeft w:val="0"/>
      <w:marRight w:val="0"/>
      <w:marTop w:val="0"/>
      <w:marBottom w:val="0"/>
      <w:divBdr>
        <w:top w:val="none" w:sz="0" w:space="0" w:color="auto"/>
        <w:left w:val="none" w:sz="0" w:space="0" w:color="auto"/>
        <w:bottom w:val="none" w:sz="0" w:space="0" w:color="auto"/>
        <w:right w:val="none" w:sz="0" w:space="0" w:color="auto"/>
      </w:divBdr>
    </w:div>
    <w:div w:id="351761192">
      <w:bodyDiv w:val="1"/>
      <w:marLeft w:val="0"/>
      <w:marRight w:val="0"/>
      <w:marTop w:val="0"/>
      <w:marBottom w:val="0"/>
      <w:divBdr>
        <w:top w:val="none" w:sz="0" w:space="0" w:color="auto"/>
        <w:left w:val="none" w:sz="0" w:space="0" w:color="auto"/>
        <w:bottom w:val="none" w:sz="0" w:space="0" w:color="auto"/>
        <w:right w:val="none" w:sz="0" w:space="0" w:color="auto"/>
      </w:divBdr>
    </w:div>
    <w:div w:id="361785777">
      <w:bodyDiv w:val="1"/>
      <w:marLeft w:val="0"/>
      <w:marRight w:val="0"/>
      <w:marTop w:val="0"/>
      <w:marBottom w:val="0"/>
      <w:divBdr>
        <w:top w:val="none" w:sz="0" w:space="0" w:color="auto"/>
        <w:left w:val="none" w:sz="0" w:space="0" w:color="auto"/>
        <w:bottom w:val="none" w:sz="0" w:space="0" w:color="auto"/>
        <w:right w:val="none" w:sz="0" w:space="0" w:color="auto"/>
      </w:divBdr>
    </w:div>
    <w:div w:id="395665462">
      <w:bodyDiv w:val="1"/>
      <w:marLeft w:val="0"/>
      <w:marRight w:val="0"/>
      <w:marTop w:val="0"/>
      <w:marBottom w:val="0"/>
      <w:divBdr>
        <w:top w:val="none" w:sz="0" w:space="0" w:color="auto"/>
        <w:left w:val="none" w:sz="0" w:space="0" w:color="auto"/>
        <w:bottom w:val="none" w:sz="0" w:space="0" w:color="auto"/>
        <w:right w:val="none" w:sz="0" w:space="0" w:color="auto"/>
      </w:divBdr>
    </w:div>
    <w:div w:id="480313643">
      <w:bodyDiv w:val="1"/>
      <w:marLeft w:val="0"/>
      <w:marRight w:val="0"/>
      <w:marTop w:val="0"/>
      <w:marBottom w:val="0"/>
      <w:divBdr>
        <w:top w:val="none" w:sz="0" w:space="0" w:color="auto"/>
        <w:left w:val="none" w:sz="0" w:space="0" w:color="auto"/>
        <w:bottom w:val="none" w:sz="0" w:space="0" w:color="auto"/>
        <w:right w:val="none" w:sz="0" w:space="0" w:color="auto"/>
      </w:divBdr>
    </w:div>
    <w:div w:id="579484863">
      <w:bodyDiv w:val="1"/>
      <w:marLeft w:val="0"/>
      <w:marRight w:val="0"/>
      <w:marTop w:val="0"/>
      <w:marBottom w:val="0"/>
      <w:divBdr>
        <w:top w:val="none" w:sz="0" w:space="0" w:color="auto"/>
        <w:left w:val="none" w:sz="0" w:space="0" w:color="auto"/>
        <w:bottom w:val="none" w:sz="0" w:space="0" w:color="auto"/>
        <w:right w:val="none" w:sz="0" w:space="0" w:color="auto"/>
      </w:divBdr>
    </w:div>
    <w:div w:id="587495461">
      <w:bodyDiv w:val="1"/>
      <w:marLeft w:val="0"/>
      <w:marRight w:val="0"/>
      <w:marTop w:val="0"/>
      <w:marBottom w:val="0"/>
      <w:divBdr>
        <w:top w:val="none" w:sz="0" w:space="0" w:color="auto"/>
        <w:left w:val="none" w:sz="0" w:space="0" w:color="auto"/>
        <w:bottom w:val="none" w:sz="0" w:space="0" w:color="auto"/>
        <w:right w:val="none" w:sz="0" w:space="0" w:color="auto"/>
      </w:divBdr>
    </w:div>
    <w:div w:id="604963482">
      <w:bodyDiv w:val="1"/>
      <w:marLeft w:val="0"/>
      <w:marRight w:val="0"/>
      <w:marTop w:val="0"/>
      <w:marBottom w:val="0"/>
      <w:divBdr>
        <w:top w:val="none" w:sz="0" w:space="0" w:color="auto"/>
        <w:left w:val="none" w:sz="0" w:space="0" w:color="auto"/>
        <w:bottom w:val="none" w:sz="0" w:space="0" w:color="auto"/>
        <w:right w:val="none" w:sz="0" w:space="0" w:color="auto"/>
      </w:divBdr>
    </w:div>
    <w:div w:id="656226942">
      <w:bodyDiv w:val="1"/>
      <w:marLeft w:val="0"/>
      <w:marRight w:val="0"/>
      <w:marTop w:val="0"/>
      <w:marBottom w:val="0"/>
      <w:divBdr>
        <w:top w:val="none" w:sz="0" w:space="0" w:color="auto"/>
        <w:left w:val="none" w:sz="0" w:space="0" w:color="auto"/>
        <w:bottom w:val="none" w:sz="0" w:space="0" w:color="auto"/>
        <w:right w:val="none" w:sz="0" w:space="0" w:color="auto"/>
      </w:divBdr>
    </w:div>
    <w:div w:id="711732853">
      <w:bodyDiv w:val="1"/>
      <w:marLeft w:val="0"/>
      <w:marRight w:val="0"/>
      <w:marTop w:val="0"/>
      <w:marBottom w:val="0"/>
      <w:divBdr>
        <w:top w:val="none" w:sz="0" w:space="0" w:color="auto"/>
        <w:left w:val="none" w:sz="0" w:space="0" w:color="auto"/>
        <w:bottom w:val="none" w:sz="0" w:space="0" w:color="auto"/>
        <w:right w:val="none" w:sz="0" w:space="0" w:color="auto"/>
      </w:divBdr>
    </w:div>
    <w:div w:id="832645035">
      <w:bodyDiv w:val="1"/>
      <w:marLeft w:val="0"/>
      <w:marRight w:val="0"/>
      <w:marTop w:val="0"/>
      <w:marBottom w:val="0"/>
      <w:divBdr>
        <w:top w:val="none" w:sz="0" w:space="0" w:color="auto"/>
        <w:left w:val="none" w:sz="0" w:space="0" w:color="auto"/>
        <w:bottom w:val="none" w:sz="0" w:space="0" w:color="auto"/>
        <w:right w:val="none" w:sz="0" w:space="0" w:color="auto"/>
      </w:divBdr>
    </w:div>
    <w:div w:id="835615511">
      <w:bodyDiv w:val="1"/>
      <w:marLeft w:val="0"/>
      <w:marRight w:val="0"/>
      <w:marTop w:val="0"/>
      <w:marBottom w:val="0"/>
      <w:divBdr>
        <w:top w:val="none" w:sz="0" w:space="0" w:color="auto"/>
        <w:left w:val="none" w:sz="0" w:space="0" w:color="auto"/>
        <w:bottom w:val="none" w:sz="0" w:space="0" w:color="auto"/>
        <w:right w:val="none" w:sz="0" w:space="0" w:color="auto"/>
      </w:divBdr>
    </w:div>
    <w:div w:id="845052485">
      <w:bodyDiv w:val="1"/>
      <w:marLeft w:val="0"/>
      <w:marRight w:val="0"/>
      <w:marTop w:val="0"/>
      <w:marBottom w:val="0"/>
      <w:divBdr>
        <w:top w:val="none" w:sz="0" w:space="0" w:color="auto"/>
        <w:left w:val="none" w:sz="0" w:space="0" w:color="auto"/>
        <w:bottom w:val="none" w:sz="0" w:space="0" w:color="auto"/>
        <w:right w:val="none" w:sz="0" w:space="0" w:color="auto"/>
      </w:divBdr>
    </w:div>
    <w:div w:id="854078490">
      <w:bodyDiv w:val="1"/>
      <w:marLeft w:val="0"/>
      <w:marRight w:val="0"/>
      <w:marTop w:val="0"/>
      <w:marBottom w:val="0"/>
      <w:divBdr>
        <w:top w:val="none" w:sz="0" w:space="0" w:color="auto"/>
        <w:left w:val="none" w:sz="0" w:space="0" w:color="auto"/>
        <w:bottom w:val="none" w:sz="0" w:space="0" w:color="auto"/>
        <w:right w:val="none" w:sz="0" w:space="0" w:color="auto"/>
      </w:divBdr>
    </w:div>
    <w:div w:id="890767227">
      <w:bodyDiv w:val="1"/>
      <w:marLeft w:val="0"/>
      <w:marRight w:val="0"/>
      <w:marTop w:val="0"/>
      <w:marBottom w:val="0"/>
      <w:divBdr>
        <w:top w:val="none" w:sz="0" w:space="0" w:color="auto"/>
        <w:left w:val="none" w:sz="0" w:space="0" w:color="auto"/>
        <w:bottom w:val="none" w:sz="0" w:space="0" w:color="auto"/>
        <w:right w:val="none" w:sz="0" w:space="0" w:color="auto"/>
      </w:divBdr>
    </w:div>
    <w:div w:id="996423651">
      <w:bodyDiv w:val="1"/>
      <w:marLeft w:val="0"/>
      <w:marRight w:val="0"/>
      <w:marTop w:val="0"/>
      <w:marBottom w:val="0"/>
      <w:divBdr>
        <w:top w:val="none" w:sz="0" w:space="0" w:color="auto"/>
        <w:left w:val="none" w:sz="0" w:space="0" w:color="auto"/>
        <w:bottom w:val="none" w:sz="0" w:space="0" w:color="auto"/>
        <w:right w:val="none" w:sz="0" w:space="0" w:color="auto"/>
      </w:divBdr>
    </w:div>
    <w:div w:id="1074814213">
      <w:bodyDiv w:val="1"/>
      <w:marLeft w:val="0"/>
      <w:marRight w:val="0"/>
      <w:marTop w:val="0"/>
      <w:marBottom w:val="0"/>
      <w:divBdr>
        <w:top w:val="none" w:sz="0" w:space="0" w:color="auto"/>
        <w:left w:val="none" w:sz="0" w:space="0" w:color="auto"/>
        <w:bottom w:val="none" w:sz="0" w:space="0" w:color="auto"/>
        <w:right w:val="none" w:sz="0" w:space="0" w:color="auto"/>
      </w:divBdr>
    </w:div>
    <w:div w:id="1080518855">
      <w:bodyDiv w:val="1"/>
      <w:marLeft w:val="0"/>
      <w:marRight w:val="0"/>
      <w:marTop w:val="0"/>
      <w:marBottom w:val="0"/>
      <w:divBdr>
        <w:top w:val="none" w:sz="0" w:space="0" w:color="auto"/>
        <w:left w:val="none" w:sz="0" w:space="0" w:color="auto"/>
        <w:bottom w:val="none" w:sz="0" w:space="0" w:color="auto"/>
        <w:right w:val="none" w:sz="0" w:space="0" w:color="auto"/>
      </w:divBdr>
    </w:div>
    <w:div w:id="1108356574">
      <w:bodyDiv w:val="1"/>
      <w:marLeft w:val="0"/>
      <w:marRight w:val="0"/>
      <w:marTop w:val="0"/>
      <w:marBottom w:val="0"/>
      <w:divBdr>
        <w:top w:val="none" w:sz="0" w:space="0" w:color="auto"/>
        <w:left w:val="none" w:sz="0" w:space="0" w:color="auto"/>
        <w:bottom w:val="none" w:sz="0" w:space="0" w:color="auto"/>
        <w:right w:val="none" w:sz="0" w:space="0" w:color="auto"/>
      </w:divBdr>
    </w:div>
    <w:div w:id="1173490964">
      <w:bodyDiv w:val="1"/>
      <w:marLeft w:val="0"/>
      <w:marRight w:val="0"/>
      <w:marTop w:val="0"/>
      <w:marBottom w:val="0"/>
      <w:divBdr>
        <w:top w:val="none" w:sz="0" w:space="0" w:color="auto"/>
        <w:left w:val="none" w:sz="0" w:space="0" w:color="auto"/>
        <w:bottom w:val="none" w:sz="0" w:space="0" w:color="auto"/>
        <w:right w:val="none" w:sz="0" w:space="0" w:color="auto"/>
      </w:divBdr>
      <w:divsChild>
        <w:div w:id="1069184502">
          <w:marLeft w:val="0"/>
          <w:marRight w:val="0"/>
          <w:marTop w:val="400"/>
          <w:marBottom w:val="400"/>
          <w:divBdr>
            <w:top w:val="none" w:sz="0" w:space="0" w:color="auto"/>
            <w:left w:val="none" w:sz="0" w:space="0" w:color="auto"/>
            <w:bottom w:val="none" w:sz="0" w:space="0" w:color="auto"/>
            <w:right w:val="none" w:sz="0" w:space="0" w:color="auto"/>
          </w:divBdr>
        </w:div>
        <w:div w:id="1993219346">
          <w:marLeft w:val="0"/>
          <w:marRight w:val="0"/>
          <w:marTop w:val="400"/>
          <w:marBottom w:val="400"/>
          <w:divBdr>
            <w:top w:val="none" w:sz="0" w:space="0" w:color="auto"/>
            <w:left w:val="none" w:sz="0" w:space="0" w:color="auto"/>
            <w:bottom w:val="none" w:sz="0" w:space="0" w:color="auto"/>
            <w:right w:val="none" w:sz="0" w:space="0" w:color="auto"/>
          </w:divBdr>
        </w:div>
      </w:divsChild>
    </w:div>
    <w:div w:id="1175995406">
      <w:bodyDiv w:val="1"/>
      <w:marLeft w:val="0"/>
      <w:marRight w:val="0"/>
      <w:marTop w:val="0"/>
      <w:marBottom w:val="0"/>
      <w:divBdr>
        <w:top w:val="none" w:sz="0" w:space="0" w:color="auto"/>
        <w:left w:val="none" w:sz="0" w:space="0" w:color="auto"/>
        <w:bottom w:val="none" w:sz="0" w:space="0" w:color="auto"/>
        <w:right w:val="none" w:sz="0" w:space="0" w:color="auto"/>
      </w:divBdr>
    </w:div>
    <w:div w:id="1209148290">
      <w:bodyDiv w:val="1"/>
      <w:marLeft w:val="0"/>
      <w:marRight w:val="0"/>
      <w:marTop w:val="0"/>
      <w:marBottom w:val="0"/>
      <w:divBdr>
        <w:top w:val="none" w:sz="0" w:space="0" w:color="auto"/>
        <w:left w:val="none" w:sz="0" w:space="0" w:color="auto"/>
        <w:bottom w:val="none" w:sz="0" w:space="0" w:color="auto"/>
        <w:right w:val="none" w:sz="0" w:space="0" w:color="auto"/>
      </w:divBdr>
    </w:div>
    <w:div w:id="1242446084">
      <w:bodyDiv w:val="1"/>
      <w:marLeft w:val="0"/>
      <w:marRight w:val="0"/>
      <w:marTop w:val="0"/>
      <w:marBottom w:val="0"/>
      <w:divBdr>
        <w:top w:val="none" w:sz="0" w:space="0" w:color="auto"/>
        <w:left w:val="none" w:sz="0" w:space="0" w:color="auto"/>
        <w:bottom w:val="none" w:sz="0" w:space="0" w:color="auto"/>
        <w:right w:val="none" w:sz="0" w:space="0" w:color="auto"/>
      </w:divBdr>
    </w:div>
    <w:div w:id="1453016968">
      <w:bodyDiv w:val="1"/>
      <w:marLeft w:val="0"/>
      <w:marRight w:val="0"/>
      <w:marTop w:val="0"/>
      <w:marBottom w:val="0"/>
      <w:divBdr>
        <w:top w:val="none" w:sz="0" w:space="0" w:color="auto"/>
        <w:left w:val="none" w:sz="0" w:space="0" w:color="auto"/>
        <w:bottom w:val="none" w:sz="0" w:space="0" w:color="auto"/>
        <w:right w:val="none" w:sz="0" w:space="0" w:color="auto"/>
      </w:divBdr>
    </w:div>
    <w:div w:id="1463157855">
      <w:bodyDiv w:val="1"/>
      <w:marLeft w:val="0"/>
      <w:marRight w:val="0"/>
      <w:marTop w:val="0"/>
      <w:marBottom w:val="0"/>
      <w:divBdr>
        <w:top w:val="none" w:sz="0" w:space="0" w:color="auto"/>
        <w:left w:val="none" w:sz="0" w:space="0" w:color="auto"/>
        <w:bottom w:val="none" w:sz="0" w:space="0" w:color="auto"/>
        <w:right w:val="none" w:sz="0" w:space="0" w:color="auto"/>
      </w:divBdr>
    </w:div>
    <w:div w:id="1576090728">
      <w:bodyDiv w:val="1"/>
      <w:marLeft w:val="0"/>
      <w:marRight w:val="0"/>
      <w:marTop w:val="0"/>
      <w:marBottom w:val="0"/>
      <w:divBdr>
        <w:top w:val="none" w:sz="0" w:space="0" w:color="auto"/>
        <w:left w:val="none" w:sz="0" w:space="0" w:color="auto"/>
        <w:bottom w:val="none" w:sz="0" w:space="0" w:color="auto"/>
        <w:right w:val="none" w:sz="0" w:space="0" w:color="auto"/>
      </w:divBdr>
    </w:div>
    <w:div w:id="1678145942">
      <w:bodyDiv w:val="1"/>
      <w:marLeft w:val="0"/>
      <w:marRight w:val="0"/>
      <w:marTop w:val="0"/>
      <w:marBottom w:val="0"/>
      <w:divBdr>
        <w:top w:val="none" w:sz="0" w:space="0" w:color="auto"/>
        <w:left w:val="none" w:sz="0" w:space="0" w:color="auto"/>
        <w:bottom w:val="none" w:sz="0" w:space="0" w:color="auto"/>
        <w:right w:val="none" w:sz="0" w:space="0" w:color="auto"/>
      </w:divBdr>
    </w:div>
    <w:div w:id="1768037618">
      <w:bodyDiv w:val="1"/>
      <w:marLeft w:val="0"/>
      <w:marRight w:val="0"/>
      <w:marTop w:val="0"/>
      <w:marBottom w:val="0"/>
      <w:divBdr>
        <w:top w:val="none" w:sz="0" w:space="0" w:color="auto"/>
        <w:left w:val="none" w:sz="0" w:space="0" w:color="auto"/>
        <w:bottom w:val="none" w:sz="0" w:space="0" w:color="auto"/>
        <w:right w:val="none" w:sz="0" w:space="0" w:color="auto"/>
      </w:divBdr>
    </w:div>
    <w:div w:id="1818917052">
      <w:bodyDiv w:val="1"/>
      <w:marLeft w:val="0"/>
      <w:marRight w:val="0"/>
      <w:marTop w:val="0"/>
      <w:marBottom w:val="0"/>
      <w:divBdr>
        <w:top w:val="none" w:sz="0" w:space="0" w:color="auto"/>
        <w:left w:val="none" w:sz="0" w:space="0" w:color="auto"/>
        <w:bottom w:val="none" w:sz="0" w:space="0" w:color="auto"/>
        <w:right w:val="none" w:sz="0" w:space="0" w:color="auto"/>
      </w:divBdr>
    </w:div>
    <w:div w:id="1821918733">
      <w:bodyDiv w:val="1"/>
      <w:marLeft w:val="0"/>
      <w:marRight w:val="0"/>
      <w:marTop w:val="0"/>
      <w:marBottom w:val="0"/>
      <w:divBdr>
        <w:top w:val="none" w:sz="0" w:space="0" w:color="auto"/>
        <w:left w:val="none" w:sz="0" w:space="0" w:color="auto"/>
        <w:bottom w:val="none" w:sz="0" w:space="0" w:color="auto"/>
        <w:right w:val="none" w:sz="0" w:space="0" w:color="auto"/>
      </w:divBdr>
    </w:div>
    <w:div w:id="1896114353">
      <w:bodyDiv w:val="1"/>
      <w:marLeft w:val="0"/>
      <w:marRight w:val="0"/>
      <w:marTop w:val="0"/>
      <w:marBottom w:val="0"/>
      <w:divBdr>
        <w:top w:val="none" w:sz="0" w:space="0" w:color="auto"/>
        <w:left w:val="none" w:sz="0" w:space="0" w:color="auto"/>
        <w:bottom w:val="none" w:sz="0" w:space="0" w:color="auto"/>
        <w:right w:val="none" w:sz="0" w:space="0" w:color="auto"/>
      </w:divBdr>
    </w:div>
    <w:div w:id="1914046352">
      <w:bodyDiv w:val="1"/>
      <w:marLeft w:val="0"/>
      <w:marRight w:val="0"/>
      <w:marTop w:val="0"/>
      <w:marBottom w:val="0"/>
      <w:divBdr>
        <w:top w:val="none" w:sz="0" w:space="0" w:color="auto"/>
        <w:left w:val="none" w:sz="0" w:space="0" w:color="auto"/>
        <w:bottom w:val="none" w:sz="0" w:space="0" w:color="auto"/>
        <w:right w:val="none" w:sz="0" w:space="0" w:color="auto"/>
      </w:divBdr>
    </w:div>
    <w:div w:id="2019695051">
      <w:bodyDiv w:val="1"/>
      <w:marLeft w:val="0"/>
      <w:marRight w:val="0"/>
      <w:marTop w:val="0"/>
      <w:marBottom w:val="0"/>
      <w:divBdr>
        <w:top w:val="none" w:sz="0" w:space="0" w:color="auto"/>
        <w:left w:val="none" w:sz="0" w:space="0" w:color="auto"/>
        <w:bottom w:val="none" w:sz="0" w:space="0" w:color="auto"/>
        <w:right w:val="none" w:sz="0" w:space="0" w:color="auto"/>
      </w:divBdr>
    </w:div>
    <w:div w:id="208568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CT.ir" TargetMode="External"/><Relationship Id="rId5" Type="http://schemas.openxmlformats.org/officeDocument/2006/relationships/hyperlink" Target="https://doi.org/10.1007/s40200-022-01168-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21</Pages>
  <Words>6118</Words>
  <Characters>34873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54</cp:revision>
  <dcterms:created xsi:type="dcterms:W3CDTF">2024-03-01T15:33:00Z</dcterms:created>
  <dcterms:modified xsi:type="dcterms:W3CDTF">2024-03-04T12:15:00Z</dcterms:modified>
</cp:coreProperties>
</file>