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326B4F" w14:textId="7F14ECF5" w:rsidR="00545C66" w:rsidRPr="00545C66" w:rsidRDefault="00141870" w:rsidP="00545C66">
      <w:pPr>
        <w:spacing w:line="480" w:lineRule="auto"/>
        <w:rPr>
          <w:rFonts w:ascii="Times New Roman" w:eastAsia="Calibri" w:hAnsi="Times New Roman" w:cs="Times New Roman"/>
          <w:b/>
          <w:bCs/>
          <w:kern w:val="0"/>
          <w:sz w:val="24"/>
          <w:szCs w:val="24"/>
          <w14:ligatures w14:val="none"/>
        </w:rPr>
      </w:pPr>
      <w:r>
        <w:rPr>
          <w:rFonts w:ascii="Times New Roman" w:eastAsia="Calibri" w:hAnsi="Times New Roman" w:cs="Times New Roman"/>
          <w:b/>
          <w:bCs/>
          <w:kern w:val="0"/>
          <w:sz w:val="24"/>
          <w:szCs w:val="24"/>
          <w14:ligatures w14:val="none"/>
        </w:rPr>
        <w:t>Additional</w:t>
      </w:r>
      <w:r w:rsidR="00545C66">
        <w:rPr>
          <w:rFonts w:ascii="Times New Roman" w:eastAsia="Calibri" w:hAnsi="Times New Roman" w:cs="Times New Roman"/>
          <w:b/>
          <w:bCs/>
          <w:kern w:val="0"/>
          <w:sz w:val="24"/>
          <w:szCs w:val="24"/>
          <w14:ligatures w14:val="none"/>
        </w:rPr>
        <w:t xml:space="preserve"> Note</w:t>
      </w:r>
      <w:r w:rsidR="008022B7">
        <w:rPr>
          <w:rFonts w:ascii="Times New Roman" w:eastAsia="Calibri" w:hAnsi="Times New Roman" w:cs="Times New Roman"/>
          <w:b/>
          <w:bCs/>
          <w:kern w:val="0"/>
          <w:sz w:val="24"/>
          <w:szCs w:val="24"/>
          <w14:ligatures w14:val="none"/>
        </w:rPr>
        <w:t xml:space="preserve"> 2</w:t>
      </w:r>
      <w:r>
        <w:rPr>
          <w:rFonts w:ascii="Times New Roman" w:eastAsia="Calibri" w:hAnsi="Times New Roman" w:cs="Times New Roman"/>
          <w:b/>
          <w:bCs/>
          <w:kern w:val="0"/>
          <w:sz w:val="24"/>
          <w:szCs w:val="24"/>
          <w14:ligatures w14:val="none"/>
        </w:rPr>
        <w:t>.</w:t>
      </w:r>
      <w:r w:rsidR="00545C66">
        <w:rPr>
          <w:rFonts w:ascii="Times New Roman" w:eastAsia="Calibri" w:hAnsi="Times New Roman" w:cs="Times New Roman"/>
          <w:b/>
          <w:bCs/>
          <w:kern w:val="0"/>
          <w:sz w:val="24"/>
          <w:szCs w:val="24"/>
          <w14:ligatures w14:val="none"/>
        </w:rPr>
        <w:t xml:space="preserve"> </w:t>
      </w:r>
      <w:r w:rsidR="00545C66" w:rsidRPr="00141870">
        <w:rPr>
          <w:rFonts w:ascii="Times New Roman" w:eastAsia="Calibri" w:hAnsi="Times New Roman" w:cs="Times New Roman"/>
          <w:kern w:val="0"/>
          <w:sz w:val="24"/>
          <w:szCs w:val="24"/>
          <w14:ligatures w14:val="none"/>
        </w:rPr>
        <w:t xml:space="preserve">Other </w:t>
      </w:r>
      <w:r w:rsidR="008022B7" w:rsidRPr="00141870">
        <w:rPr>
          <w:rFonts w:ascii="Times New Roman" w:eastAsia="Calibri" w:hAnsi="Times New Roman" w:cs="Times New Roman"/>
          <w:kern w:val="0"/>
          <w:sz w:val="24"/>
          <w:szCs w:val="24"/>
          <w14:ligatures w14:val="none"/>
        </w:rPr>
        <w:t>R</w:t>
      </w:r>
      <w:r w:rsidR="00545C66" w:rsidRPr="00141870">
        <w:rPr>
          <w:rFonts w:ascii="Times New Roman" w:eastAsia="Calibri" w:hAnsi="Times New Roman" w:cs="Times New Roman"/>
          <w:kern w:val="0"/>
          <w:sz w:val="24"/>
          <w:szCs w:val="24"/>
          <w14:ligatures w14:val="none"/>
        </w:rPr>
        <w:t xml:space="preserve">esults </w:t>
      </w:r>
      <w:r w:rsidR="008022B7" w:rsidRPr="00141870">
        <w:rPr>
          <w:rFonts w:ascii="Times New Roman" w:eastAsia="Calibri" w:hAnsi="Times New Roman" w:cs="Times New Roman"/>
          <w:kern w:val="0"/>
          <w:sz w:val="24"/>
          <w:szCs w:val="24"/>
          <w14:ligatures w14:val="none"/>
        </w:rPr>
        <w:t>R</w:t>
      </w:r>
      <w:r w:rsidR="00545C66" w:rsidRPr="00141870">
        <w:rPr>
          <w:rFonts w:ascii="Times New Roman" w:eastAsia="Calibri" w:hAnsi="Times New Roman" w:cs="Times New Roman"/>
          <w:kern w:val="0"/>
          <w:sz w:val="24"/>
          <w:szCs w:val="24"/>
          <w14:ligatures w14:val="none"/>
        </w:rPr>
        <w:t xml:space="preserve">eported by the </w:t>
      </w:r>
      <w:r w:rsidR="008022B7" w:rsidRPr="00141870">
        <w:rPr>
          <w:rFonts w:ascii="Times New Roman" w:eastAsia="Calibri" w:hAnsi="Times New Roman" w:cs="Times New Roman"/>
          <w:kern w:val="0"/>
          <w:sz w:val="24"/>
          <w:szCs w:val="24"/>
          <w14:ligatures w14:val="none"/>
        </w:rPr>
        <w:t>S</w:t>
      </w:r>
      <w:r w:rsidR="00545C66" w:rsidRPr="00141870">
        <w:rPr>
          <w:rFonts w:ascii="Times New Roman" w:eastAsia="Calibri" w:hAnsi="Times New Roman" w:cs="Times New Roman"/>
          <w:kern w:val="0"/>
          <w:sz w:val="24"/>
          <w:szCs w:val="24"/>
          <w14:ligatures w14:val="none"/>
        </w:rPr>
        <w:t xml:space="preserve">tudies </w:t>
      </w:r>
      <w:r w:rsidR="008022B7" w:rsidRPr="00141870">
        <w:rPr>
          <w:rFonts w:ascii="Times New Roman" w:eastAsia="Calibri" w:hAnsi="Times New Roman" w:cs="Times New Roman"/>
          <w:kern w:val="0"/>
          <w:sz w:val="24"/>
          <w:szCs w:val="24"/>
          <w14:ligatures w14:val="none"/>
        </w:rPr>
        <w:t>I</w:t>
      </w:r>
      <w:r w:rsidR="00545C66" w:rsidRPr="00141870">
        <w:rPr>
          <w:rFonts w:ascii="Times New Roman" w:eastAsia="Calibri" w:hAnsi="Times New Roman" w:cs="Times New Roman"/>
          <w:kern w:val="0"/>
          <w:sz w:val="24"/>
          <w:szCs w:val="24"/>
          <w14:ligatures w14:val="none"/>
        </w:rPr>
        <w:t xml:space="preserve">ncluded in the </w:t>
      </w:r>
      <w:r w:rsidR="008022B7" w:rsidRPr="00141870">
        <w:rPr>
          <w:rFonts w:ascii="Times New Roman" w:eastAsia="Calibri" w:hAnsi="Times New Roman" w:cs="Times New Roman"/>
          <w:kern w:val="0"/>
          <w:sz w:val="24"/>
          <w:szCs w:val="24"/>
          <w14:ligatures w14:val="none"/>
        </w:rPr>
        <w:t>R</w:t>
      </w:r>
      <w:r w:rsidR="00545C66" w:rsidRPr="00141870">
        <w:rPr>
          <w:rFonts w:ascii="Times New Roman" w:eastAsia="Calibri" w:hAnsi="Times New Roman" w:cs="Times New Roman"/>
          <w:kern w:val="0"/>
          <w:sz w:val="24"/>
          <w:szCs w:val="24"/>
          <w14:ligatures w14:val="none"/>
        </w:rPr>
        <w:t>eview</w:t>
      </w:r>
    </w:p>
    <w:p w14:paraId="024B7F0F" w14:textId="550BFD14" w:rsidR="00545C66" w:rsidRPr="00545C66" w:rsidRDefault="00545C66" w:rsidP="00545C66">
      <w:pPr>
        <w:spacing w:line="480" w:lineRule="auto"/>
        <w:rPr>
          <w:rFonts w:ascii="Times New Roman" w:eastAsia="Calibri" w:hAnsi="Times New Roman" w:cs="Times New Roman"/>
          <w:b/>
          <w:bCs/>
          <w:kern w:val="0"/>
          <w:sz w:val="24"/>
          <w:szCs w:val="24"/>
          <w14:ligatures w14:val="none"/>
        </w:rPr>
      </w:pPr>
      <w:r w:rsidRPr="00545C66">
        <w:rPr>
          <w:rFonts w:ascii="Times New Roman" w:eastAsia="Calibri" w:hAnsi="Times New Roman" w:cs="Times New Roman"/>
          <w:b/>
          <w:bCs/>
          <w:kern w:val="0"/>
          <w:sz w:val="24"/>
          <w:szCs w:val="24"/>
          <w14:ligatures w14:val="none"/>
        </w:rPr>
        <w:t>1 Quantification</w:t>
      </w:r>
    </w:p>
    <w:p w14:paraId="25560F42" w14:textId="77777777" w:rsidR="00545C66" w:rsidRPr="00545C66" w:rsidRDefault="00545C66" w:rsidP="00545C66">
      <w:pPr>
        <w:spacing w:line="480" w:lineRule="auto"/>
        <w:rPr>
          <w:rFonts w:ascii="Times New Roman" w:eastAsia="Calibri" w:hAnsi="Times New Roman" w:cs="Times New Roman"/>
          <w:kern w:val="0"/>
          <w:sz w:val="24"/>
          <w:szCs w:val="24"/>
          <w14:ligatures w14:val="none"/>
        </w:rPr>
      </w:pPr>
      <w:r w:rsidRPr="00545C66">
        <w:rPr>
          <w:rFonts w:ascii="Times New Roman" w:eastAsia="Calibri" w:hAnsi="Times New Roman" w:cs="Times New Roman"/>
          <w:kern w:val="0"/>
          <w:sz w:val="24"/>
          <w:szCs w:val="24"/>
          <w14:ligatures w14:val="none"/>
        </w:rPr>
        <w:t>Four studies reported an increase in Tregs in patients with NSCLC as compared to healthy volunteers, while one study further elaborated that the patients with relapsed NSCLC had an even higher number of Tregs. One study also reported that the density of Tregs increased with age (Audio Resource 1).</w:t>
      </w:r>
    </w:p>
    <w:p w14:paraId="71942247" w14:textId="6E1A86B2" w:rsidR="00545C66" w:rsidRPr="00545C66" w:rsidRDefault="00545C66" w:rsidP="00545C66">
      <w:pPr>
        <w:spacing w:line="480" w:lineRule="auto"/>
        <w:rPr>
          <w:rFonts w:ascii="Times New Roman" w:eastAsia="Calibri" w:hAnsi="Times New Roman" w:cs="Times New Roman"/>
          <w:b/>
          <w:bCs/>
          <w:kern w:val="0"/>
          <w:sz w:val="24"/>
          <w:szCs w:val="24"/>
          <w14:ligatures w14:val="none"/>
        </w:rPr>
      </w:pPr>
      <w:r w:rsidRPr="00545C66">
        <w:rPr>
          <w:rFonts w:ascii="Times New Roman" w:eastAsia="Calibri" w:hAnsi="Times New Roman" w:cs="Times New Roman"/>
          <w:b/>
          <w:bCs/>
          <w:kern w:val="0"/>
          <w:sz w:val="24"/>
          <w:szCs w:val="24"/>
          <w14:ligatures w14:val="none"/>
        </w:rPr>
        <w:t>2 Localization</w:t>
      </w:r>
    </w:p>
    <w:p w14:paraId="5AF403B0" w14:textId="77777777" w:rsidR="00545C66" w:rsidRPr="00545C66" w:rsidRDefault="00545C66" w:rsidP="00545C66">
      <w:pPr>
        <w:spacing w:line="480" w:lineRule="auto"/>
        <w:rPr>
          <w:rFonts w:ascii="Times New Roman" w:eastAsia="Calibri" w:hAnsi="Times New Roman" w:cs="Times New Roman"/>
          <w:kern w:val="0"/>
          <w:sz w:val="24"/>
          <w:szCs w:val="24"/>
          <w14:ligatures w14:val="none"/>
        </w:rPr>
      </w:pPr>
      <w:r w:rsidRPr="00545C66">
        <w:rPr>
          <w:rFonts w:ascii="Times New Roman" w:eastAsia="Calibri" w:hAnsi="Times New Roman" w:cs="Times New Roman"/>
          <w:kern w:val="0"/>
          <w:sz w:val="24"/>
          <w:szCs w:val="24"/>
          <w14:ligatures w14:val="none"/>
        </w:rPr>
        <w:t>One study reported that the presence of low Tregs in tumor stroma was significantly associated (p = .024) with worse DFS than high Tregs. Another study reported significantly worse OS (p = .029) due to high Treg (FOXP3</w:t>
      </w:r>
      <w:r w:rsidRPr="00545C66">
        <w:rPr>
          <w:rFonts w:ascii="Times New Roman" w:eastAsia="Calibri" w:hAnsi="Times New Roman" w:cs="Times New Roman"/>
          <w:kern w:val="0"/>
          <w:sz w:val="24"/>
          <w:szCs w:val="24"/>
          <w:vertAlign w:val="superscript"/>
          <w14:ligatures w14:val="none"/>
        </w:rPr>
        <w:t>+</w:t>
      </w:r>
      <w:r w:rsidRPr="00545C66">
        <w:rPr>
          <w:rFonts w:ascii="Times New Roman" w:eastAsia="Calibri" w:hAnsi="Times New Roman" w:cs="Times New Roman"/>
          <w:kern w:val="0"/>
          <w:sz w:val="24"/>
          <w:szCs w:val="24"/>
          <w14:ligatures w14:val="none"/>
        </w:rPr>
        <w:t>) infiltration of the stroma. Another study reported that the increased interaction between tumor cells and Tregs in the core of the tumor (p = .003) (unlike the periphery or margin of the tumor) was associated with worse OS (Audio Resource 1).</w:t>
      </w:r>
    </w:p>
    <w:p w14:paraId="5E3E678E" w14:textId="6BE56BEC" w:rsidR="00545C66" w:rsidRPr="00545C66" w:rsidRDefault="00545C66" w:rsidP="00545C66">
      <w:pPr>
        <w:spacing w:line="480" w:lineRule="auto"/>
        <w:rPr>
          <w:rFonts w:ascii="Times New Roman" w:eastAsia="Calibri" w:hAnsi="Times New Roman" w:cs="Times New Roman"/>
          <w:b/>
          <w:bCs/>
          <w:kern w:val="0"/>
          <w:sz w:val="24"/>
          <w:szCs w:val="24"/>
          <w14:ligatures w14:val="none"/>
        </w:rPr>
      </w:pPr>
      <w:r w:rsidRPr="00545C66">
        <w:rPr>
          <w:rFonts w:ascii="Times New Roman" w:eastAsia="Calibri" w:hAnsi="Times New Roman" w:cs="Times New Roman"/>
          <w:b/>
          <w:bCs/>
          <w:kern w:val="0"/>
          <w:sz w:val="24"/>
          <w:szCs w:val="24"/>
          <w14:ligatures w14:val="none"/>
        </w:rPr>
        <w:t xml:space="preserve">3 Recurrence and </w:t>
      </w:r>
      <w:r w:rsidR="00A13223">
        <w:rPr>
          <w:rFonts w:ascii="Times New Roman" w:eastAsia="Calibri" w:hAnsi="Times New Roman" w:cs="Times New Roman"/>
          <w:b/>
          <w:bCs/>
          <w:kern w:val="0"/>
          <w:sz w:val="24"/>
          <w:szCs w:val="24"/>
          <w14:ligatures w14:val="none"/>
        </w:rPr>
        <w:t>M</w:t>
      </w:r>
      <w:r w:rsidRPr="00545C66">
        <w:rPr>
          <w:rFonts w:ascii="Times New Roman" w:eastAsia="Calibri" w:hAnsi="Times New Roman" w:cs="Times New Roman"/>
          <w:b/>
          <w:bCs/>
          <w:kern w:val="0"/>
          <w:sz w:val="24"/>
          <w:szCs w:val="24"/>
          <w14:ligatures w14:val="none"/>
        </w:rPr>
        <w:t>etastasis</w:t>
      </w:r>
    </w:p>
    <w:p w14:paraId="1B178CA7" w14:textId="77777777" w:rsidR="00545C66" w:rsidRPr="00545C66" w:rsidRDefault="00545C66" w:rsidP="00545C66">
      <w:pPr>
        <w:spacing w:line="480" w:lineRule="auto"/>
        <w:rPr>
          <w:rFonts w:ascii="Times New Roman" w:eastAsia="Calibri" w:hAnsi="Times New Roman" w:cs="Times New Roman"/>
          <w:kern w:val="0"/>
          <w:sz w:val="24"/>
          <w:szCs w:val="24"/>
          <w14:ligatures w14:val="none"/>
        </w:rPr>
      </w:pPr>
      <w:r w:rsidRPr="00545C66">
        <w:rPr>
          <w:rFonts w:ascii="Times New Roman" w:eastAsia="Calibri" w:hAnsi="Times New Roman" w:cs="Times New Roman"/>
          <w:kern w:val="0"/>
          <w:sz w:val="24"/>
          <w:szCs w:val="24"/>
          <w14:ligatures w14:val="none"/>
        </w:rPr>
        <w:t>One study reported that a higher number of Tregs were present in TME in recurrence cases than in non-recurrence cases. Another study reported the presence of a significantly higher (p = .046) mean Treg cells in patients with local recurrence than in patients with distant metastasis. Further, one study reported that the most common sites for distant metastasis were the brain (19.6%), bone (5.4%), pleura (5.4%), lung (4.5%), and liver (2.7%). Another study reported that out of the patients with distant metastases, almost all also had lymph node metastases, and that the overall local recurrence and distant metastasis occurred more with adenocarcinoma (53%) than with squamous cell carcinoma (40%) or large cell carcinoma (7%).</w:t>
      </w:r>
    </w:p>
    <w:p w14:paraId="717BA2E1" w14:textId="3D59A119" w:rsidR="00545C66" w:rsidRPr="00545C66" w:rsidRDefault="00545C66" w:rsidP="00545C66">
      <w:pPr>
        <w:spacing w:line="480" w:lineRule="auto"/>
        <w:rPr>
          <w:rFonts w:ascii="Times New Roman" w:eastAsia="Calibri" w:hAnsi="Times New Roman" w:cs="Times New Roman"/>
          <w:b/>
          <w:bCs/>
          <w:kern w:val="0"/>
          <w:sz w:val="24"/>
          <w:szCs w:val="24"/>
          <w14:ligatures w14:val="none"/>
        </w:rPr>
      </w:pPr>
      <w:r w:rsidRPr="00545C66">
        <w:rPr>
          <w:rFonts w:ascii="Times New Roman" w:eastAsia="Calibri" w:hAnsi="Times New Roman" w:cs="Times New Roman"/>
          <w:b/>
          <w:bCs/>
          <w:kern w:val="0"/>
          <w:sz w:val="24"/>
          <w:szCs w:val="24"/>
          <w14:ligatures w14:val="none"/>
        </w:rPr>
        <w:lastRenderedPageBreak/>
        <w:t xml:space="preserve">4 Correlation of </w:t>
      </w:r>
      <w:r w:rsidR="00A13223">
        <w:rPr>
          <w:rFonts w:ascii="Times New Roman" w:eastAsia="Calibri" w:hAnsi="Times New Roman" w:cs="Times New Roman"/>
          <w:b/>
          <w:bCs/>
          <w:kern w:val="0"/>
          <w:sz w:val="24"/>
          <w:szCs w:val="24"/>
          <w14:ligatures w14:val="none"/>
        </w:rPr>
        <w:t>P</w:t>
      </w:r>
      <w:r w:rsidRPr="00545C66">
        <w:rPr>
          <w:rFonts w:ascii="Times New Roman" w:eastAsia="Calibri" w:hAnsi="Times New Roman" w:cs="Times New Roman"/>
          <w:b/>
          <w:bCs/>
          <w:kern w:val="0"/>
          <w:sz w:val="24"/>
          <w:szCs w:val="24"/>
          <w14:ligatures w14:val="none"/>
        </w:rPr>
        <w:t xml:space="preserve">rogrammed </w:t>
      </w:r>
      <w:r w:rsidR="00A13223">
        <w:rPr>
          <w:rFonts w:ascii="Times New Roman" w:eastAsia="Calibri" w:hAnsi="Times New Roman" w:cs="Times New Roman"/>
          <w:b/>
          <w:bCs/>
          <w:kern w:val="0"/>
          <w:sz w:val="24"/>
          <w:szCs w:val="24"/>
          <w14:ligatures w14:val="none"/>
        </w:rPr>
        <w:t>C</w:t>
      </w:r>
      <w:r w:rsidRPr="00545C66">
        <w:rPr>
          <w:rFonts w:ascii="Times New Roman" w:eastAsia="Calibri" w:hAnsi="Times New Roman" w:cs="Times New Roman"/>
          <w:b/>
          <w:bCs/>
          <w:kern w:val="0"/>
          <w:sz w:val="24"/>
          <w:szCs w:val="24"/>
          <w14:ligatures w14:val="none"/>
        </w:rPr>
        <w:t xml:space="preserve">ell </w:t>
      </w:r>
      <w:r w:rsidR="00A13223">
        <w:rPr>
          <w:rFonts w:ascii="Times New Roman" w:eastAsia="Calibri" w:hAnsi="Times New Roman" w:cs="Times New Roman"/>
          <w:b/>
          <w:bCs/>
          <w:kern w:val="0"/>
          <w:sz w:val="24"/>
          <w:szCs w:val="24"/>
          <w14:ligatures w14:val="none"/>
        </w:rPr>
        <w:t>D</w:t>
      </w:r>
      <w:r w:rsidRPr="00545C66">
        <w:rPr>
          <w:rFonts w:ascii="Times New Roman" w:eastAsia="Calibri" w:hAnsi="Times New Roman" w:cs="Times New Roman"/>
          <w:b/>
          <w:bCs/>
          <w:kern w:val="0"/>
          <w:sz w:val="24"/>
          <w:szCs w:val="24"/>
          <w14:ligatures w14:val="none"/>
        </w:rPr>
        <w:t xml:space="preserve">eath </w:t>
      </w:r>
      <w:r w:rsidR="00A13223">
        <w:rPr>
          <w:rFonts w:ascii="Times New Roman" w:eastAsia="Calibri" w:hAnsi="Times New Roman" w:cs="Times New Roman"/>
          <w:b/>
          <w:bCs/>
          <w:kern w:val="0"/>
          <w:sz w:val="24"/>
          <w:szCs w:val="24"/>
          <w14:ligatures w14:val="none"/>
        </w:rPr>
        <w:t>P</w:t>
      </w:r>
      <w:r w:rsidRPr="00545C66">
        <w:rPr>
          <w:rFonts w:ascii="Times New Roman" w:eastAsia="Calibri" w:hAnsi="Times New Roman" w:cs="Times New Roman"/>
          <w:b/>
          <w:bCs/>
          <w:kern w:val="0"/>
          <w:sz w:val="24"/>
          <w:szCs w:val="24"/>
          <w14:ligatures w14:val="none"/>
        </w:rPr>
        <w:t xml:space="preserve">rotein 1 (PD-L1) with the </w:t>
      </w:r>
      <w:r w:rsidR="00A13223">
        <w:rPr>
          <w:rFonts w:ascii="Times New Roman" w:eastAsia="Calibri" w:hAnsi="Times New Roman" w:cs="Times New Roman"/>
          <w:b/>
          <w:bCs/>
          <w:kern w:val="0"/>
          <w:sz w:val="24"/>
          <w:szCs w:val="24"/>
          <w14:ligatures w14:val="none"/>
        </w:rPr>
        <w:t>L</w:t>
      </w:r>
      <w:r w:rsidRPr="00545C66">
        <w:rPr>
          <w:rFonts w:ascii="Times New Roman" w:eastAsia="Calibri" w:hAnsi="Times New Roman" w:cs="Times New Roman"/>
          <w:b/>
          <w:bCs/>
          <w:kern w:val="0"/>
          <w:sz w:val="24"/>
          <w:szCs w:val="24"/>
          <w14:ligatures w14:val="none"/>
        </w:rPr>
        <w:t>evel of Tregs</w:t>
      </w:r>
    </w:p>
    <w:p w14:paraId="2F248521" w14:textId="77777777" w:rsidR="00545C66" w:rsidRPr="00545C66" w:rsidRDefault="00545C66" w:rsidP="00545C66">
      <w:pPr>
        <w:spacing w:line="480" w:lineRule="auto"/>
        <w:rPr>
          <w:rFonts w:ascii="Times New Roman" w:eastAsia="Calibri" w:hAnsi="Times New Roman" w:cs="Times New Roman"/>
          <w:kern w:val="0"/>
          <w:sz w:val="24"/>
          <w:szCs w:val="24"/>
          <w14:ligatures w14:val="none"/>
        </w:rPr>
      </w:pPr>
      <w:r w:rsidRPr="00545C66">
        <w:rPr>
          <w:rFonts w:ascii="Times New Roman" w:eastAsia="Calibri" w:hAnsi="Times New Roman" w:cs="Times New Roman"/>
          <w:kern w:val="0"/>
          <w:sz w:val="24"/>
          <w:szCs w:val="24"/>
          <w14:ligatures w14:val="none"/>
        </w:rPr>
        <w:t>Total of six studies evaluated or mentioned the correlation of PD-L1 with the level of Tregs. One study reported that FOXP3 positive status was strongly correlated with increasing PD-L1 expression (p = 0.021), while another study reported that the presence of FOXP3</w:t>
      </w:r>
      <w:r w:rsidRPr="00545C66">
        <w:rPr>
          <w:rFonts w:ascii="Times New Roman" w:eastAsia="Calibri" w:hAnsi="Times New Roman" w:cs="Times New Roman"/>
          <w:kern w:val="0"/>
          <w:sz w:val="24"/>
          <w:szCs w:val="24"/>
          <w:vertAlign w:val="superscript"/>
          <w14:ligatures w14:val="none"/>
        </w:rPr>
        <w:t>+</w:t>
      </w:r>
      <w:r w:rsidRPr="00545C66">
        <w:rPr>
          <w:rFonts w:ascii="Times New Roman" w:eastAsia="Calibri" w:hAnsi="Times New Roman" w:cs="Times New Roman"/>
          <w:kern w:val="0"/>
          <w:sz w:val="24"/>
          <w:szCs w:val="24"/>
          <w14:ligatures w14:val="none"/>
        </w:rPr>
        <w:t xml:space="preserve"> Treg cells was significantly more likely in PD-L1 positive NSCLC tissues (p&lt;0.001). One study did not find any significant correlation between PD-L1 and Treg number in the stroma (correlation coefficient 0.021, p = 1.00E+00), and in the tumor (correlation coefficient -0.003, p = 1.00E+00), while another study did not report any significant correlation between FOXP3 high status and PD-L1 status (p = 0.059). Another study reported that FOXP3</w:t>
      </w:r>
      <w:r w:rsidRPr="00545C66">
        <w:rPr>
          <w:rFonts w:ascii="Times New Roman" w:eastAsia="Calibri" w:hAnsi="Times New Roman" w:cs="Times New Roman"/>
          <w:kern w:val="0"/>
          <w:sz w:val="24"/>
          <w:szCs w:val="24"/>
          <w:vertAlign w:val="superscript"/>
          <w14:ligatures w14:val="none"/>
        </w:rPr>
        <w:t>+</w:t>
      </w:r>
      <w:r w:rsidRPr="00545C66">
        <w:rPr>
          <w:rFonts w:ascii="Times New Roman" w:eastAsia="Calibri" w:hAnsi="Times New Roman" w:cs="Times New Roman"/>
          <w:kern w:val="0"/>
          <w:sz w:val="24"/>
          <w:szCs w:val="24"/>
          <w14:ligatures w14:val="none"/>
        </w:rPr>
        <w:t xml:space="preserve"> cell density was not significantly associated with PD-L1 expression (p = 0.089). Yet another study did not evaluate the correlation between TILs and PD-L1 expression because they considered that it may be induced by TILs or cancer cells intrinsically, because their specificities in immunohistochemistry have been unstable, and established evaluation of their expression has not been developed yet. In this way, the results were equivocal regarding the correlation of PD-L1 with the level of Tregs.</w:t>
      </w:r>
    </w:p>
    <w:p w14:paraId="491C2AD0" w14:textId="77777777" w:rsidR="00743949" w:rsidRDefault="00743949"/>
    <w:sectPr w:rsidR="0074394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3F7F82" w14:textId="77777777" w:rsidR="00D51725" w:rsidRDefault="00D51725" w:rsidP="00170590">
      <w:pPr>
        <w:spacing w:after="0" w:line="240" w:lineRule="auto"/>
      </w:pPr>
      <w:r>
        <w:separator/>
      </w:r>
    </w:p>
  </w:endnote>
  <w:endnote w:type="continuationSeparator" w:id="0">
    <w:p w14:paraId="42C21915" w14:textId="77777777" w:rsidR="00D51725" w:rsidRDefault="00D51725" w:rsidP="00170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33DFFE" w14:textId="77777777" w:rsidR="00D51725" w:rsidRDefault="00D51725" w:rsidP="00170590">
      <w:pPr>
        <w:spacing w:after="0" w:line="240" w:lineRule="auto"/>
      </w:pPr>
      <w:r>
        <w:separator/>
      </w:r>
    </w:p>
  </w:footnote>
  <w:footnote w:type="continuationSeparator" w:id="0">
    <w:p w14:paraId="363BDC9D" w14:textId="77777777" w:rsidR="00D51725" w:rsidRDefault="00D51725" w:rsidP="0017059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08D4"/>
    <w:rsid w:val="00094A62"/>
    <w:rsid w:val="00141870"/>
    <w:rsid w:val="00170590"/>
    <w:rsid w:val="004424A0"/>
    <w:rsid w:val="00545C66"/>
    <w:rsid w:val="005F633E"/>
    <w:rsid w:val="00743949"/>
    <w:rsid w:val="008022B7"/>
    <w:rsid w:val="00816619"/>
    <w:rsid w:val="00A13223"/>
    <w:rsid w:val="00A208D4"/>
    <w:rsid w:val="00D5172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14125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0590"/>
    <w:pPr>
      <w:tabs>
        <w:tab w:val="center" w:pos="4513"/>
        <w:tab w:val="right" w:pos="9026"/>
      </w:tabs>
      <w:spacing w:after="0" w:line="240" w:lineRule="auto"/>
    </w:pPr>
  </w:style>
  <w:style w:type="character" w:customStyle="1" w:styleId="HeaderChar">
    <w:name w:val="Header Char"/>
    <w:basedOn w:val="DefaultParagraphFont"/>
    <w:link w:val="Header"/>
    <w:uiPriority w:val="99"/>
    <w:rsid w:val="00170590"/>
    <w:rPr>
      <w:lang w:val="en-US"/>
    </w:rPr>
  </w:style>
  <w:style w:type="paragraph" w:styleId="Footer">
    <w:name w:val="footer"/>
    <w:basedOn w:val="Normal"/>
    <w:link w:val="FooterChar"/>
    <w:uiPriority w:val="99"/>
    <w:unhideWhenUsed/>
    <w:rsid w:val="00170590"/>
    <w:pPr>
      <w:tabs>
        <w:tab w:val="center" w:pos="4513"/>
        <w:tab w:val="right" w:pos="9026"/>
      </w:tabs>
      <w:spacing w:after="0" w:line="240" w:lineRule="auto"/>
    </w:pPr>
  </w:style>
  <w:style w:type="character" w:customStyle="1" w:styleId="FooterChar">
    <w:name w:val="Footer Char"/>
    <w:basedOn w:val="DefaultParagraphFont"/>
    <w:link w:val="Footer"/>
    <w:uiPriority w:val="99"/>
    <w:rsid w:val="0017059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437</Words>
  <Characters>2491</Characters>
  <Application>Microsoft Office Word</Application>
  <DocSecurity>0</DocSecurity>
  <Lines>20</Lines>
  <Paragraphs>5</Paragraphs>
  <ScaleCrop>false</ScaleCrop>
  <Company/>
  <LinksUpToDate>false</LinksUpToDate>
  <CharactersWithSpaces>2923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2023-08-28T11:40:00Z</dcterms:created>
  <dcterms:modified xsi:type="dcterms:W3CDTF">2024-02-11T16:32:00Z</dcterms:modified>
</cp:coreProperties>
</file>