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C4905" w14:textId="7DDEBBA9" w:rsidR="00743949" w:rsidRPr="009568F7" w:rsidRDefault="00DB7C07" w:rsidP="008C1101">
      <w:pPr>
        <w:spacing w:line="480" w:lineRule="auto"/>
        <w:rPr>
          <w:rFonts w:ascii="Times New Roman" w:hAnsi="Times New Roman" w:cs="Times New Roman"/>
          <w:sz w:val="24"/>
          <w:szCs w:val="24"/>
          <w:lang w:val="en-IN"/>
        </w:rPr>
      </w:pPr>
      <w:r>
        <w:rPr>
          <w:rFonts w:ascii="Times New Roman" w:hAnsi="Times New Roman" w:cs="Times New Roman"/>
          <w:b/>
          <w:bCs/>
          <w:sz w:val="24"/>
          <w:szCs w:val="24"/>
          <w:lang w:val="en-IN"/>
        </w:rPr>
        <w:t>Additional</w:t>
      </w:r>
      <w:r w:rsidR="008C1101" w:rsidRPr="0031037A">
        <w:rPr>
          <w:rFonts w:ascii="Times New Roman" w:hAnsi="Times New Roman" w:cs="Times New Roman"/>
          <w:b/>
          <w:bCs/>
          <w:sz w:val="24"/>
          <w:szCs w:val="24"/>
          <w:lang w:val="en-IN"/>
        </w:rPr>
        <w:t xml:space="preserve"> Note 1</w:t>
      </w:r>
      <w:r w:rsidR="009568F7">
        <w:rPr>
          <w:rFonts w:ascii="Times New Roman" w:hAnsi="Times New Roman" w:cs="Times New Roman"/>
          <w:b/>
          <w:bCs/>
          <w:sz w:val="24"/>
          <w:szCs w:val="24"/>
          <w:lang w:val="en-IN"/>
        </w:rPr>
        <w:t>.</w:t>
      </w:r>
      <w:r w:rsidR="008C1101" w:rsidRPr="0031037A">
        <w:rPr>
          <w:rFonts w:ascii="Times New Roman" w:hAnsi="Times New Roman" w:cs="Times New Roman"/>
          <w:b/>
          <w:bCs/>
          <w:sz w:val="24"/>
          <w:szCs w:val="24"/>
          <w:lang w:val="en-IN"/>
        </w:rPr>
        <w:t xml:space="preserve"> </w:t>
      </w:r>
      <w:r w:rsidR="008C1101" w:rsidRPr="009568F7">
        <w:rPr>
          <w:rFonts w:ascii="Times New Roman" w:hAnsi="Times New Roman" w:cs="Times New Roman"/>
          <w:sz w:val="24"/>
          <w:szCs w:val="24"/>
          <w:lang w:val="en-IN"/>
        </w:rPr>
        <w:t>Detailed Search Strategy, Risk of Bias Assessment, and Data Extraction</w:t>
      </w:r>
    </w:p>
    <w:p w14:paraId="5C266952" w14:textId="77777777" w:rsidR="00764A3E" w:rsidRPr="0031037A" w:rsidRDefault="00764A3E" w:rsidP="008C1101">
      <w:pPr>
        <w:spacing w:line="480" w:lineRule="auto"/>
        <w:rPr>
          <w:rFonts w:ascii="Times New Roman" w:hAnsi="Times New Roman" w:cs="Times New Roman"/>
          <w:b/>
          <w:bCs/>
          <w:sz w:val="24"/>
          <w:szCs w:val="24"/>
          <w:lang w:val="en-IN"/>
        </w:rPr>
      </w:pPr>
    </w:p>
    <w:p w14:paraId="747B78DD" w14:textId="3981CA4D" w:rsidR="0031037A" w:rsidRPr="0031037A" w:rsidRDefault="0031037A" w:rsidP="0031037A">
      <w:pPr>
        <w:spacing w:line="480" w:lineRule="auto"/>
        <w:jc w:val="both"/>
        <w:rPr>
          <w:rFonts w:ascii="Times New Roman" w:hAnsi="Times New Roman" w:cs="Times New Roman"/>
          <w:b/>
          <w:bCs/>
          <w:sz w:val="24"/>
          <w:szCs w:val="24"/>
          <w:lang w:val="en-GB"/>
        </w:rPr>
      </w:pPr>
      <w:r w:rsidRPr="0031037A">
        <w:rPr>
          <w:rFonts w:ascii="Times New Roman" w:hAnsi="Times New Roman" w:cs="Times New Roman"/>
          <w:b/>
          <w:bCs/>
          <w:sz w:val="24"/>
          <w:szCs w:val="24"/>
          <w:lang w:val="en-GB"/>
        </w:rPr>
        <w:t>Retrieval of Articles</w:t>
      </w:r>
    </w:p>
    <w:p w14:paraId="254ED90F" w14:textId="1FD115FA" w:rsidR="0031037A" w:rsidRPr="006E4425" w:rsidRDefault="0031037A" w:rsidP="0031037A">
      <w:pPr>
        <w:spacing w:line="480" w:lineRule="auto"/>
        <w:jc w:val="both"/>
        <w:rPr>
          <w:rFonts w:ascii="Times New Roman" w:hAnsi="Times New Roman" w:cs="Times New Roman"/>
          <w:sz w:val="24"/>
          <w:szCs w:val="24"/>
          <w:lang w:val="en-GB"/>
        </w:rPr>
      </w:pPr>
      <w:r w:rsidRPr="006E4425">
        <w:rPr>
          <w:rFonts w:ascii="Times New Roman" w:hAnsi="Times New Roman" w:cs="Times New Roman"/>
          <w:sz w:val="24"/>
          <w:szCs w:val="24"/>
          <w:lang w:val="en-GB"/>
        </w:rPr>
        <w:t xml:space="preserve">PubMed was used to conduct the search in the MEDLINE database. </w:t>
      </w:r>
      <w:bookmarkStart w:id="0" w:name="_Hlk151901615"/>
      <w:r w:rsidRPr="006E4425">
        <w:rPr>
          <w:rFonts w:ascii="Times New Roman" w:hAnsi="Times New Roman" w:cs="Times New Roman"/>
          <w:sz w:val="24"/>
          <w:szCs w:val="24"/>
          <w:lang w:val="en-GB"/>
        </w:rPr>
        <w:t>The keywords used were-</w:t>
      </w:r>
    </w:p>
    <w:p w14:paraId="5CE9CCA5" w14:textId="77777777" w:rsidR="0031037A" w:rsidRPr="006E4425" w:rsidRDefault="0031037A" w:rsidP="0031037A">
      <w:pPr>
        <w:spacing w:line="480" w:lineRule="auto"/>
        <w:jc w:val="both"/>
        <w:rPr>
          <w:rFonts w:ascii="Times New Roman" w:hAnsi="Times New Roman" w:cs="Times New Roman"/>
          <w:sz w:val="24"/>
          <w:szCs w:val="24"/>
          <w:lang w:val="en-GB"/>
        </w:rPr>
      </w:pPr>
      <w:r w:rsidRPr="006E4425">
        <w:rPr>
          <w:rFonts w:ascii="Times New Roman" w:hAnsi="Times New Roman" w:cs="Times New Roman"/>
          <w:sz w:val="24"/>
          <w:szCs w:val="24"/>
          <w:lang w:val="en-GB"/>
        </w:rPr>
        <w:t>("non-small cell lung cancer" OR "non-small cell lung neoplasm" OR "non-small cell lung carcinoma") AND ("Treg" OR "regulatory T cells" OR "regulatory T lymphocytes" OR "Tumour-infiltrating regulatory T cells" OR "Foxp3" OR "Helios") AND (recurrence OR mortality OR metastasis OR survival OR "progression-free survival" OR "disease-free survival" OR "recurrence-free survival" OR "overall survival" OR prognosis OR prognostic)</w:t>
      </w:r>
    </w:p>
    <w:p w14:paraId="105CB8A0" w14:textId="77777777" w:rsidR="0031037A" w:rsidRPr="006E4425" w:rsidRDefault="0031037A" w:rsidP="0031037A">
      <w:pPr>
        <w:spacing w:line="480" w:lineRule="auto"/>
        <w:jc w:val="both"/>
        <w:rPr>
          <w:rFonts w:ascii="Times New Roman" w:hAnsi="Times New Roman" w:cs="Times New Roman"/>
          <w:sz w:val="24"/>
          <w:szCs w:val="24"/>
          <w:lang w:val="en-GB"/>
        </w:rPr>
      </w:pPr>
      <w:r w:rsidRPr="006E4425">
        <w:rPr>
          <w:rFonts w:ascii="Times New Roman" w:hAnsi="Times New Roman" w:cs="Times New Roman"/>
          <w:sz w:val="24"/>
          <w:szCs w:val="24"/>
          <w:lang w:val="en-GB"/>
        </w:rPr>
        <w:t xml:space="preserve">The same broad set of keywords was used by both the manual reviewer and the reviewer using the automation tool, to run a comprehensive search for the relevant published studies describing the prognostic value of Treg in patients with NSCLC. Free full-text studies presenting original research in humans, published in English in any region during the last 10 years were included in the review process. Protocols or design papers, opinion papers, education literature, meeting reports, and position papers were excluded. Letters to the editor and brief communications were eligible for inclusion only if they described original research with its results. Although the review studies were not eligible for inclusion, cross-references from them were reviewed to ensure that no eligible article was missed. The search was not rerun before the final analysis and no unpublished study was sought. The last search was done on July 25, 2022. </w:t>
      </w:r>
    </w:p>
    <w:p w14:paraId="3FE043B7" w14:textId="77777777" w:rsidR="00764A3E" w:rsidRDefault="00764A3E" w:rsidP="0031037A">
      <w:pPr>
        <w:spacing w:line="480" w:lineRule="auto"/>
        <w:jc w:val="both"/>
        <w:rPr>
          <w:rFonts w:ascii="Times New Roman" w:hAnsi="Times New Roman" w:cs="Times New Roman"/>
          <w:b/>
          <w:bCs/>
          <w:iCs/>
          <w:sz w:val="24"/>
          <w:szCs w:val="24"/>
          <w:lang w:val="en-GB"/>
        </w:rPr>
      </w:pPr>
    </w:p>
    <w:p w14:paraId="50238E11" w14:textId="48A3682C" w:rsidR="0031037A" w:rsidRPr="006E4425" w:rsidRDefault="0031037A" w:rsidP="0031037A">
      <w:pPr>
        <w:spacing w:line="480" w:lineRule="auto"/>
        <w:jc w:val="both"/>
        <w:rPr>
          <w:rFonts w:ascii="Times New Roman" w:hAnsi="Times New Roman" w:cs="Times New Roman"/>
          <w:b/>
          <w:bCs/>
          <w:iCs/>
          <w:sz w:val="24"/>
          <w:szCs w:val="24"/>
          <w:lang w:val="en-GB"/>
        </w:rPr>
      </w:pPr>
      <w:r w:rsidRPr="006E4425">
        <w:rPr>
          <w:rFonts w:ascii="Times New Roman" w:hAnsi="Times New Roman" w:cs="Times New Roman"/>
          <w:b/>
          <w:bCs/>
          <w:iCs/>
          <w:sz w:val="24"/>
          <w:szCs w:val="24"/>
          <w:lang w:val="en-GB"/>
        </w:rPr>
        <w:t xml:space="preserve">Selection of </w:t>
      </w:r>
      <w:r>
        <w:rPr>
          <w:rFonts w:ascii="Times New Roman" w:hAnsi="Times New Roman" w:cs="Times New Roman"/>
          <w:b/>
          <w:bCs/>
          <w:iCs/>
          <w:sz w:val="24"/>
          <w:szCs w:val="24"/>
          <w:lang w:val="en-GB"/>
        </w:rPr>
        <w:t>S</w:t>
      </w:r>
      <w:r w:rsidRPr="006E4425">
        <w:rPr>
          <w:rFonts w:ascii="Times New Roman" w:hAnsi="Times New Roman" w:cs="Times New Roman"/>
          <w:b/>
          <w:bCs/>
          <w:iCs/>
          <w:sz w:val="24"/>
          <w:szCs w:val="24"/>
          <w:lang w:val="en-GB"/>
        </w:rPr>
        <w:t>tudies</w:t>
      </w:r>
    </w:p>
    <w:p w14:paraId="7F0E0800" w14:textId="77777777" w:rsidR="0031037A" w:rsidRPr="006E4425" w:rsidRDefault="0031037A" w:rsidP="0031037A">
      <w:pPr>
        <w:spacing w:line="480" w:lineRule="auto"/>
        <w:jc w:val="both"/>
        <w:rPr>
          <w:rFonts w:ascii="Times New Roman" w:hAnsi="Times New Roman" w:cs="Times New Roman"/>
          <w:sz w:val="24"/>
          <w:szCs w:val="24"/>
          <w:lang w:val="en-GB"/>
        </w:rPr>
      </w:pPr>
      <w:r w:rsidRPr="006E4425">
        <w:rPr>
          <w:rFonts w:ascii="Times New Roman" w:hAnsi="Times New Roman" w:cs="Times New Roman"/>
          <w:sz w:val="24"/>
          <w:szCs w:val="24"/>
          <w:lang w:val="en-GB"/>
        </w:rPr>
        <w:t xml:space="preserve">The two reviewers screened the unblinded titles, abstracts, and full text of the studies independently in a standardized manner. One reviewer performed screening manually, while </w:t>
      </w:r>
      <w:r w:rsidRPr="006E4425">
        <w:rPr>
          <w:rFonts w:ascii="Times New Roman" w:hAnsi="Times New Roman" w:cs="Times New Roman"/>
          <w:sz w:val="24"/>
          <w:szCs w:val="24"/>
          <w:lang w:val="en-GB"/>
        </w:rPr>
        <w:lastRenderedPageBreak/>
        <w:t>the other used “MaiA</w:t>
      </w:r>
      <w:proofErr w:type="gramStart"/>
      <w:r w:rsidRPr="006E4425">
        <w:rPr>
          <w:rFonts w:ascii="Times New Roman" w:hAnsi="Times New Roman" w:cs="Times New Roman"/>
          <w:sz w:val="24"/>
          <w:szCs w:val="24"/>
          <w:lang w:val="en-GB"/>
        </w:rPr>
        <w:t>”.</w:t>
      </w:r>
      <w:proofErr w:type="gramEnd"/>
      <w:r w:rsidRPr="006E4425">
        <w:rPr>
          <w:rFonts w:ascii="Times New Roman" w:hAnsi="Times New Roman" w:cs="Times New Roman"/>
          <w:sz w:val="24"/>
          <w:szCs w:val="24"/>
          <w:lang w:val="en-GB"/>
        </w:rPr>
        <w:t xml:space="preserve"> The same predefined eligibility criteria based on the “Population, Prognostic Factor, Outcome” (PFO) approach were used by both reviewers. Both the reviewers were blinded to each other’s decisions. The disagreements were resolved by consultation with other co-authors and resolutions were recorded in an Excel sheet. The Preferred Reporting Items for Systematic Reviews and Meta-Analyses (PRISMA) </w:t>
      </w:r>
      <w:r w:rsidRPr="006E4425">
        <w:rPr>
          <w:rFonts w:ascii="Times New Roman" w:hAnsi="Times New Roman" w:cs="Times New Roman"/>
          <w:sz w:val="24"/>
          <w:szCs w:val="24"/>
          <w:lang w:val="en-GB"/>
        </w:rPr>
        <w:fldChar w:fldCharType="begin" w:fldLock="1"/>
      </w:r>
      <w:r w:rsidRPr="006E4425">
        <w:rPr>
          <w:rFonts w:ascii="Times New Roman" w:hAnsi="Times New Roman" w:cs="Times New Roman"/>
          <w:sz w:val="24"/>
          <w:szCs w:val="24"/>
          <w:lang w:val="en-GB"/>
        </w:rPr>
        <w:instrText>ADDIN CSL_CITATION {"citationItems":[{"id":"ITEM-1","itemData":{"DOI":"10.1136/BMJ.N71","ISSN":"1756-1833","PMID":"33782057","abstract":"The Preferred Reporting Items for Systematic reviews and Meta-Analyses (PRISMA) statement, published in 2009, was designed to help systematic reviewers transparently report why the review was done, what the authors did, and what they found. Over the past decade, advances in systematic review methodology and terminology have necessitated an update to the guideline. The PRISMA 2020 statement replaces the 2009 statement and includes new reporting guidance that reflects advances in methods to identify, select, appraise, and synthesise studies. The structure and presentation of the items have been modified to facilitate implementation. In this article, we present the PRISMA 2020 27-item checklist, an expanded checklist that details reporting recommendations for each item, the PRISMA 2020 abstract checklist, and the revised flow diagrams for original and updated reviews.\n\nSystematic reviews serve many critical roles. They can provide syntheses of the state of knowledge in a field, from which future research priorities can be identified; they can address questions that otherwise could not be answered by individual studies; they can identify problems in primary research that should be rectified in future studies; and they can generate or evaluate theories about how or why phenomena occur. Systematic reviews therefore generate various types of knowledge for different users of reviews (such as patients, healthcare providers, researchers, and policy makers).12 To ensure a systematic review is valuable to users, authors should prepare a transparent, complete, and accurate account of why the review was done, what they did (such as how studies were identified and selected) and what they found (such as characteristics of contributing studies and results of meta-analyses). Up-to-date reporting guidance facilitates authors achieving this.3\n\nThe Preferred Reporting Items for Systematic reviews and Meta-Analyses (PRISMA) statement published in 2009 (hereafter referred to as PRISMA 2009)45678910 …","author":[{"dropping-particle":"","family":"Page","given":"Matthew J.","non-dropping-particle":"","parse-names":false,"suffix":""},{"dropping-particle":"","family":"McKenzie","given":"Joanne E.","non-dropping-particle":"","parse-names":false,"suffix":""},{"dropping-particle":"","family":"Bossuyt","given":"Patrick M.","non-dropping-particle":"","parse-names":false,"suffix":""},{"dropping-particle":"","family":"Boutron","given":"Isabelle","non-dropping-particle":"","parse-names":false,"suffix":""},{"dropping-particle":"","family":"Hoffmann","given":"Tammy C.","non-dropping-particle":"","parse-names":false,"suffix":""},{"dropping-particle":"","family":"Mulrow","given":"Cynthia D.","non-dropping-particle":"","parse-names":false,"suffix":""},{"dropping-particle":"","family":"Shamseer","given":"Larissa","non-dropping-particle":"","parse-names":false,"suffix":""},{"dropping-particle":"","family":"Tetzlaff","given":"Jennifer M.","non-dropping-particle":"","parse-names":false,"suffix":""},{"dropping-particle":"","family":"Akl","given":"Elie A.","non-dropping-particle":"","parse-names":false,"suffix":""},{"dropping-particle":"","family":"Brennan","given":"Sue E.","non-dropping-particle":"","parse-names":false,"suffix":""},{"dropping-particle":"","family":"Chou","given":"Roger","non-dropping-particle":"","parse-names":false,"suffix":""},{"dropping-particle":"","family":"Glanville","given":"Julie","non-dropping-particle":"","parse-names":false,"suffix":""},{"dropping-particle":"","family":"Grimshaw","given":"Jeremy M.","non-dropping-particle":"","parse-names":false,"suffix":""},{"dropping-particle":"","family":"Hróbjartsson","given":"Asbjørn","non-dropping-particle":"","parse-names":false,"suffix":""},{"dropping-particle":"","family":"Lalu","given":"Manoj M.","non-dropping-particle":"","parse-names":false,"suffix":""},{"dropping-particle":"","family":"Li","given":"Tianjing","non-dropping-particle":"","parse-names":false,"suffix":""},{"dropping-particle":"","family":"Loder","given":"Elizabeth W.","non-dropping-particle":"","parse-names":false,"suffix":""},{"dropping-particle":"","family":"Mayo-Wilson","given":"Evan","non-dropping-particle":"","parse-names":false,"suffix":""},{"dropping-particle":"","family":"McDonald","given":"Steve","non-dropping-particle":"","parse-names":false,"suffix":""},{"dropping-particle":"","family":"McGuinness","given":"Luke A.","non-dropping-particle":"","parse-names":false,"suffix":""},{"dropping-particle":"","family":"Stewart","given":"Lesley A.","non-dropping-particle":"","parse-names":false,"suffix":""},{"dropping-particle":"","family":"Thomas","given":"James","non-dropping-particle":"","parse-names":false,"suffix":""},{"dropping-particle":"","family":"Tricco","given":"Andrea C.","non-dropping-particle":"","parse-names":false,"suffix":""},{"dropping-particle":"","family":"Welch","given":"Vivian A.","non-dropping-particle":"","parse-names":false,"suffix":""},{"dropping-particle":"","family":"Whiting","given":"Penny","non-dropping-particle":"","parse-names":false,"suffix":""},{"dropping-particle":"","family":"Moher","given":"David","non-dropping-particle":"","parse-names":false,"suffix":""}],"container-title":"BMJ","id":"ITEM-1","issued":{"date-parts":[["2021","3","29"]]},"publisher":"British Medical Journal Publishing Group","title":"The PRISMA 2020 statement: an updated guideline for reporting systematic reviews","type":"article-journal","volume":"372"},"uris":["http://www.mendeley.com/documents/?uuid=7703ef64-d431-3086-bf29-603270e887d4"]}],"mendeley":{"formattedCitation":"&lt;sup&gt;35&lt;/sup&gt;","plainTextFormattedCitation":"35","previouslyFormattedCitation":"&lt;sup&gt;35&lt;/sup&gt;"},"properties":{"noteIndex":0},"schema":"https://github.com/citation-style-language/schema/raw/master/csl-citation.json"}</w:instrText>
      </w:r>
      <w:r w:rsidRPr="006E4425">
        <w:rPr>
          <w:rFonts w:ascii="Times New Roman" w:hAnsi="Times New Roman" w:cs="Times New Roman"/>
          <w:sz w:val="24"/>
          <w:szCs w:val="24"/>
          <w:lang w:val="en-GB"/>
        </w:rPr>
        <w:fldChar w:fldCharType="separate"/>
      </w:r>
      <w:r w:rsidRPr="006E4425">
        <w:rPr>
          <w:rFonts w:ascii="Times New Roman" w:hAnsi="Times New Roman" w:cs="Times New Roman"/>
          <w:noProof/>
          <w:sz w:val="24"/>
          <w:szCs w:val="24"/>
          <w:vertAlign w:val="superscript"/>
          <w:lang w:val="en-GB"/>
        </w:rPr>
        <w:t>35</w:t>
      </w:r>
      <w:r w:rsidRPr="006E4425">
        <w:rPr>
          <w:rFonts w:ascii="Times New Roman" w:hAnsi="Times New Roman" w:cs="Times New Roman"/>
          <w:sz w:val="24"/>
          <w:szCs w:val="24"/>
          <w:lang w:val="en-GB"/>
        </w:rPr>
        <w:fldChar w:fldCharType="end"/>
      </w:r>
      <w:r w:rsidRPr="006E4425">
        <w:rPr>
          <w:rFonts w:ascii="Times New Roman" w:hAnsi="Times New Roman" w:cs="Times New Roman"/>
          <w:sz w:val="24"/>
          <w:szCs w:val="24"/>
          <w:lang w:val="en-GB"/>
        </w:rPr>
        <w:t xml:space="preserve"> Flow Diagram was created based on the retrieved literature, screened records, excluded studies, and included studies (Figure1).</w:t>
      </w:r>
    </w:p>
    <w:p w14:paraId="408BA3DF" w14:textId="77777777" w:rsidR="00764A3E" w:rsidRDefault="00764A3E" w:rsidP="0031037A">
      <w:pPr>
        <w:spacing w:line="480" w:lineRule="auto"/>
        <w:jc w:val="both"/>
        <w:rPr>
          <w:rFonts w:ascii="Times New Roman" w:hAnsi="Times New Roman" w:cs="Times New Roman"/>
          <w:b/>
          <w:bCs/>
          <w:sz w:val="24"/>
          <w:szCs w:val="24"/>
          <w:lang w:val="en-GB"/>
        </w:rPr>
      </w:pPr>
    </w:p>
    <w:p w14:paraId="5855E26F" w14:textId="3534AADD" w:rsidR="0031037A" w:rsidRPr="006E4425" w:rsidRDefault="0031037A" w:rsidP="0031037A">
      <w:pPr>
        <w:spacing w:line="480" w:lineRule="auto"/>
        <w:jc w:val="both"/>
        <w:rPr>
          <w:rFonts w:ascii="Times New Roman" w:hAnsi="Times New Roman" w:cs="Times New Roman"/>
          <w:b/>
          <w:bCs/>
          <w:sz w:val="24"/>
          <w:szCs w:val="24"/>
          <w:lang w:val="en-GB"/>
        </w:rPr>
      </w:pPr>
      <w:r w:rsidRPr="006E4425">
        <w:rPr>
          <w:rFonts w:ascii="Times New Roman" w:hAnsi="Times New Roman" w:cs="Times New Roman"/>
          <w:b/>
          <w:bCs/>
          <w:sz w:val="24"/>
          <w:szCs w:val="24"/>
          <w:lang w:val="en-GB"/>
        </w:rPr>
        <w:t xml:space="preserve">Inclusion </w:t>
      </w:r>
      <w:r>
        <w:rPr>
          <w:rFonts w:ascii="Times New Roman" w:hAnsi="Times New Roman" w:cs="Times New Roman"/>
          <w:b/>
          <w:bCs/>
          <w:sz w:val="24"/>
          <w:szCs w:val="24"/>
          <w:lang w:val="en-GB"/>
        </w:rPr>
        <w:t>C</w:t>
      </w:r>
      <w:r w:rsidRPr="006E4425">
        <w:rPr>
          <w:rFonts w:ascii="Times New Roman" w:hAnsi="Times New Roman" w:cs="Times New Roman"/>
          <w:b/>
          <w:bCs/>
          <w:sz w:val="24"/>
          <w:szCs w:val="24"/>
          <w:lang w:val="en-GB"/>
        </w:rPr>
        <w:t>riteria</w:t>
      </w:r>
    </w:p>
    <w:p w14:paraId="71DC8EAB" w14:textId="77777777" w:rsidR="0031037A" w:rsidRPr="006E4425" w:rsidRDefault="0031037A" w:rsidP="0031037A">
      <w:pPr>
        <w:spacing w:line="480" w:lineRule="auto"/>
        <w:jc w:val="both"/>
        <w:rPr>
          <w:rFonts w:ascii="Times New Roman" w:hAnsi="Times New Roman" w:cs="Times New Roman"/>
          <w:sz w:val="24"/>
          <w:szCs w:val="24"/>
          <w:lang w:val="en-GB"/>
        </w:rPr>
      </w:pPr>
      <w:r w:rsidRPr="006E4425">
        <w:rPr>
          <w:rFonts w:ascii="Times New Roman" w:hAnsi="Times New Roman" w:cs="Times New Roman"/>
          <w:sz w:val="24"/>
          <w:szCs w:val="24"/>
          <w:lang w:val="en-GB"/>
        </w:rPr>
        <w:t xml:space="preserve">Eligible for inclusion were the studies concerning both male and female participants, suffering from NSCLC, irrespective of TNM staging, with or without prior surgery or therapy, or those undergoing surgery or therapy at the time of the respective original study. </w:t>
      </w:r>
    </w:p>
    <w:p w14:paraId="355A27DD" w14:textId="77777777" w:rsidR="0031037A" w:rsidRPr="006E4425" w:rsidRDefault="0031037A" w:rsidP="0031037A">
      <w:pPr>
        <w:spacing w:line="480" w:lineRule="auto"/>
        <w:jc w:val="both"/>
        <w:rPr>
          <w:rFonts w:ascii="Times New Roman" w:hAnsi="Times New Roman" w:cs="Times New Roman"/>
          <w:sz w:val="24"/>
          <w:szCs w:val="24"/>
          <w:lang w:val="en-GB"/>
        </w:rPr>
      </w:pPr>
      <w:r w:rsidRPr="006E4425">
        <w:rPr>
          <w:rFonts w:ascii="Times New Roman" w:hAnsi="Times New Roman" w:cs="Times New Roman"/>
          <w:sz w:val="24"/>
          <w:szCs w:val="24"/>
          <w:lang w:val="en-GB"/>
        </w:rPr>
        <w:t xml:space="preserve">Studies evaluating the prognostic factor as presence, degree, measurement, or localization of Tregs, in tumour tissue or body fluids through histological or cytological procedures like immunohistochemistry, flow cytometry, or quantitative real-time-polymerase chain reaction, and assessing either Treg alone or in combination with </w:t>
      </w:r>
      <w:bookmarkStart w:id="1" w:name="_Hlk117598745"/>
      <w:r w:rsidRPr="006E4425">
        <w:rPr>
          <w:rFonts w:ascii="Times New Roman" w:hAnsi="Times New Roman" w:cs="Times New Roman"/>
          <w:sz w:val="24"/>
          <w:szCs w:val="24"/>
          <w:lang w:val="en-GB"/>
        </w:rPr>
        <w:t>at least one biomarker out of CD4</w:t>
      </w:r>
      <w:r w:rsidRPr="006E4425">
        <w:rPr>
          <w:rFonts w:ascii="Times New Roman" w:hAnsi="Times New Roman" w:cs="Times New Roman"/>
          <w:sz w:val="24"/>
          <w:szCs w:val="24"/>
          <w:vertAlign w:val="superscript"/>
          <w:lang w:val="en-GB"/>
        </w:rPr>
        <w:t>+</w:t>
      </w:r>
      <w:r w:rsidRPr="006E4425">
        <w:rPr>
          <w:rFonts w:ascii="Times New Roman" w:hAnsi="Times New Roman" w:cs="Times New Roman"/>
          <w:sz w:val="24"/>
          <w:szCs w:val="24"/>
          <w:lang w:val="en-GB"/>
        </w:rPr>
        <w:t>, CD25</w:t>
      </w:r>
      <w:r w:rsidRPr="006E4425">
        <w:rPr>
          <w:rFonts w:ascii="Times New Roman" w:hAnsi="Times New Roman" w:cs="Times New Roman"/>
          <w:sz w:val="24"/>
          <w:szCs w:val="24"/>
          <w:vertAlign w:val="superscript"/>
          <w:lang w:val="en-GB"/>
        </w:rPr>
        <w:t>+</w:t>
      </w:r>
      <w:r w:rsidRPr="006E4425">
        <w:rPr>
          <w:rFonts w:ascii="Times New Roman" w:hAnsi="Times New Roman" w:cs="Times New Roman"/>
          <w:sz w:val="24"/>
          <w:szCs w:val="24"/>
          <w:lang w:val="en-GB"/>
        </w:rPr>
        <w:t>, CD127</w:t>
      </w:r>
      <w:r w:rsidRPr="006E4425">
        <w:rPr>
          <w:rFonts w:ascii="Times New Roman" w:hAnsi="Times New Roman" w:cs="Times New Roman"/>
          <w:sz w:val="24"/>
          <w:szCs w:val="24"/>
          <w:vertAlign w:val="superscript"/>
          <w:lang w:val="en-GB"/>
        </w:rPr>
        <w:t>-</w:t>
      </w:r>
      <w:r w:rsidRPr="006E4425">
        <w:rPr>
          <w:rFonts w:ascii="Times New Roman" w:hAnsi="Times New Roman" w:cs="Times New Roman"/>
          <w:sz w:val="24"/>
          <w:szCs w:val="24"/>
          <w:lang w:val="en-GB"/>
        </w:rPr>
        <w:t>, Helios</w:t>
      </w:r>
      <w:r w:rsidRPr="006E4425">
        <w:rPr>
          <w:rFonts w:ascii="Times New Roman" w:hAnsi="Times New Roman" w:cs="Times New Roman"/>
          <w:sz w:val="24"/>
          <w:szCs w:val="24"/>
          <w:vertAlign w:val="superscript"/>
          <w:lang w:val="en-GB"/>
        </w:rPr>
        <w:t>+</w:t>
      </w:r>
      <w:r w:rsidRPr="006E4425">
        <w:rPr>
          <w:rFonts w:ascii="Times New Roman" w:hAnsi="Times New Roman" w:cs="Times New Roman"/>
          <w:sz w:val="24"/>
          <w:szCs w:val="24"/>
          <w:lang w:val="en-GB"/>
        </w:rPr>
        <w:t>, and/or forkhead box P3 (FOXP3)</w:t>
      </w:r>
      <w:r w:rsidRPr="006E4425">
        <w:rPr>
          <w:rFonts w:ascii="Times New Roman" w:hAnsi="Times New Roman" w:cs="Times New Roman"/>
          <w:sz w:val="24"/>
          <w:szCs w:val="24"/>
          <w:vertAlign w:val="superscript"/>
          <w:lang w:val="en-GB"/>
        </w:rPr>
        <w:t>+</w:t>
      </w:r>
      <w:bookmarkEnd w:id="1"/>
      <w:r w:rsidRPr="006E4425">
        <w:rPr>
          <w:rFonts w:ascii="Times New Roman" w:hAnsi="Times New Roman" w:cs="Times New Roman"/>
          <w:sz w:val="24"/>
          <w:szCs w:val="24"/>
          <w:lang w:val="en-GB"/>
        </w:rPr>
        <w:t xml:space="preserve"> were included </w:t>
      </w:r>
      <w:r w:rsidRPr="006E4425">
        <w:rPr>
          <w:rFonts w:ascii="Times New Roman" w:hAnsi="Times New Roman" w:cs="Times New Roman"/>
          <w:sz w:val="24"/>
          <w:szCs w:val="24"/>
          <w:lang w:val="en-GB"/>
        </w:rPr>
        <w:fldChar w:fldCharType="begin" w:fldLock="1"/>
      </w:r>
      <w:r w:rsidRPr="006E4425">
        <w:rPr>
          <w:rFonts w:ascii="Times New Roman" w:hAnsi="Times New Roman" w:cs="Times New Roman"/>
          <w:sz w:val="24"/>
          <w:szCs w:val="24"/>
          <w:lang w:val="en-GB"/>
        </w:rPr>
        <w:instrText>ADDIN CSL_CITATION {"citationItems":[{"id":"ITEM-1","itemData":{"DOI":"10.1093/INTIMM/DXW025","ISSN":"1460-2377","PMID":"27160722","abstract":"CD4+ regulatory T cells (Tregs) expressing the transcription factor FoxP3 are highly immune suppressive and play central roles in the maintenance of self-tolerance and immune homeostasis, yet in malignant tumors they promote tumor progression by suppressing effective antitumor immunity. Indeed, higher infiltration by Tregs is observed in tumor tissues, and their depletion augments antitumor immune responses in animal models. Additionally, increased numbers of Tregs and, in particular, decreased ratios of CD8+ T cells to Tregs among tumor-infiltrating lymphocytes are correlated with poor prognosis in various types of human cancers. The recent success of cancer immunotherapy represented by immune checkpoint blockade has provided a new insight in cancer treatment, yet more than half of the treated patients did not experience clinical benefits. Identifying biomarkers that predict clinical responses and developing novel immunotherapies are therefore urgently required. Cancer patients whose tumors contain a large number of neoantigens stemming from gene mutations, which have not been previously recognized by the immune system, provoke strong antitumor T-cell responses associated with clinical responses following immune checkpoint blockade, depending on the resistance to Treg-mediated suppression. Thus, integration of a strategy restricting Treg-mediated immune suppression may expand the therapeutic spectrum of cancer immunotherapy towards patients with a lower number of neoantigens. In this review, we address the current understanding of Treg-mediated immune suppressive mechanisms in cancer, the involvement of Tregs in cancer immunotherapy, and strategies for effective and tolerable Treg-targeted therapy.","author":[{"dropping-particle":"","family":"Takeuchi","given":"Y","non-dropping-particle":"","parse-names":false,"suffix":""},{"dropping-particle":"","family":"Nishikawa","given":"H","non-dropping-particle":"","parse-names":false,"suffix":""}],"container-title":"International immunology","id":"ITEM-1","issue":"8","issued":{"date-parts":[["2016","8"]]},"page":"401-409","publisher":"Int Immunol","title":"Roles of regulatory T cells in cancer immunity","type":"article-journal","volume":"28"},"uris":["http://www.mendeley.com/documents/?uuid=a2a58eed-9c72-4fa6-98a2-f1a08bcfbe5b","http://www.mendeley.com/documents/?uuid=dc866eea-d15a-359e-ae1a-2332e467a7a1"]}],"mendeley":{"formattedCitation":"&lt;sup&gt;29&lt;/sup&gt;","plainTextFormattedCitation":"29","previouslyFormattedCitation":"&lt;sup&gt;29&lt;/sup&gt;"},"properties":{"noteIndex":0},"schema":"https://github.com/citation-style-language/schema/raw/master/csl-citation.json"}</w:instrText>
      </w:r>
      <w:r w:rsidRPr="006E4425">
        <w:rPr>
          <w:rFonts w:ascii="Times New Roman" w:hAnsi="Times New Roman" w:cs="Times New Roman"/>
          <w:sz w:val="24"/>
          <w:szCs w:val="24"/>
          <w:lang w:val="en-GB"/>
        </w:rPr>
        <w:fldChar w:fldCharType="separate"/>
      </w:r>
      <w:r w:rsidRPr="006E4425">
        <w:rPr>
          <w:rFonts w:ascii="Times New Roman" w:hAnsi="Times New Roman" w:cs="Times New Roman"/>
          <w:noProof/>
          <w:sz w:val="24"/>
          <w:szCs w:val="24"/>
          <w:vertAlign w:val="superscript"/>
          <w:lang w:val="en-GB"/>
        </w:rPr>
        <w:t>29</w:t>
      </w:r>
      <w:r w:rsidRPr="006E4425">
        <w:rPr>
          <w:rFonts w:ascii="Times New Roman" w:hAnsi="Times New Roman" w:cs="Times New Roman"/>
          <w:sz w:val="24"/>
          <w:szCs w:val="24"/>
          <w:lang w:val="en-GB"/>
        </w:rPr>
        <w:fldChar w:fldCharType="end"/>
      </w:r>
      <w:r w:rsidRPr="006E4425">
        <w:rPr>
          <w:rFonts w:ascii="Times New Roman" w:hAnsi="Times New Roman" w:cs="Times New Roman"/>
          <w:sz w:val="24"/>
          <w:szCs w:val="24"/>
          <w:lang w:val="en-GB"/>
        </w:rPr>
        <w:t>.</w:t>
      </w:r>
    </w:p>
    <w:p w14:paraId="5EB818EF" w14:textId="77777777" w:rsidR="0031037A" w:rsidRPr="006E4425" w:rsidRDefault="0031037A" w:rsidP="0031037A">
      <w:pPr>
        <w:spacing w:line="480" w:lineRule="auto"/>
        <w:jc w:val="both"/>
        <w:rPr>
          <w:rFonts w:ascii="Times New Roman" w:hAnsi="Times New Roman" w:cs="Times New Roman"/>
          <w:sz w:val="24"/>
          <w:szCs w:val="24"/>
          <w:lang w:val="en-GB"/>
        </w:rPr>
      </w:pPr>
      <w:r w:rsidRPr="006E4425">
        <w:rPr>
          <w:rFonts w:ascii="Times New Roman" w:hAnsi="Times New Roman" w:cs="Times New Roman"/>
          <w:sz w:val="24"/>
          <w:szCs w:val="24"/>
          <w:lang w:val="en-GB"/>
        </w:rPr>
        <w:t>Studies describing primary outcomes of overall survival (OS), progression-free survival (PFS), disease-free survival (DFS), or recurrence-free survival (RFS), with point estimates as risk and ratios such as relative risk (RR), odds ratio (OR), or hazards ratio (HR),</w:t>
      </w:r>
      <w:r w:rsidRPr="006E4425" w:rsidDel="00D032C1">
        <w:rPr>
          <w:rFonts w:ascii="Times New Roman" w:hAnsi="Times New Roman" w:cs="Times New Roman"/>
          <w:sz w:val="24"/>
          <w:szCs w:val="24"/>
          <w:lang w:val="en-GB"/>
        </w:rPr>
        <w:t xml:space="preserve"> </w:t>
      </w:r>
      <w:r w:rsidRPr="006E4425">
        <w:rPr>
          <w:rFonts w:ascii="Times New Roman" w:hAnsi="Times New Roman" w:cs="Times New Roman"/>
          <w:sz w:val="24"/>
          <w:szCs w:val="24"/>
          <w:lang w:val="en-GB"/>
        </w:rPr>
        <w:t>were included in the review. OS was defined as the time between the first diagnosis of NSCLC and the date of death regardless of the cause. PFS, DFS, and RFS were defined as the time between the date of diagnosis and the date of progression, recurrent symptoms, and first relapse respectively. Prospective as well as retrospective studies were included in the review.</w:t>
      </w:r>
    </w:p>
    <w:p w14:paraId="77328922" w14:textId="77777777" w:rsidR="009217B9" w:rsidRDefault="009217B9" w:rsidP="0031037A">
      <w:pPr>
        <w:spacing w:line="480" w:lineRule="auto"/>
        <w:jc w:val="both"/>
        <w:rPr>
          <w:rFonts w:ascii="Times New Roman" w:hAnsi="Times New Roman" w:cs="Times New Roman"/>
          <w:b/>
          <w:bCs/>
          <w:sz w:val="24"/>
          <w:szCs w:val="24"/>
          <w:lang w:val="en-GB"/>
        </w:rPr>
      </w:pPr>
    </w:p>
    <w:p w14:paraId="57A165E2" w14:textId="4C79C976" w:rsidR="0031037A" w:rsidRPr="006E4425" w:rsidRDefault="0031037A" w:rsidP="0031037A">
      <w:pPr>
        <w:spacing w:line="480" w:lineRule="auto"/>
        <w:jc w:val="both"/>
        <w:rPr>
          <w:rFonts w:ascii="Times New Roman" w:hAnsi="Times New Roman" w:cs="Times New Roman"/>
          <w:b/>
          <w:bCs/>
          <w:sz w:val="24"/>
          <w:szCs w:val="24"/>
          <w:lang w:val="en-GB"/>
        </w:rPr>
      </w:pPr>
      <w:r w:rsidRPr="006E4425">
        <w:rPr>
          <w:rFonts w:ascii="Times New Roman" w:hAnsi="Times New Roman" w:cs="Times New Roman"/>
          <w:b/>
          <w:bCs/>
          <w:sz w:val="24"/>
          <w:szCs w:val="24"/>
          <w:lang w:val="en-GB"/>
        </w:rPr>
        <w:t xml:space="preserve">Exclusion </w:t>
      </w:r>
      <w:r>
        <w:rPr>
          <w:rFonts w:ascii="Times New Roman" w:hAnsi="Times New Roman" w:cs="Times New Roman"/>
          <w:b/>
          <w:bCs/>
          <w:sz w:val="24"/>
          <w:szCs w:val="24"/>
          <w:lang w:val="en-GB"/>
        </w:rPr>
        <w:t>C</w:t>
      </w:r>
      <w:r w:rsidRPr="006E4425">
        <w:rPr>
          <w:rFonts w:ascii="Times New Roman" w:hAnsi="Times New Roman" w:cs="Times New Roman"/>
          <w:b/>
          <w:bCs/>
          <w:sz w:val="24"/>
          <w:szCs w:val="24"/>
          <w:lang w:val="en-GB"/>
        </w:rPr>
        <w:t>riteria</w:t>
      </w:r>
    </w:p>
    <w:p w14:paraId="65CE7FDE" w14:textId="77777777" w:rsidR="0031037A" w:rsidRPr="006E4425" w:rsidRDefault="0031037A" w:rsidP="0031037A">
      <w:pPr>
        <w:spacing w:line="480" w:lineRule="auto"/>
        <w:jc w:val="both"/>
        <w:rPr>
          <w:rFonts w:ascii="Times New Roman" w:hAnsi="Times New Roman" w:cs="Times New Roman"/>
          <w:sz w:val="24"/>
          <w:szCs w:val="24"/>
          <w:lang w:val="en-GB"/>
        </w:rPr>
      </w:pPr>
      <w:r w:rsidRPr="006E4425">
        <w:rPr>
          <w:rFonts w:ascii="Times New Roman" w:hAnsi="Times New Roman" w:cs="Times New Roman"/>
          <w:sz w:val="24"/>
          <w:szCs w:val="24"/>
          <w:lang w:val="en-GB"/>
        </w:rPr>
        <w:t>Studies involving patients suffering from other lung cancers or cancers of other body parts, and not NSCLC, were excluded. Studies not concerned with the prognostic or predictive value of Tregs were excluded. Studies designed as case studies, case series, systematic reviews, or meta-analyses were also excluded.</w:t>
      </w:r>
    </w:p>
    <w:p w14:paraId="755DBBD7" w14:textId="77777777" w:rsidR="00764A3E" w:rsidRDefault="00764A3E" w:rsidP="0031037A">
      <w:pPr>
        <w:spacing w:line="480" w:lineRule="auto"/>
        <w:jc w:val="both"/>
        <w:rPr>
          <w:rFonts w:ascii="Times New Roman" w:hAnsi="Times New Roman" w:cs="Times New Roman"/>
          <w:b/>
          <w:bCs/>
          <w:iCs/>
          <w:sz w:val="24"/>
          <w:szCs w:val="24"/>
          <w:lang w:val="en-GB"/>
        </w:rPr>
      </w:pPr>
    </w:p>
    <w:p w14:paraId="3E0C4FA6" w14:textId="640D82BF" w:rsidR="0031037A" w:rsidRPr="006E4425" w:rsidRDefault="0031037A" w:rsidP="0031037A">
      <w:pPr>
        <w:spacing w:line="480" w:lineRule="auto"/>
        <w:jc w:val="both"/>
        <w:rPr>
          <w:rFonts w:ascii="Times New Roman" w:hAnsi="Times New Roman" w:cs="Times New Roman"/>
          <w:b/>
          <w:bCs/>
          <w:iCs/>
          <w:sz w:val="24"/>
          <w:szCs w:val="24"/>
          <w:lang w:val="en-GB"/>
        </w:rPr>
      </w:pPr>
      <w:r w:rsidRPr="006E4425">
        <w:rPr>
          <w:rFonts w:ascii="Times New Roman" w:hAnsi="Times New Roman" w:cs="Times New Roman"/>
          <w:b/>
          <w:bCs/>
          <w:iCs/>
          <w:sz w:val="24"/>
          <w:szCs w:val="24"/>
          <w:lang w:val="en-GB"/>
        </w:rPr>
        <w:t xml:space="preserve">Assessment of </w:t>
      </w:r>
      <w:r>
        <w:rPr>
          <w:rFonts w:ascii="Times New Roman" w:hAnsi="Times New Roman" w:cs="Times New Roman"/>
          <w:b/>
          <w:bCs/>
          <w:iCs/>
          <w:sz w:val="24"/>
          <w:szCs w:val="24"/>
          <w:lang w:val="en-GB"/>
        </w:rPr>
        <w:t>R</w:t>
      </w:r>
      <w:r w:rsidRPr="006E4425">
        <w:rPr>
          <w:rFonts w:ascii="Times New Roman" w:hAnsi="Times New Roman" w:cs="Times New Roman"/>
          <w:b/>
          <w:bCs/>
          <w:iCs/>
          <w:sz w:val="24"/>
          <w:szCs w:val="24"/>
          <w:lang w:val="en-GB"/>
        </w:rPr>
        <w:t xml:space="preserve">isk of </w:t>
      </w:r>
      <w:r>
        <w:rPr>
          <w:rFonts w:ascii="Times New Roman" w:hAnsi="Times New Roman" w:cs="Times New Roman"/>
          <w:b/>
          <w:bCs/>
          <w:iCs/>
          <w:sz w:val="24"/>
          <w:szCs w:val="24"/>
          <w:lang w:val="en-GB"/>
        </w:rPr>
        <w:t>B</w:t>
      </w:r>
      <w:r w:rsidRPr="006E4425">
        <w:rPr>
          <w:rFonts w:ascii="Times New Roman" w:hAnsi="Times New Roman" w:cs="Times New Roman"/>
          <w:b/>
          <w:bCs/>
          <w:iCs/>
          <w:sz w:val="24"/>
          <w:szCs w:val="24"/>
          <w:lang w:val="en-GB"/>
        </w:rPr>
        <w:t xml:space="preserve">ias and </w:t>
      </w:r>
      <w:r>
        <w:rPr>
          <w:rFonts w:ascii="Times New Roman" w:hAnsi="Times New Roman" w:cs="Times New Roman"/>
          <w:b/>
          <w:bCs/>
          <w:iCs/>
          <w:sz w:val="24"/>
          <w:szCs w:val="24"/>
          <w:lang w:val="en-GB"/>
        </w:rPr>
        <w:t>Q</w:t>
      </w:r>
      <w:r w:rsidRPr="006E4425">
        <w:rPr>
          <w:rFonts w:ascii="Times New Roman" w:hAnsi="Times New Roman" w:cs="Times New Roman"/>
          <w:b/>
          <w:bCs/>
          <w:iCs/>
          <w:sz w:val="24"/>
          <w:szCs w:val="24"/>
          <w:lang w:val="en-GB"/>
        </w:rPr>
        <w:t xml:space="preserve">uality of </w:t>
      </w:r>
      <w:r>
        <w:rPr>
          <w:rFonts w:ascii="Times New Roman" w:hAnsi="Times New Roman" w:cs="Times New Roman"/>
          <w:b/>
          <w:bCs/>
          <w:iCs/>
          <w:sz w:val="24"/>
          <w:szCs w:val="24"/>
          <w:lang w:val="en-GB"/>
        </w:rPr>
        <w:t>S</w:t>
      </w:r>
      <w:r w:rsidRPr="006E4425">
        <w:rPr>
          <w:rFonts w:ascii="Times New Roman" w:hAnsi="Times New Roman" w:cs="Times New Roman"/>
          <w:b/>
          <w:bCs/>
          <w:iCs/>
          <w:sz w:val="24"/>
          <w:szCs w:val="24"/>
          <w:lang w:val="en-GB"/>
        </w:rPr>
        <w:t>tudies</w:t>
      </w:r>
    </w:p>
    <w:p w14:paraId="795871A3" w14:textId="77777777" w:rsidR="0031037A" w:rsidRPr="006E4425" w:rsidRDefault="0031037A" w:rsidP="0031037A">
      <w:pPr>
        <w:spacing w:line="480" w:lineRule="auto"/>
        <w:jc w:val="both"/>
        <w:rPr>
          <w:rFonts w:ascii="Times New Roman" w:hAnsi="Times New Roman" w:cs="Times New Roman"/>
          <w:sz w:val="24"/>
          <w:szCs w:val="24"/>
          <w:lang w:val="en-GB"/>
        </w:rPr>
      </w:pPr>
      <w:r w:rsidRPr="006E4425">
        <w:rPr>
          <w:rFonts w:ascii="Times New Roman" w:hAnsi="Times New Roman" w:cs="Times New Roman"/>
          <w:sz w:val="24"/>
          <w:szCs w:val="24"/>
          <w:lang w:val="en-GB"/>
        </w:rPr>
        <w:t>For the quality assessment of the studies which were included in the review after screening, Cochrane’s Quality in Prognosis Studies (QUIPS) tool was used. The assessment was done at the study level by both reviewers manually and independently. The disagreements were resolved by consultation with other co-authors and resolutions were recorded in an Excel sheet. Studies were rated based on a three-grade scale (high, moderate, or low) of risk of bias. Out of the six bias domains of the QUIPS tool, each prompting item was rated as yes or no based on the fulfilment of the criteria provided by the respective prompting item. If ≤ 33% prompting items of a bias domain were rated as “No”, the risk of bias for that domain was rated as low. Similarly, for 34 to 50% of prompting items rated as no, the risk of bias for that domain was rated as moderate, and for &gt;50%, the risk of bias was rated as high. Studies with low risk of bias for “study participation</w:t>
      </w:r>
      <w:proofErr w:type="gramStart"/>
      <w:r w:rsidRPr="006E4425">
        <w:rPr>
          <w:rFonts w:ascii="Times New Roman" w:hAnsi="Times New Roman" w:cs="Times New Roman"/>
          <w:sz w:val="24"/>
          <w:szCs w:val="24"/>
          <w:lang w:val="en-GB"/>
        </w:rPr>
        <w:t>”,</w:t>
      </w:r>
      <w:proofErr w:type="gramEnd"/>
      <w:r w:rsidRPr="006E4425">
        <w:rPr>
          <w:rFonts w:ascii="Times New Roman" w:hAnsi="Times New Roman" w:cs="Times New Roman"/>
          <w:sz w:val="24"/>
          <w:szCs w:val="24"/>
          <w:lang w:val="en-GB"/>
        </w:rPr>
        <w:t xml:space="preserve"> “prognostic factor measurement”, and “outcome measurement” domains, while low to moderate risk of bias for “study attrition”, “study confounding”, and “statistical analysis and reporting” domains were included for extraction of data for the final narrative synthesis and quantitative analysis.</w:t>
      </w:r>
    </w:p>
    <w:p w14:paraId="69ADD20B" w14:textId="77777777" w:rsidR="00764A3E" w:rsidRDefault="00764A3E" w:rsidP="0031037A">
      <w:pPr>
        <w:pStyle w:val="ListParagraph"/>
        <w:spacing w:line="480" w:lineRule="auto"/>
        <w:ind w:left="0"/>
        <w:jc w:val="both"/>
        <w:rPr>
          <w:rFonts w:ascii="Times New Roman" w:hAnsi="Times New Roman" w:cs="Times New Roman"/>
          <w:b/>
          <w:bCs/>
          <w:iCs/>
          <w:sz w:val="24"/>
          <w:szCs w:val="24"/>
          <w:lang w:val="en-GB"/>
        </w:rPr>
      </w:pPr>
    </w:p>
    <w:p w14:paraId="510C6E5A" w14:textId="6961D824" w:rsidR="0031037A" w:rsidRPr="006E4425" w:rsidRDefault="0031037A" w:rsidP="0031037A">
      <w:pPr>
        <w:pStyle w:val="ListParagraph"/>
        <w:spacing w:line="480" w:lineRule="auto"/>
        <w:ind w:left="0"/>
        <w:jc w:val="both"/>
        <w:rPr>
          <w:rFonts w:ascii="Times New Roman" w:hAnsi="Times New Roman" w:cs="Times New Roman"/>
          <w:b/>
          <w:bCs/>
          <w:iCs/>
          <w:sz w:val="24"/>
          <w:szCs w:val="24"/>
          <w:lang w:val="en-GB"/>
        </w:rPr>
      </w:pPr>
      <w:r w:rsidRPr="006E4425">
        <w:rPr>
          <w:rFonts w:ascii="Times New Roman" w:hAnsi="Times New Roman" w:cs="Times New Roman"/>
          <w:b/>
          <w:bCs/>
          <w:iCs/>
          <w:sz w:val="24"/>
          <w:szCs w:val="24"/>
          <w:lang w:val="en-GB"/>
        </w:rPr>
        <w:t xml:space="preserve">Data </w:t>
      </w:r>
      <w:r>
        <w:rPr>
          <w:rFonts w:ascii="Times New Roman" w:hAnsi="Times New Roman" w:cs="Times New Roman"/>
          <w:b/>
          <w:bCs/>
          <w:iCs/>
          <w:sz w:val="24"/>
          <w:szCs w:val="24"/>
          <w:lang w:val="en-GB"/>
        </w:rPr>
        <w:t>E</w:t>
      </w:r>
      <w:r w:rsidRPr="006E4425">
        <w:rPr>
          <w:rFonts w:ascii="Times New Roman" w:hAnsi="Times New Roman" w:cs="Times New Roman"/>
          <w:b/>
          <w:bCs/>
          <w:iCs/>
          <w:sz w:val="24"/>
          <w:szCs w:val="24"/>
          <w:lang w:val="en-GB"/>
        </w:rPr>
        <w:t>xtraction</w:t>
      </w:r>
    </w:p>
    <w:p w14:paraId="64F26183" w14:textId="77777777" w:rsidR="0031037A" w:rsidRPr="006E4425" w:rsidRDefault="0031037A" w:rsidP="0031037A">
      <w:pPr>
        <w:spacing w:line="480" w:lineRule="auto"/>
        <w:jc w:val="both"/>
        <w:rPr>
          <w:rFonts w:ascii="Times New Roman" w:hAnsi="Times New Roman" w:cs="Times New Roman"/>
          <w:sz w:val="24"/>
          <w:szCs w:val="24"/>
          <w:lang w:val="en-GB"/>
        </w:rPr>
      </w:pPr>
      <w:r w:rsidRPr="006E4425">
        <w:rPr>
          <w:rFonts w:ascii="Times New Roman" w:hAnsi="Times New Roman" w:cs="Times New Roman"/>
          <w:sz w:val="24"/>
          <w:szCs w:val="24"/>
          <w:lang w:val="en-GB"/>
        </w:rPr>
        <w:lastRenderedPageBreak/>
        <w:t>The data was extracted from the full text of the studies in a pre-piloted Excel-based data extraction form to record and analyse the required information from each of the identified studies. Data extraction was done by the first reviewer and verified by a second reviewer. The data extracted from the included studies consisted of- report characteristics including type of article, period of publication, and region of publication; study characteristics related to study design: sample size, comparator; population: participant demographics, staging, grading, the subtype of NSCLC, prior treatment or surgery; prognostic factor: samples collected and procedures performed for measurement and localization of Treg cells, biomarkers evaluated; outcomes: results related to measurement and localization of Tregs, statistical test performed for the primary outcome, univariate and/or multivariate HRs with confidence interval and p-value for OS, PFS, DFS, or RFS, values of other estimates such as correlation coefficient, and data related to recurrence and metastasis. The automation tool “MaiA” was used to facilitate the extraction of data.</w:t>
      </w:r>
    </w:p>
    <w:bookmarkEnd w:id="0"/>
    <w:p w14:paraId="0F009B34" w14:textId="77777777" w:rsidR="0031037A" w:rsidRPr="0031037A" w:rsidRDefault="0031037A" w:rsidP="008C1101">
      <w:pPr>
        <w:spacing w:line="480" w:lineRule="auto"/>
        <w:rPr>
          <w:rFonts w:ascii="Times New Roman" w:hAnsi="Times New Roman" w:cs="Times New Roman"/>
          <w:sz w:val="24"/>
          <w:szCs w:val="24"/>
          <w:lang w:val="en-GB"/>
        </w:rPr>
      </w:pPr>
    </w:p>
    <w:sectPr w:rsidR="0031037A" w:rsidRPr="003103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9BA"/>
    <w:rsid w:val="0031037A"/>
    <w:rsid w:val="005F633E"/>
    <w:rsid w:val="00743949"/>
    <w:rsid w:val="00764A3E"/>
    <w:rsid w:val="008C1101"/>
    <w:rsid w:val="009217B9"/>
    <w:rsid w:val="009568F7"/>
    <w:rsid w:val="00B909BA"/>
    <w:rsid w:val="00DB7C0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534F7"/>
  <w15:chartTrackingRefBased/>
  <w15:docId w15:val="{5E8BE6C8-E52F-44CC-9E2B-F2CC87415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037A"/>
    <w:pPr>
      <w:ind w:left="720"/>
      <w:contextualSpacing/>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2266</Words>
  <Characters>12921</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MW21</dc:creator>
  <cp:keywords/>
  <dc:description/>
  <cp:lastModifiedBy>MW21</cp:lastModifiedBy>
  <cp:revision>6</cp:revision>
  <dcterms:created xsi:type="dcterms:W3CDTF">2023-11-26T09:00:00Z</dcterms:created>
  <dcterms:modified xsi:type="dcterms:W3CDTF">2024-02-11T16:31:00Z</dcterms:modified>
</cp:coreProperties>
</file>