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85F43" w14:textId="7C100EA0" w:rsidR="003B00D9" w:rsidRDefault="003B00D9" w:rsidP="003B00D9">
      <w:pPr>
        <w:spacing w:line="276" w:lineRule="auto"/>
        <w:jc w:val="both"/>
        <w:rPr>
          <w:b/>
          <w:bCs/>
        </w:rPr>
      </w:pPr>
      <w:r w:rsidRPr="00FC67EC">
        <w:rPr>
          <w:b/>
          <w:bCs/>
        </w:rPr>
        <w:t xml:space="preserve">Supplementary material </w:t>
      </w:r>
      <w:r>
        <w:rPr>
          <w:b/>
          <w:bCs/>
        </w:rPr>
        <w:t>(for online publication)</w:t>
      </w:r>
    </w:p>
    <w:p w14:paraId="4C3B6857" w14:textId="77777777" w:rsidR="003B00D9" w:rsidRPr="0011076B" w:rsidRDefault="003B00D9" w:rsidP="003B00D9">
      <w:pPr>
        <w:spacing w:line="276" w:lineRule="auto"/>
        <w:jc w:val="both"/>
        <w:rPr>
          <w:b/>
          <w:bCs/>
        </w:rPr>
      </w:pPr>
    </w:p>
    <w:p w14:paraId="1E1EAF61" w14:textId="5E956059" w:rsidR="003B00D9" w:rsidRPr="0011076B" w:rsidRDefault="00E92635" w:rsidP="003B00D9">
      <w:pPr>
        <w:jc w:val="both"/>
        <w:rPr>
          <w:b/>
          <w:bCs/>
        </w:rPr>
      </w:pPr>
      <w:r>
        <w:rPr>
          <w:b/>
          <w:bCs/>
        </w:rPr>
        <w:t>Additional</w:t>
      </w:r>
      <w:r w:rsidR="0011076B" w:rsidRPr="0011076B">
        <w:rPr>
          <w:b/>
          <w:bCs/>
        </w:rPr>
        <w:t xml:space="preserve"> table1</w:t>
      </w:r>
      <w:r w:rsidR="003B00D9" w:rsidRPr="0011076B">
        <w:rPr>
          <w:b/>
          <w:bCs/>
        </w:rPr>
        <w:t xml:space="preserve"> : Micronutrient composition of nano-fortified oil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B00D9" w:rsidRPr="00FD0166" w14:paraId="7FEF2789" w14:textId="77777777" w:rsidTr="00AE4682">
        <w:tc>
          <w:tcPr>
            <w:tcW w:w="3116" w:type="dxa"/>
          </w:tcPr>
          <w:p w14:paraId="1A3AEF43" w14:textId="77777777" w:rsidR="003B00D9" w:rsidRPr="00FD0166" w:rsidRDefault="003B00D9" w:rsidP="00AE4682">
            <w:pPr>
              <w:jc w:val="center"/>
              <w:rPr>
                <w:rFonts w:cstheme="minorHAnsi"/>
                <w:b/>
                <w:bCs/>
              </w:rPr>
            </w:pPr>
            <w:r w:rsidRPr="00FD0166">
              <w:rPr>
                <w:rFonts w:cstheme="minorHAnsi"/>
                <w:b/>
                <w:bCs/>
              </w:rPr>
              <w:t>Composition per unit dose (2.5ml)</w:t>
            </w:r>
          </w:p>
        </w:tc>
        <w:tc>
          <w:tcPr>
            <w:tcW w:w="3117" w:type="dxa"/>
          </w:tcPr>
          <w:p w14:paraId="61F99AB4" w14:textId="77777777" w:rsidR="003B00D9" w:rsidRPr="00FD0166" w:rsidRDefault="003B00D9" w:rsidP="00AE4682">
            <w:pPr>
              <w:jc w:val="center"/>
              <w:rPr>
                <w:rFonts w:cstheme="minorHAnsi"/>
                <w:b/>
                <w:bCs/>
              </w:rPr>
            </w:pPr>
            <w:r w:rsidRPr="00FD0166">
              <w:rPr>
                <w:rFonts w:cstheme="minorHAnsi"/>
                <w:b/>
                <w:bCs/>
                <w:kern w:val="24"/>
              </w:rPr>
              <w:t>1-6 months</w:t>
            </w:r>
          </w:p>
        </w:tc>
        <w:tc>
          <w:tcPr>
            <w:tcW w:w="3117" w:type="dxa"/>
          </w:tcPr>
          <w:p w14:paraId="3FB0E287" w14:textId="77777777" w:rsidR="003B00D9" w:rsidRPr="00FD0166" w:rsidRDefault="003B00D9" w:rsidP="00AE4682">
            <w:pPr>
              <w:jc w:val="center"/>
              <w:rPr>
                <w:rFonts w:cstheme="minorHAnsi"/>
                <w:b/>
                <w:bCs/>
              </w:rPr>
            </w:pPr>
            <w:r w:rsidRPr="00FD0166">
              <w:rPr>
                <w:rFonts w:cstheme="minorHAnsi"/>
                <w:b/>
                <w:bCs/>
                <w:kern w:val="24"/>
              </w:rPr>
              <w:t>6-12 months</w:t>
            </w:r>
          </w:p>
        </w:tc>
      </w:tr>
      <w:tr w:rsidR="003B00D9" w:rsidRPr="00FD0166" w14:paraId="4224110B" w14:textId="77777777" w:rsidTr="00AE4682">
        <w:tc>
          <w:tcPr>
            <w:tcW w:w="3116" w:type="dxa"/>
          </w:tcPr>
          <w:p w14:paraId="14CCB273" w14:textId="77777777" w:rsidR="003B00D9" w:rsidRPr="00FD0166" w:rsidRDefault="003B00D9" w:rsidP="00AE4682">
            <w:pPr>
              <w:jc w:val="both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 xml:space="preserve">Elemental iron </w:t>
            </w:r>
          </w:p>
        </w:tc>
        <w:tc>
          <w:tcPr>
            <w:tcW w:w="3117" w:type="dxa"/>
          </w:tcPr>
          <w:p w14:paraId="0BE6AD0A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0.5 mg</w:t>
            </w:r>
          </w:p>
        </w:tc>
        <w:tc>
          <w:tcPr>
            <w:tcW w:w="3117" w:type="dxa"/>
          </w:tcPr>
          <w:p w14:paraId="2B890225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1.5 mg</w:t>
            </w:r>
          </w:p>
        </w:tc>
      </w:tr>
      <w:tr w:rsidR="003B00D9" w:rsidRPr="00FD0166" w14:paraId="0A0AD83F" w14:textId="77777777" w:rsidTr="00AE4682">
        <w:tc>
          <w:tcPr>
            <w:tcW w:w="3116" w:type="dxa"/>
          </w:tcPr>
          <w:p w14:paraId="7CAEB766" w14:textId="77777777" w:rsidR="003B00D9" w:rsidRPr="00FD0166" w:rsidRDefault="003B00D9" w:rsidP="00AE4682">
            <w:pPr>
              <w:jc w:val="both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Folate</w:t>
            </w:r>
          </w:p>
        </w:tc>
        <w:tc>
          <w:tcPr>
            <w:tcW w:w="3117" w:type="dxa"/>
          </w:tcPr>
          <w:p w14:paraId="55BEAD2E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40 mcg</w:t>
            </w:r>
          </w:p>
        </w:tc>
        <w:tc>
          <w:tcPr>
            <w:tcW w:w="3117" w:type="dxa"/>
          </w:tcPr>
          <w:p w14:paraId="0F06918F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40 mcg</w:t>
            </w:r>
          </w:p>
        </w:tc>
      </w:tr>
      <w:tr w:rsidR="003B00D9" w:rsidRPr="00FD0166" w14:paraId="4CA2E606" w14:textId="77777777" w:rsidTr="00AE4682">
        <w:tc>
          <w:tcPr>
            <w:tcW w:w="3116" w:type="dxa"/>
          </w:tcPr>
          <w:p w14:paraId="5D168C54" w14:textId="77777777" w:rsidR="003B00D9" w:rsidRPr="00FD0166" w:rsidRDefault="003B00D9" w:rsidP="00AE4682">
            <w:pPr>
              <w:jc w:val="both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Vitamin B12</w:t>
            </w:r>
          </w:p>
        </w:tc>
        <w:tc>
          <w:tcPr>
            <w:tcW w:w="3117" w:type="dxa"/>
          </w:tcPr>
          <w:p w14:paraId="45124922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0.3 mcg</w:t>
            </w:r>
          </w:p>
        </w:tc>
        <w:tc>
          <w:tcPr>
            <w:tcW w:w="3117" w:type="dxa"/>
          </w:tcPr>
          <w:p w14:paraId="698C764A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0.3 mcg</w:t>
            </w:r>
          </w:p>
        </w:tc>
      </w:tr>
      <w:tr w:rsidR="003B00D9" w:rsidRPr="00FD0166" w14:paraId="4B71267E" w14:textId="77777777" w:rsidTr="00AE4682">
        <w:tc>
          <w:tcPr>
            <w:tcW w:w="3116" w:type="dxa"/>
          </w:tcPr>
          <w:p w14:paraId="205F58A9" w14:textId="77777777" w:rsidR="003B00D9" w:rsidRPr="00FD0166" w:rsidRDefault="003B00D9" w:rsidP="00AE4682">
            <w:pPr>
              <w:jc w:val="both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Vitamin D3</w:t>
            </w:r>
          </w:p>
        </w:tc>
        <w:tc>
          <w:tcPr>
            <w:tcW w:w="3117" w:type="dxa"/>
          </w:tcPr>
          <w:p w14:paraId="04D91521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400 IU</w:t>
            </w:r>
          </w:p>
        </w:tc>
        <w:tc>
          <w:tcPr>
            <w:tcW w:w="3117" w:type="dxa"/>
          </w:tcPr>
          <w:p w14:paraId="170C3C47" w14:textId="77777777" w:rsidR="003B00D9" w:rsidRPr="00FD0166" w:rsidRDefault="003B00D9" w:rsidP="00AE4682">
            <w:pPr>
              <w:jc w:val="center"/>
              <w:rPr>
                <w:rFonts w:cstheme="minorHAnsi"/>
              </w:rPr>
            </w:pPr>
            <w:r w:rsidRPr="00FD0166">
              <w:rPr>
                <w:rFonts w:cstheme="minorHAnsi"/>
                <w:color w:val="000000" w:themeColor="dark1"/>
                <w:kern w:val="24"/>
              </w:rPr>
              <w:t>400 IU</w:t>
            </w:r>
          </w:p>
        </w:tc>
      </w:tr>
    </w:tbl>
    <w:p w14:paraId="4EDE7A2D" w14:textId="77777777" w:rsidR="003B00D9" w:rsidRPr="00FD0166" w:rsidRDefault="003B00D9" w:rsidP="003B00D9">
      <w:pPr>
        <w:jc w:val="both"/>
        <w:rPr>
          <w:sz w:val="18"/>
          <w:szCs w:val="18"/>
        </w:rPr>
      </w:pPr>
      <w:r w:rsidRPr="00FD0166">
        <w:rPr>
          <w:sz w:val="18"/>
          <w:szCs w:val="18"/>
        </w:rPr>
        <w:t xml:space="preserve">Base oil used : sunflower seed oil </w:t>
      </w:r>
    </w:p>
    <w:p w14:paraId="4801F859" w14:textId="77777777" w:rsidR="003B00D9" w:rsidRPr="0011076B" w:rsidRDefault="003B00D9" w:rsidP="003B00D9">
      <w:pPr>
        <w:rPr>
          <w:b/>
          <w:bCs/>
        </w:rPr>
      </w:pPr>
    </w:p>
    <w:p w14:paraId="0EA14CAC" w14:textId="6A472299" w:rsidR="003B00D9" w:rsidRPr="0011076B" w:rsidRDefault="00E92635" w:rsidP="003B00D9">
      <w:pPr>
        <w:jc w:val="both"/>
        <w:rPr>
          <w:b/>
          <w:bCs/>
        </w:rPr>
      </w:pPr>
      <w:r>
        <w:rPr>
          <w:b/>
          <w:bCs/>
        </w:rPr>
        <w:t>Additiona</w:t>
      </w:r>
      <w:r w:rsidR="0011076B" w:rsidRPr="0011076B">
        <w:rPr>
          <w:b/>
          <w:bCs/>
        </w:rPr>
        <w:t>l Table2</w:t>
      </w:r>
      <w:r w:rsidR="003B00D9" w:rsidRPr="0011076B">
        <w:rPr>
          <w:b/>
          <w:bCs/>
        </w:rPr>
        <w:t>: Tolerability and acceptability of nano-fortified oil in adults and children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039"/>
        <w:gridCol w:w="2276"/>
        <w:gridCol w:w="2430"/>
        <w:gridCol w:w="2610"/>
      </w:tblGrid>
      <w:tr w:rsidR="003B00D9" w:rsidRPr="00E448D4" w14:paraId="0B8BC434" w14:textId="77777777" w:rsidTr="00AE4682">
        <w:tc>
          <w:tcPr>
            <w:tcW w:w="2039" w:type="dxa"/>
          </w:tcPr>
          <w:p w14:paraId="5D0709E5" w14:textId="77777777" w:rsidR="003B00D9" w:rsidRPr="00E448D4" w:rsidRDefault="003B00D9" w:rsidP="00AE4682">
            <w:pPr>
              <w:jc w:val="both"/>
              <w:rPr>
                <w:b/>
                <w:bCs/>
              </w:rPr>
            </w:pPr>
            <w:r w:rsidRPr="00E448D4">
              <w:rPr>
                <w:b/>
                <w:bCs/>
              </w:rPr>
              <w:t xml:space="preserve">Type of study </w:t>
            </w:r>
          </w:p>
        </w:tc>
        <w:tc>
          <w:tcPr>
            <w:tcW w:w="2276" w:type="dxa"/>
          </w:tcPr>
          <w:p w14:paraId="721384DC" w14:textId="77777777" w:rsidR="003B00D9" w:rsidRPr="00E448D4" w:rsidRDefault="003B00D9" w:rsidP="00AE4682">
            <w:pPr>
              <w:jc w:val="both"/>
              <w:rPr>
                <w:b/>
                <w:bCs/>
              </w:rPr>
            </w:pPr>
            <w:r w:rsidRPr="00E448D4">
              <w:rPr>
                <w:b/>
                <w:bCs/>
              </w:rPr>
              <w:t xml:space="preserve">Baseline MIS </w:t>
            </w:r>
          </w:p>
        </w:tc>
        <w:tc>
          <w:tcPr>
            <w:tcW w:w="2430" w:type="dxa"/>
          </w:tcPr>
          <w:p w14:paraId="71DCD09F" w14:textId="77777777" w:rsidR="003B00D9" w:rsidRPr="00E448D4" w:rsidRDefault="003B00D9" w:rsidP="00AE4682">
            <w:pPr>
              <w:jc w:val="both"/>
              <w:rPr>
                <w:b/>
                <w:bCs/>
              </w:rPr>
            </w:pPr>
            <w:r w:rsidRPr="00E448D4">
              <w:rPr>
                <w:b/>
                <w:bCs/>
              </w:rPr>
              <w:t>Post-completion  MIS</w:t>
            </w:r>
          </w:p>
        </w:tc>
        <w:tc>
          <w:tcPr>
            <w:tcW w:w="2610" w:type="dxa"/>
          </w:tcPr>
          <w:p w14:paraId="3F3C68C3" w14:textId="77777777" w:rsidR="003B00D9" w:rsidRPr="00E448D4" w:rsidRDefault="003B00D9" w:rsidP="00AE4682">
            <w:pPr>
              <w:jc w:val="both"/>
              <w:rPr>
                <w:b/>
                <w:bCs/>
              </w:rPr>
            </w:pPr>
            <w:r w:rsidRPr="00E448D4">
              <w:rPr>
                <w:b/>
                <w:bCs/>
              </w:rPr>
              <w:t xml:space="preserve">Irritancy assessment </w:t>
            </w:r>
          </w:p>
        </w:tc>
      </w:tr>
      <w:tr w:rsidR="003B00D9" w:rsidRPr="00E448D4" w14:paraId="3ADAC829" w14:textId="77777777" w:rsidTr="00AE4682">
        <w:tc>
          <w:tcPr>
            <w:tcW w:w="2039" w:type="dxa"/>
          </w:tcPr>
          <w:p w14:paraId="0BF2BDAF" w14:textId="77777777" w:rsidR="003B00D9" w:rsidRPr="00FE74E5" w:rsidRDefault="003B00D9" w:rsidP="00AE4682">
            <w:pPr>
              <w:jc w:val="both"/>
            </w:pPr>
            <w:r w:rsidRPr="00FE74E5">
              <w:t xml:space="preserve">24-hrs irritation patch test </w:t>
            </w:r>
            <w:r>
              <w:t xml:space="preserve">amongst adults </w:t>
            </w:r>
            <w:r w:rsidRPr="00FE74E5">
              <w:t>(n=26)</w:t>
            </w:r>
          </w:p>
        </w:tc>
        <w:tc>
          <w:tcPr>
            <w:tcW w:w="2276" w:type="dxa"/>
          </w:tcPr>
          <w:p w14:paraId="7A639E4A" w14:textId="77777777" w:rsidR="003B00D9" w:rsidRPr="00FE74E5" w:rsidRDefault="003B00D9" w:rsidP="00AE4682">
            <w:pPr>
              <w:jc w:val="center"/>
            </w:pPr>
            <w:r w:rsidRPr="00FE74E5">
              <w:t>1.53</w:t>
            </w:r>
          </w:p>
        </w:tc>
        <w:tc>
          <w:tcPr>
            <w:tcW w:w="2430" w:type="dxa"/>
          </w:tcPr>
          <w:p w14:paraId="5ABC742B" w14:textId="77777777" w:rsidR="003B00D9" w:rsidRPr="00FE74E5" w:rsidRDefault="003B00D9" w:rsidP="00AE4682">
            <w:pPr>
              <w:jc w:val="center"/>
            </w:pPr>
            <w:r w:rsidRPr="00FE74E5">
              <w:t>0</w:t>
            </w:r>
          </w:p>
        </w:tc>
        <w:tc>
          <w:tcPr>
            <w:tcW w:w="2610" w:type="dxa"/>
          </w:tcPr>
          <w:p w14:paraId="0AC1760F" w14:textId="77777777" w:rsidR="003B00D9" w:rsidRPr="00FE74E5" w:rsidRDefault="003B00D9" w:rsidP="00AE4682">
            <w:pPr>
              <w:jc w:val="center"/>
            </w:pPr>
            <w:r w:rsidRPr="00FE74E5">
              <w:t>Non-irritant</w:t>
            </w:r>
          </w:p>
        </w:tc>
      </w:tr>
      <w:tr w:rsidR="003B00D9" w:rsidRPr="00E448D4" w14:paraId="22B6D85D" w14:textId="77777777" w:rsidTr="00AE4682">
        <w:tc>
          <w:tcPr>
            <w:tcW w:w="2039" w:type="dxa"/>
          </w:tcPr>
          <w:p w14:paraId="763D94E6" w14:textId="77777777" w:rsidR="003B00D9" w:rsidRPr="00E448D4" w:rsidRDefault="003B00D9" w:rsidP="00AE4682">
            <w:pPr>
              <w:jc w:val="both"/>
            </w:pPr>
            <w:r w:rsidRPr="00E448D4">
              <w:t xml:space="preserve">15-days tolerability in adults </w:t>
            </w:r>
            <w:r>
              <w:t>(n=15)</w:t>
            </w:r>
          </w:p>
        </w:tc>
        <w:tc>
          <w:tcPr>
            <w:tcW w:w="2276" w:type="dxa"/>
          </w:tcPr>
          <w:p w14:paraId="33862AC0" w14:textId="77777777" w:rsidR="003B00D9" w:rsidRPr="00E448D4" w:rsidRDefault="003B00D9" w:rsidP="00AE4682">
            <w:pPr>
              <w:jc w:val="center"/>
            </w:pPr>
            <w:r>
              <w:t>0</w:t>
            </w:r>
          </w:p>
        </w:tc>
        <w:tc>
          <w:tcPr>
            <w:tcW w:w="2430" w:type="dxa"/>
          </w:tcPr>
          <w:p w14:paraId="3D22D082" w14:textId="77777777" w:rsidR="003B00D9" w:rsidRPr="00E448D4" w:rsidRDefault="003B00D9" w:rsidP="00AE4682">
            <w:pPr>
              <w:jc w:val="center"/>
            </w:pPr>
            <w:r>
              <w:t>0.033</w:t>
            </w:r>
          </w:p>
        </w:tc>
        <w:tc>
          <w:tcPr>
            <w:tcW w:w="2610" w:type="dxa"/>
          </w:tcPr>
          <w:p w14:paraId="7BA5CD03" w14:textId="77777777" w:rsidR="003B00D9" w:rsidRPr="00E448D4" w:rsidRDefault="003B00D9" w:rsidP="00AE4682">
            <w:pPr>
              <w:jc w:val="center"/>
            </w:pPr>
            <w:r>
              <w:t>Non-irritant</w:t>
            </w:r>
          </w:p>
        </w:tc>
      </w:tr>
      <w:tr w:rsidR="003B00D9" w:rsidRPr="00E448D4" w14:paraId="48951CB2" w14:textId="77777777" w:rsidTr="00AE4682">
        <w:tc>
          <w:tcPr>
            <w:tcW w:w="2039" w:type="dxa"/>
          </w:tcPr>
          <w:p w14:paraId="5B972D64" w14:textId="77777777" w:rsidR="003B00D9" w:rsidRPr="00E448D4" w:rsidRDefault="003B00D9" w:rsidP="00AE4682">
            <w:pPr>
              <w:jc w:val="both"/>
            </w:pPr>
            <w:r w:rsidRPr="00E448D4">
              <w:t xml:space="preserve">15-days tolerability in children </w:t>
            </w:r>
            <w:r>
              <w:t>(n=15)</w:t>
            </w:r>
          </w:p>
        </w:tc>
        <w:tc>
          <w:tcPr>
            <w:tcW w:w="2276" w:type="dxa"/>
          </w:tcPr>
          <w:p w14:paraId="51B54BB7" w14:textId="77777777" w:rsidR="003B00D9" w:rsidRPr="00E448D4" w:rsidRDefault="003B00D9" w:rsidP="00AE4682">
            <w:pPr>
              <w:jc w:val="center"/>
            </w:pPr>
            <w:r>
              <w:t>0.0769</w:t>
            </w:r>
          </w:p>
        </w:tc>
        <w:tc>
          <w:tcPr>
            <w:tcW w:w="2430" w:type="dxa"/>
          </w:tcPr>
          <w:p w14:paraId="33268505" w14:textId="77777777" w:rsidR="003B00D9" w:rsidRPr="00E448D4" w:rsidRDefault="003B00D9" w:rsidP="00AE4682">
            <w:pPr>
              <w:jc w:val="center"/>
            </w:pPr>
            <w:r>
              <w:t>0</w:t>
            </w:r>
          </w:p>
        </w:tc>
        <w:tc>
          <w:tcPr>
            <w:tcW w:w="2610" w:type="dxa"/>
          </w:tcPr>
          <w:p w14:paraId="67C9ECFA" w14:textId="77777777" w:rsidR="003B00D9" w:rsidRPr="00E448D4" w:rsidRDefault="003B00D9" w:rsidP="00AE4682">
            <w:pPr>
              <w:jc w:val="center"/>
            </w:pPr>
            <w:r>
              <w:t>Non-irritant</w:t>
            </w:r>
          </w:p>
        </w:tc>
      </w:tr>
    </w:tbl>
    <w:p w14:paraId="1B7AA565" w14:textId="77777777" w:rsidR="003B00D9" w:rsidRPr="00E448D4" w:rsidRDefault="003B00D9" w:rsidP="003B00D9">
      <w:pPr>
        <w:jc w:val="both"/>
        <w:rPr>
          <w:sz w:val="18"/>
          <w:szCs w:val="18"/>
        </w:rPr>
      </w:pPr>
      <w:r w:rsidRPr="00E448D4">
        <w:rPr>
          <w:sz w:val="18"/>
          <w:szCs w:val="18"/>
        </w:rPr>
        <w:t xml:space="preserve">MIS – Mean irritation score which mainly assesses erythema and dryness at the site of local application, score more than 1 indicates irritation   </w:t>
      </w:r>
    </w:p>
    <w:p w14:paraId="4B27C72B" w14:textId="77777777" w:rsidR="003B00D9" w:rsidRDefault="003B00D9" w:rsidP="003B00D9"/>
    <w:p w14:paraId="50108E4B" w14:textId="77777777" w:rsidR="003B00D9" w:rsidRPr="00BF59C4" w:rsidRDefault="003B00D9" w:rsidP="003B00D9">
      <w:pPr>
        <w:spacing w:line="276" w:lineRule="auto"/>
        <w:jc w:val="both"/>
      </w:pPr>
    </w:p>
    <w:p w14:paraId="262FACA3" w14:textId="0B19655B" w:rsidR="003B00D9" w:rsidRPr="0011076B" w:rsidRDefault="003B00D9" w:rsidP="003B00D9">
      <w:pPr>
        <w:spacing w:line="276" w:lineRule="auto"/>
        <w:jc w:val="both"/>
        <w:rPr>
          <w:b/>
          <w:bCs/>
        </w:rPr>
      </w:pPr>
      <w:r w:rsidRPr="00BF59C4">
        <w:rPr>
          <w:noProof/>
        </w:rPr>
        <w:lastRenderedPageBreak/>
        <w:drawing>
          <wp:inline distT="0" distB="0" distL="0" distR="0" wp14:anchorId="3A5C2F71" wp14:editId="7D94DD3C">
            <wp:extent cx="5943600" cy="33432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635">
        <w:rPr>
          <w:b/>
          <w:bCs/>
        </w:rPr>
        <w:t>Additional</w:t>
      </w:r>
      <w:r w:rsidR="0011076B" w:rsidRPr="0011076B">
        <w:rPr>
          <w:b/>
          <w:bCs/>
        </w:rPr>
        <w:t xml:space="preserve"> figure1:</w:t>
      </w:r>
      <w:r w:rsidRPr="0011076B">
        <w:rPr>
          <w:b/>
          <w:bCs/>
        </w:rPr>
        <w:t xml:space="preserve"> Compliance to the intervention amongst LMF oil and placebo oil group</w:t>
      </w:r>
    </w:p>
    <w:p w14:paraId="0DFEB772" w14:textId="77777777" w:rsidR="003B00D9" w:rsidRPr="00BF59C4" w:rsidRDefault="003B00D9" w:rsidP="003B00D9">
      <w:pPr>
        <w:spacing w:line="276" w:lineRule="auto"/>
        <w:jc w:val="both"/>
        <w:rPr>
          <w:b/>
          <w:bCs/>
        </w:rPr>
      </w:pPr>
    </w:p>
    <w:p w14:paraId="7FD035CD" w14:textId="77777777" w:rsidR="003B00D9" w:rsidRPr="0011076B" w:rsidRDefault="003B00D9" w:rsidP="003B00D9">
      <w:pPr>
        <w:spacing w:line="276" w:lineRule="auto"/>
        <w:jc w:val="both"/>
        <w:rPr>
          <w:b/>
          <w:bCs/>
        </w:rPr>
      </w:pPr>
    </w:p>
    <w:p w14:paraId="71ACEBCF" w14:textId="167D73D3" w:rsidR="003B00D9" w:rsidRPr="0011076B" w:rsidRDefault="00E92635" w:rsidP="003B00D9">
      <w:pPr>
        <w:spacing w:line="276" w:lineRule="auto"/>
        <w:jc w:val="both"/>
        <w:rPr>
          <w:b/>
          <w:bCs/>
        </w:rPr>
      </w:pPr>
      <w:r>
        <w:rPr>
          <w:b/>
          <w:bCs/>
        </w:rPr>
        <w:t>Additional</w:t>
      </w:r>
      <w:r w:rsidR="0011076B" w:rsidRPr="0011076B">
        <w:rPr>
          <w:b/>
          <w:bCs/>
        </w:rPr>
        <w:t xml:space="preserve"> table3</w:t>
      </w:r>
      <w:r w:rsidR="003B00D9" w:rsidRPr="0011076B">
        <w:rPr>
          <w:b/>
          <w:bCs/>
        </w:rPr>
        <w:t>: Anthropometry and Nutritional Parameters at 6 months and 12 months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1414"/>
        <w:gridCol w:w="1415"/>
        <w:gridCol w:w="852"/>
        <w:gridCol w:w="1737"/>
        <w:gridCol w:w="1291"/>
        <w:gridCol w:w="1005"/>
      </w:tblGrid>
      <w:tr w:rsidR="003B00D9" w:rsidRPr="00BF59C4" w14:paraId="0117CB6B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11DF6B9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3681" w:type="dxa"/>
            <w:gridSpan w:val="3"/>
            <w:shd w:val="clear" w:color="auto" w:fill="auto"/>
          </w:tcPr>
          <w:p w14:paraId="432F88C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 xml:space="preserve">6 months </w:t>
            </w:r>
          </w:p>
        </w:tc>
        <w:tc>
          <w:tcPr>
            <w:tcW w:w="4033" w:type="dxa"/>
            <w:gridSpan w:val="3"/>
            <w:shd w:val="clear" w:color="auto" w:fill="auto"/>
          </w:tcPr>
          <w:p w14:paraId="119E021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 xml:space="preserve">12 months </w:t>
            </w:r>
          </w:p>
          <w:p w14:paraId="75C426F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</w:p>
        </w:tc>
      </w:tr>
      <w:tr w:rsidR="003B00D9" w:rsidRPr="00BF59C4" w14:paraId="737FADC2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08E37AC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1414" w:type="dxa"/>
            <w:shd w:val="clear" w:color="auto" w:fill="auto"/>
          </w:tcPr>
          <w:p w14:paraId="19E8D80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LMF oil</w:t>
            </w:r>
          </w:p>
          <w:p w14:paraId="14B4D72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(n=201)</w:t>
            </w:r>
          </w:p>
        </w:tc>
        <w:tc>
          <w:tcPr>
            <w:tcW w:w="1415" w:type="dxa"/>
            <w:shd w:val="clear" w:color="auto" w:fill="auto"/>
          </w:tcPr>
          <w:p w14:paraId="78ADE6D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 xml:space="preserve">Placebo oil </w:t>
            </w:r>
          </w:p>
          <w:p w14:paraId="427E949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(n=204)</w:t>
            </w:r>
          </w:p>
        </w:tc>
        <w:tc>
          <w:tcPr>
            <w:tcW w:w="852" w:type="dxa"/>
            <w:shd w:val="clear" w:color="auto" w:fill="auto"/>
          </w:tcPr>
          <w:p w14:paraId="0D18826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 xml:space="preserve">P value </w:t>
            </w:r>
          </w:p>
        </w:tc>
        <w:tc>
          <w:tcPr>
            <w:tcW w:w="1737" w:type="dxa"/>
            <w:shd w:val="clear" w:color="auto" w:fill="auto"/>
          </w:tcPr>
          <w:p w14:paraId="004ED5A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LMF oil</w:t>
            </w:r>
          </w:p>
          <w:p w14:paraId="6B67184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(n=190)</w:t>
            </w:r>
          </w:p>
        </w:tc>
        <w:tc>
          <w:tcPr>
            <w:tcW w:w="1291" w:type="dxa"/>
            <w:shd w:val="clear" w:color="auto" w:fill="auto"/>
          </w:tcPr>
          <w:p w14:paraId="6D1BF10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Placebo oil</w:t>
            </w:r>
          </w:p>
          <w:p w14:paraId="63FA847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>(n=201)</w:t>
            </w:r>
          </w:p>
        </w:tc>
        <w:tc>
          <w:tcPr>
            <w:tcW w:w="1005" w:type="dxa"/>
            <w:shd w:val="clear" w:color="auto" w:fill="auto"/>
          </w:tcPr>
          <w:p w14:paraId="1CB8AAD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/>
              </w:rPr>
              <w:t xml:space="preserve">P value </w:t>
            </w:r>
          </w:p>
        </w:tc>
      </w:tr>
      <w:tr w:rsidR="003B00D9" w:rsidRPr="00BF59C4" w14:paraId="32BE7610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0439E4A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Weight in kg [Mean ± SD]</w:t>
            </w:r>
          </w:p>
        </w:tc>
        <w:tc>
          <w:tcPr>
            <w:tcW w:w="1414" w:type="dxa"/>
            <w:shd w:val="clear" w:color="auto" w:fill="auto"/>
          </w:tcPr>
          <w:p w14:paraId="3C05101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</w:rPr>
            </w:pPr>
            <w:r w:rsidRPr="00BF59C4">
              <w:rPr>
                <w:rFonts w:eastAsia="Times New Roman" w:cstheme="minorHAnsi"/>
                <w:bCs/>
              </w:rPr>
              <w:t>7.05</w:t>
            </w:r>
            <w:r w:rsidRPr="00BF59C4">
              <w:rPr>
                <w:rFonts w:eastAsia="Times New Roman" w:cstheme="minorHAnsi"/>
                <w:b/>
              </w:rPr>
              <w:t xml:space="preserve"> </w:t>
            </w:r>
            <w:r w:rsidRPr="00BF59C4">
              <w:rPr>
                <w:rFonts w:eastAsia="Times New Roman" w:cstheme="minorHAnsi"/>
              </w:rPr>
              <w:t>± 0.83</w:t>
            </w:r>
          </w:p>
        </w:tc>
        <w:tc>
          <w:tcPr>
            <w:tcW w:w="1415" w:type="dxa"/>
            <w:shd w:val="clear" w:color="auto" w:fill="auto"/>
          </w:tcPr>
          <w:p w14:paraId="29480CA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>6.80 ±</w:t>
            </w:r>
            <w:r w:rsidRPr="00BF59C4">
              <w:rPr>
                <w:rFonts w:eastAsia="Times New Roman" w:cstheme="minorHAnsi"/>
              </w:rPr>
              <w:t xml:space="preserve"> 0.83 </w:t>
            </w:r>
          </w:p>
        </w:tc>
        <w:tc>
          <w:tcPr>
            <w:tcW w:w="852" w:type="dxa"/>
            <w:shd w:val="clear" w:color="auto" w:fill="auto"/>
          </w:tcPr>
          <w:p w14:paraId="4C19BCD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>0.13*</w:t>
            </w:r>
          </w:p>
        </w:tc>
        <w:tc>
          <w:tcPr>
            <w:tcW w:w="1737" w:type="dxa"/>
            <w:shd w:val="clear" w:color="auto" w:fill="auto"/>
          </w:tcPr>
          <w:p w14:paraId="126DF54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8.48 </w:t>
            </w:r>
            <w:r w:rsidRPr="00BF59C4">
              <w:rPr>
                <w:rFonts w:eastAsia="Times New Roman" w:cstheme="minorHAnsi"/>
              </w:rPr>
              <w:t>±</w:t>
            </w:r>
            <w:r w:rsidRPr="00BF59C4">
              <w:rPr>
                <w:rFonts w:eastAsia="Times New Roman" w:cstheme="minorHAnsi"/>
                <w:bCs/>
              </w:rPr>
              <w:t xml:space="preserve"> 1.03</w:t>
            </w:r>
          </w:p>
        </w:tc>
        <w:tc>
          <w:tcPr>
            <w:tcW w:w="1291" w:type="dxa"/>
            <w:shd w:val="clear" w:color="auto" w:fill="auto"/>
          </w:tcPr>
          <w:p w14:paraId="1F67334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8.23 </w:t>
            </w:r>
            <w:r w:rsidRPr="00BF59C4">
              <w:rPr>
                <w:rFonts w:eastAsia="Times New Roman" w:cstheme="minorHAnsi"/>
              </w:rPr>
              <w:t>±</w:t>
            </w:r>
            <w:r w:rsidRPr="00BF59C4">
              <w:rPr>
                <w:rFonts w:eastAsia="Times New Roman" w:cstheme="minorHAnsi"/>
                <w:bCs/>
              </w:rPr>
              <w:t xml:space="preserve"> 0.97</w:t>
            </w:r>
          </w:p>
        </w:tc>
        <w:tc>
          <w:tcPr>
            <w:tcW w:w="1005" w:type="dxa"/>
            <w:shd w:val="clear" w:color="auto" w:fill="auto"/>
          </w:tcPr>
          <w:p w14:paraId="552620A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>0.08*</w:t>
            </w:r>
          </w:p>
        </w:tc>
      </w:tr>
      <w:tr w:rsidR="003B00D9" w:rsidRPr="00BF59C4" w14:paraId="6DB23D1A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4FC418C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Height in cm [Mean ± SD]</w:t>
            </w:r>
          </w:p>
        </w:tc>
        <w:tc>
          <w:tcPr>
            <w:tcW w:w="1414" w:type="dxa"/>
            <w:shd w:val="clear" w:color="auto" w:fill="auto"/>
          </w:tcPr>
          <w:p w14:paraId="30F789B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65.72 </w:t>
            </w:r>
            <w:r w:rsidRPr="00BF59C4">
              <w:rPr>
                <w:rFonts w:eastAsia="Times New Roman" w:cstheme="minorHAnsi"/>
              </w:rPr>
              <w:t>± 2.65</w:t>
            </w:r>
          </w:p>
        </w:tc>
        <w:tc>
          <w:tcPr>
            <w:tcW w:w="1415" w:type="dxa"/>
            <w:shd w:val="clear" w:color="auto" w:fill="auto"/>
          </w:tcPr>
          <w:p w14:paraId="236C3D1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65.50 </w:t>
            </w:r>
            <w:r w:rsidRPr="00BF59C4">
              <w:rPr>
                <w:rFonts w:eastAsia="Times New Roman" w:cstheme="minorHAnsi"/>
              </w:rPr>
              <w:t xml:space="preserve">± 2.63 </w:t>
            </w:r>
          </w:p>
        </w:tc>
        <w:tc>
          <w:tcPr>
            <w:tcW w:w="852" w:type="dxa"/>
            <w:shd w:val="clear" w:color="auto" w:fill="auto"/>
          </w:tcPr>
          <w:p w14:paraId="0A70EAB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>0.20</w:t>
            </w:r>
          </w:p>
        </w:tc>
        <w:tc>
          <w:tcPr>
            <w:tcW w:w="1737" w:type="dxa"/>
            <w:shd w:val="clear" w:color="auto" w:fill="auto"/>
          </w:tcPr>
          <w:p w14:paraId="28E8060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73.06 </w:t>
            </w:r>
            <w:r w:rsidRPr="00BF59C4">
              <w:rPr>
                <w:rFonts w:eastAsia="Times New Roman" w:cstheme="minorHAnsi"/>
              </w:rPr>
              <w:t>±</w:t>
            </w:r>
            <w:r w:rsidRPr="00BF59C4">
              <w:rPr>
                <w:rFonts w:eastAsia="Times New Roman" w:cstheme="minorHAnsi"/>
                <w:bCs/>
              </w:rPr>
              <w:t xml:space="preserve"> 2.83</w:t>
            </w:r>
          </w:p>
        </w:tc>
        <w:tc>
          <w:tcPr>
            <w:tcW w:w="1291" w:type="dxa"/>
            <w:shd w:val="clear" w:color="auto" w:fill="auto"/>
          </w:tcPr>
          <w:p w14:paraId="683D0FB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 xml:space="preserve">72.70 </w:t>
            </w:r>
            <w:r w:rsidRPr="00BF59C4">
              <w:rPr>
                <w:rFonts w:eastAsia="Times New Roman" w:cstheme="minorHAnsi"/>
              </w:rPr>
              <w:t>±</w:t>
            </w:r>
            <w:r w:rsidRPr="00BF59C4">
              <w:rPr>
                <w:rFonts w:eastAsia="Times New Roman" w:cstheme="minorHAnsi"/>
                <w:bCs/>
              </w:rPr>
              <w:t xml:space="preserve"> 2.76</w:t>
            </w:r>
          </w:p>
        </w:tc>
        <w:tc>
          <w:tcPr>
            <w:tcW w:w="1005" w:type="dxa"/>
            <w:shd w:val="clear" w:color="auto" w:fill="auto"/>
          </w:tcPr>
          <w:p w14:paraId="098FD38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Cs/>
              </w:rPr>
            </w:pPr>
            <w:r w:rsidRPr="00BF59C4">
              <w:rPr>
                <w:rFonts w:eastAsia="Times New Roman" w:cstheme="minorHAnsi"/>
                <w:bCs/>
              </w:rPr>
              <w:t>0.10</w:t>
            </w:r>
          </w:p>
        </w:tc>
      </w:tr>
      <w:tr w:rsidR="003B00D9" w:rsidRPr="00BF59C4" w14:paraId="59B64BF0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69DEF99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Head circumference in cm [Mean ± SD]</w:t>
            </w:r>
          </w:p>
        </w:tc>
        <w:tc>
          <w:tcPr>
            <w:tcW w:w="1414" w:type="dxa"/>
            <w:shd w:val="clear" w:color="auto" w:fill="auto"/>
          </w:tcPr>
          <w:p w14:paraId="2A1A0C7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41.72 ± 1.49 </w:t>
            </w:r>
          </w:p>
        </w:tc>
        <w:tc>
          <w:tcPr>
            <w:tcW w:w="1415" w:type="dxa"/>
            <w:shd w:val="clear" w:color="auto" w:fill="auto"/>
          </w:tcPr>
          <w:p w14:paraId="445D1FA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41.44 ± 1.49</w:t>
            </w:r>
          </w:p>
        </w:tc>
        <w:tc>
          <w:tcPr>
            <w:tcW w:w="852" w:type="dxa"/>
            <w:shd w:val="clear" w:color="auto" w:fill="auto"/>
          </w:tcPr>
          <w:p w14:paraId="4394FFA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0.03* </w:t>
            </w:r>
          </w:p>
        </w:tc>
        <w:tc>
          <w:tcPr>
            <w:tcW w:w="1737" w:type="dxa"/>
            <w:shd w:val="clear" w:color="auto" w:fill="auto"/>
          </w:tcPr>
          <w:p w14:paraId="462047F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44.15 ± 1.43  </w:t>
            </w:r>
          </w:p>
        </w:tc>
        <w:tc>
          <w:tcPr>
            <w:tcW w:w="1291" w:type="dxa"/>
            <w:shd w:val="clear" w:color="auto" w:fill="auto"/>
          </w:tcPr>
          <w:p w14:paraId="5F74AAB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43.94 ± 1.49</w:t>
            </w:r>
          </w:p>
        </w:tc>
        <w:tc>
          <w:tcPr>
            <w:tcW w:w="1005" w:type="dxa"/>
            <w:shd w:val="clear" w:color="auto" w:fill="auto"/>
          </w:tcPr>
          <w:p w14:paraId="19C5F0D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0.08</w:t>
            </w:r>
          </w:p>
        </w:tc>
      </w:tr>
      <w:tr w:rsidR="003B00D9" w:rsidRPr="00BF59C4" w14:paraId="5C0A13E9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418C277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lastRenderedPageBreak/>
              <w:t xml:space="preserve">Exclusive breastfeeding, n(%) </w:t>
            </w:r>
          </w:p>
        </w:tc>
        <w:tc>
          <w:tcPr>
            <w:tcW w:w="1414" w:type="dxa"/>
            <w:shd w:val="clear" w:color="auto" w:fill="auto"/>
          </w:tcPr>
          <w:p w14:paraId="38D365B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141(70.15)</w:t>
            </w:r>
          </w:p>
        </w:tc>
        <w:tc>
          <w:tcPr>
            <w:tcW w:w="1415" w:type="dxa"/>
            <w:shd w:val="clear" w:color="auto" w:fill="auto"/>
          </w:tcPr>
          <w:p w14:paraId="20F2C52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133(65.20)</w:t>
            </w:r>
          </w:p>
        </w:tc>
        <w:tc>
          <w:tcPr>
            <w:tcW w:w="852" w:type="dxa"/>
            <w:shd w:val="clear" w:color="auto" w:fill="auto"/>
          </w:tcPr>
          <w:p w14:paraId="1C82133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1737" w:type="dxa"/>
            <w:shd w:val="clear" w:color="auto" w:fill="auto"/>
          </w:tcPr>
          <w:p w14:paraId="452787E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--</w:t>
            </w:r>
          </w:p>
        </w:tc>
        <w:tc>
          <w:tcPr>
            <w:tcW w:w="1291" w:type="dxa"/>
            <w:shd w:val="clear" w:color="auto" w:fill="auto"/>
          </w:tcPr>
          <w:p w14:paraId="1895BD3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---</w:t>
            </w:r>
          </w:p>
        </w:tc>
        <w:tc>
          <w:tcPr>
            <w:tcW w:w="1005" w:type="dxa"/>
            <w:shd w:val="clear" w:color="auto" w:fill="auto"/>
          </w:tcPr>
          <w:p w14:paraId="4388394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86648AD" w14:textId="77777777" w:rsidTr="00AE4682">
        <w:trPr>
          <w:trHeight w:val="306"/>
        </w:trPr>
        <w:tc>
          <w:tcPr>
            <w:tcW w:w="1636" w:type="dxa"/>
            <w:shd w:val="clear" w:color="auto" w:fill="auto"/>
          </w:tcPr>
          <w:p w14:paraId="09AAB78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Age of weaning in months, [Mean ± SD]</w:t>
            </w:r>
          </w:p>
        </w:tc>
        <w:tc>
          <w:tcPr>
            <w:tcW w:w="1414" w:type="dxa"/>
            <w:shd w:val="clear" w:color="auto" w:fill="auto"/>
          </w:tcPr>
          <w:p w14:paraId="755050E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6.08 ± 0.95</w:t>
            </w:r>
            <w:r w:rsidRPr="00BF59C4">
              <w:rPr>
                <w:rFonts w:eastAsia="Times New Roman" w:cstheme="minorHAnsi"/>
                <w:vertAlign w:val="superscript"/>
              </w:rPr>
              <w:t>1</w:t>
            </w:r>
          </w:p>
        </w:tc>
        <w:tc>
          <w:tcPr>
            <w:tcW w:w="1415" w:type="dxa"/>
            <w:shd w:val="clear" w:color="auto" w:fill="auto"/>
          </w:tcPr>
          <w:p w14:paraId="253C55A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6.20 ± 0.92</w:t>
            </w:r>
            <w:r w:rsidRPr="00BF59C4">
              <w:rPr>
                <w:rFonts w:eastAsia="Times New Roman" w:cstheme="minorHAnsi"/>
                <w:vertAlign w:val="superscript"/>
              </w:rPr>
              <w:t>2</w:t>
            </w:r>
          </w:p>
          <w:p w14:paraId="16ADE5D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(n=202)</w:t>
            </w:r>
          </w:p>
        </w:tc>
        <w:tc>
          <w:tcPr>
            <w:tcW w:w="852" w:type="dxa"/>
            <w:shd w:val="clear" w:color="auto" w:fill="auto"/>
          </w:tcPr>
          <w:p w14:paraId="2856651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1737" w:type="dxa"/>
            <w:shd w:val="clear" w:color="auto" w:fill="auto"/>
          </w:tcPr>
          <w:p w14:paraId="1570AE8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--</w:t>
            </w:r>
          </w:p>
        </w:tc>
        <w:tc>
          <w:tcPr>
            <w:tcW w:w="1291" w:type="dxa"/>
            <w:shd w:val="clear" w:color="auto" w:fill="auto"/>
          </w:tcPr>
          <w:p w14:paraId="1EE400A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----</w:t>
            </w:r>
          </w:p>
        </w:tc>
        <w:tc>
          <w:tcPr>
            <w:tcW w:w="1005" w:type="dxa"/>
            <w:shd w:val="clear" w:color="auto" w:fill="auto"/>
          </w:tcPr>
          <w:p w14:paraId="2BF8F1F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</w:tbl>
    <w:p w14:paraId="56FEC912" w14:textId="77777777" w:rsidR="003B00D9" w:rsidRPr="00BF59C4" w:rsidRDefault="003B00D9" w:rsidP="003B00D9">
      <w:pPr>
        <w:spacing w:line="276" w:lineRule="auto"/>
        <w:jc w:val="both"/>
      </w:pPr>
      <w:r w:rsidRPr="00BF59C4">
        <w:t xml:space="preserve">*- Data not distributed normally, non-parametric tests of hypotheses used; </w:t>
      </w:r>
      <w:r w:rsidRPr="00BF59C4">
        <w:rPr>
          <w:vertAlign w:val="superscript"/>
        </w:rPr>
        <w:t>1</w:t>
      </w:r>
      <w:r w:rsidRPr="00BF59C4">
        <w:t xml:space="preserve"> n=198; </w:t>
      </w:r>
      <w:r w:rsidRPr="00BF59C4">
        <w:rPr>
          <w:vertAlign w:val="superscript"/>
        </w:rPr>
        <w:t xml:space="preserve">2 </w:t>
      </w:r>
      <w:r w:rsidRPr="00BF59C4">
        <w:t>n =202</w:t>
      </w:r>
    </w:p>
    <w:p w14:paraId="0774A889" w14:textId="77777777" w:rsidR="003B00D9" w:rsidRPr="00FC67EC" w:rsidRDefault="003B00D9" w:rsidP="003B00D9">
      <w:pPr>
        <w:spacing w:line="276" w:lineRule="auto"/>
        <w:jc w:val="both"/>
        <w:rPr>
          <w:i/>
          <w:iCs/>
        </w:rPr>
      </w:pPr>
    </w:p>
    <w:p w14:paraId="21723FF3" w14:textId="38CD8F54" w:rsidR="003B00D9" w:rsidRPr="0011076B" w:rsidRDefault="00E92635" w:rsidP="003B00D9">
      <w:pPr>
        <w:spacing w:line="276" w:lineRule="auto"/>
        <w:jc w:val="both"/>
        <w:rPr>
          <w:b/>
          <w:bCs/>
        </w:rPr>
      </w:pPr>
      <w:r>
        <w:rPr>
          <w:b/>
          <w:bCs/>
        </w:rPr>
        <w:t>Additiona</w:t>
      </w:r>
      <w:r w:rsidR="0011076B" w:rsidRPr="0011076B">
        <w:rPr>
          <w:b/>
          <w:bCs/>
        </w:rPr>
        <w:t>l Table4</w:t>
      </w:r>
      <w:r w:rsidR="003B00D9" w:rsidRPr="0011076B">
        <w:rPr>
          <w:b/>
          <w:bCs/>
        </w:rPr>
        <w:t xml:space="preserve">: Analysis of adverse events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5"/>
        <w:gridCol w:w="1890"/>
        <w:gridCol w:w="1620"/>
        <w:gridCol w:w="1255"/>
      </w:tblGrid>
      <w:tr w:rsidR="003B00D9" w:rsidRPr="00BF59C4" w14:paraId="2ADE6A09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370C1F4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Adverse events, n (%)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717A92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LMF oil</w:t>
            </w:r>
          </w:p>
          <w:p w14:paraId="11C0FAE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(n=222)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36689E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Placebo</w:t>
            </w:r>
          </w:p>
          <w:p w14:paraId="7FC4FA7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(n=222)</w:t>
            </w:r>
          </w:p>
        </w:tc>
        <w:tc>
          <w:tcPr>
            <w:tcW w:w="1255" w:type="dxa"/>
            <w:shd w:val="clear" w:color="auto" w:fill="auto"/>
          </w:tcPr>
          <w:p w14:paraId="42C8C29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 xml:space="preserve">P value </w:t>
            </w:r>
          </w:p>
        </w:tc>
      </w:tr>
      <w:tr w:rsidR="003B00D9" w:rsidRPr="00BF59C4" w14:paraId="71193D05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</w:tcPr>
          <w:p w14:paraId="319697D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No of subjects with at least one AE</w:t>
            </w:r>
          </w:p>
        </w:tc>
        <w:tc>
          <w:tcPr>
            <w:tcW w:w="1890" w:type="dxa"/>
            <w:shd w:val="clear" w:color="auto" w:fill="auto"/>
            <w:noWrap/>
          </w:tcPr>
          <w:p w14:paraId="794AD76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187 (84.23)</w:t>
            </w:r>
          </w:p>
        </w:tc>
        <w:tc>
          <w:tcPr>
            <w:tcW w:w="1620" w:type="dxa"/>
            <w:shd w:val="clear" w:color="auto" w:fill="auto"/>
            <w:noWrap/>
          </w:tcPr>
          <w:p w14:paraId="4736B09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177(79.72)</w:t>
            </w:r>
          </w:p>
        </w:tc>
        <w:tc>
          <w:tcPr>
            <w:tcW w:w="1255" w:type="dxa"/>
            <w:shd w:val="clear" w:color="auto" w:fill="auto"/>
          </w:tcPr>
          <w:p w14:paraId="1822260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0.20</w:t>
            </w:r>
          </w:p>
        </w:tc>
      </w:tr>
      <w:tr w:rsidR="003B00D9" w:rsidRPr="00BF59C4" w14:paraId="5C784FDD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</w:tcPr>
          <w:p w14:paraId="7046D34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  <w:b/>
                <w:bCs/>
              </w:rPr>
              <w:t>Respiratory Diseases/Conditions</w:t>
            </w:r>
          </w:p>
        </w:tc>
        <w:tc>
          <w:tcPr>
            <w:tcW w:w="1890" w:type="dxa"/>
            <w:shd w:val="clear" w:color="auto" w:fill="auto"/>
            <w:noWrap/>
          </w:tcPr>
          <w:p w14:paraId="68249C1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5F841E7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1255" w:type="dxa"/>
            <w:shd w:val="clear" w:color="auto" w:fill="auto"/>
          </w:tcPr>
          <w:p w14:paraId="6A911FA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437F050B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0E9CB75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Rhinitis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D32473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CE2F52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6</w:t>
            </w:r>
          </w:p>
        </w:tc>
        <w:tc>
          <w:tcPr>
            <w:tcW w:w="1255" w:type="dxa"/>
            <w:shd w:val="clear" w:color="auto" w:fill="auto"/>
          </w:tcPr>
          <w:p w14:paraId="29E4A44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3438C197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7AF15B3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Upper Respiratory Tract Infection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846817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385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3E081C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312</w:t>
            </w:r>
          </w:p>
        </w:tc>
        <w:tc>
          <w:tcPr>
            <w:tcW w:w="1255" w:type="dxa"/>
            <w:shd w:val="clear" w:color="auto" w:fill="auto"/>
          </w:tcPr>
          <w:p w14:paraId="36DF6BD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3337759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0067975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Acute otitis media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124F9F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297002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15EEBF7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9A1324E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876394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Rhinorrhea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A7FDEC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692CA3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255" w:type="dxa"/>
            <w:shd w:val="clear" w:color="auto" w:fill="auto"/>
          </w:tcPr>
          <w:p w14:paraId="386584B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17133EF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</w:tcPr>
          <w:p w14:paraId="28139B4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Lower Respiratory Tract Infection</w:t>
            </w:r>
          </w:p>
        </w:tc>
        <w:tc>
          <w:tcPr>
            <w:tcW w:w="1890" w:type="dxa"/>
            <w:shd w:val="clear" w:color="auto" w:fill="auto"/>
            <w:noWrap/>
          </w:tcPr>
          <w:p w14:paraId="13399EF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</w:tcPr>
          <w:p w14:paraId="2493E98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255" w:type="dxa"/>
            <w:shd w:val="clear" w:color="auto" w:fill="auto"/>
          </w:tcPr>
          <w:p w14:paraId="5971E52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AFED5BD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</w:tcPr>
          <w:p w14:paraId="6EE209B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Broncho-pneumonitis</w:t>
            </w:r>
          </w:p>
        </w:tc>
        <w:tc>
          <w:tcPr>
            <w:tcW w:w="1890" w:type="dxa"/>
            <w:shd w:val="clear" w:color="auto" w:fill="auto"/>
            <w:noWrap/>
          </w:tcPr>
          <w:p w14:paraId="709BFD5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</w:tcPr>
          <w:p w14:paraId="2B53A13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425D93E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0CD3E87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</w:tcPr>
          <w:p w14:paraId="3D5A739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No of subjects with at least one episode of upper respiratory infection</w:t>
            </w:r>
          </w:p>
        </w:tc>
        <w:tc>
          <w:tcPr>
            <w:tcW w:w="1890" w:type="dxa"/>
            <w:shd w:val="clear" w:color="auto" w:fill="auto"/>
            <w:noWrap/>
          </w:tcPr>
          <w:p w14:paraId="5210A5E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168</w:t>
            </w:r>
          </w:p>
        </w:tc>
        <w:tc>
          <w:tcPr>
            <w:tcW w:w="1620" w:type="dxa"/>
            <w:shd w:val="clear" w:color="auto" w:fill="auto"/>
            <w:noWrap/>
          </w:tcPr>
          <w:p w14:paraId="63BA083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152</w:t>
            </w:r>
          </w:p>
        </w:tc>
        <w:tc>
          <w:tcPr>
            <w:tcW w:w="1255" w:type="dxa"/>
            <w:shd w:val="clear" w:color="auto" w:fill="auto"/>
          </w:tcPr>
          <w:p w14:paraId="72D998F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0.09</w:t>
            </w:r>
          </w:p>
        </w:tc>
      </w:tr>
      <w:tr w:rsidR="003B00D9" w:rsidRPr="00BF59C4" w14:paraId="2B67E70E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7CE486F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Skin Diseases/Conditions</w:t>
            </w:r>
          </w:p>
        </w:tc>
        <w:tc>
          <w:tcPr>
            <w:tcW w:w="1890" w:type="dxa"/>
            <w:shd w:val="clear" w:color="auto" w:fill="auto"/>
            <w:noWrap/>
          </w:tcPr>
          <w:p w14:paraId="661A042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0F1EFB6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255" w:type="dxa"/>
            <w:shd w:val="clear" w:color="auto" w:fill="auto"/>
          </w:tcPr>
          <w:p w14:paraId="329F7C1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</w:tr>
      <w:tr w:rsidR="003B00D9" w:rsidRPr="00BF59C4" w14:paraId="4687AE91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4C17CB1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Pityriasis Alba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7D81F3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932F26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428A165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8FACDF2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5E40DBE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Scabies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940DD9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882F92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639CFF4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0F48574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8BB6D6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Skin dryness/Ichthyosis 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960832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69513C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255" w:type="dxa"/>
            <w:shd w:val="clear" w:color="auto" w:fill="auto"/>
          </w:tcPr>
          <w:p w14:paraId="2024058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606862A4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5FB0673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Other dermatophytosis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D748C0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B2D140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</w:t>
            </w:r>
          </w:p>
        </w:tc>
        <w:tc>
          <w:tcPr>
            <w:tcW w:w="1255" w:type="dxa"/>
            <w:shd w:val="clear" w:color="auto" w:fill="auto"/>
          </w:tcPr>
          <w:p w14:paraId="1B672E5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5056A3A0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1F9D148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Impetigo </w:t>
            </w:r>
            <w:proofErr w:type="spellStart"/>
            <w:r w:rsidRPr="00BF59C4">
              <w:rPr>
                <w:rFonts w:eastAsia="Times New Roman" w:cstheme="minorHAnsi"/>
              </w:rPr>
              <w:t>Contagiosa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hideMark/>
          </w:tcPr>
          <w:p w14:paraId="68296EE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890C1C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0465CC2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24C431F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26D023B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Dermatitis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9F60CB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F5303B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255" w:type="dxa"/>
            <w:shd w:val="clear" w:color="auto" w:fill="auto"/>
          </w:tcPr>
          <w:p w14:paraId="7EC2CD5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909C3B0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12B7BEE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lastRenderedPageBreak/>
              <w:t>Rash with fever/URTI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E225D3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75E9F2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255" w:type="dxa"/>
            <w:shd w:val="clear" w:color="auto" w:fill="auto"/>
          </w:tcPr>
          <w:p w14:paraId="040D9B4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E4239E2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6A4FDD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Rash on face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2AA34B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6B3FDC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255" w:type="dxa"/>
            <w:shd w:val="clear" w:color="auto" w:fill="auto"/>
          </w:tcPr>
          <w:p w14:paraId="721BC42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A48B3D8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3DB361D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Rash all over the body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5BDBE5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B3CCB4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10</w:t>
            </w:r>
          </w:p>
        </w:tc>
        <w:tc>
          <w:tcPr>
            <w:tcW w:w="1255" w:type="dxa"/>
            <w:shd w:val="clear" w:color="auto" w:fill="auto"/>
          </w:tcPr>
          <w:p w14:paraId="664F464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8726811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2281DF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Rash on abdomen/thighs/neck/back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81264E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4B6838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255" w:type="dxa"/>
            <w:shd w:val="clear" w:color="auto" w:fill="auto"/>
          </w:tcPr>
          <w:p w14:paraId="18E1C5E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F54F998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480F27A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Genital/Perianal Rash/Diaper rash 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870CC1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A53794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4</w:t>
            </w:r>
          </w:p>
        </w:tc>
        <w:tc>
          <w:tcPr>
            <w:tcW w:w="1255" w:type="dxa"/>
            <w:shd w:val="clear" w:color="auto" w:fill="auto"/>
          </w:tcPr>
          <w:p w14:paraId="1F61A07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4B9E0250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79F847A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proofErr w:type="spellStart"/>
            <w:r w:rsidRPr="00BF59C4">
              <w:rPr>
                <w:rFonts w:eastAsia="Times New Roman" w:cstheme="minorHAnsi"/>
              </w:rPr>
              <w:t>Miliria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hideMark/>
          </w:tcPr>
          <w:p w14:paraId="44E1F99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C30A53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255" w:type="dxa"/>
            <w:shd w:val="clear" w:color="auto" w:fill="auto"/>
          </w:tcPr>
          <w:p w14:paraId="613F11E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C0E5770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07CB908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Gastro-intestinal Diseases/Conditions</w:t>
            </w:r>
          </w:p>
        </w:tc>
        <w:tc>
          <w:tcPr>
            <w:tcW w:w="1890" w:type="dxa"/>
            <w:shd w:val="clear" w:color="auto" w:fill="auto"/>
            <w:noWrap/>
          </w:tcPr>
          <w:p w14:paraId="2774603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69CCBC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255" w:type="dxa"/>
            <w:shd w:val="clear" w:color="auto" w:fill="auto"/>
          </w:tcPr>
          <w:p w14:paraId="3842F71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</w:tr>
      <w:tr w:rsidR="003B00D9" w:rsidRPr="00BF59C4" w14:paraId="00BB8F4C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4D3D705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Constipation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90B1E1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8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A8ED89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6518BA9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32C40FF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367518E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Acute Gastroenteritis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549E60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105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F0BA7F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101</w:t>
            </w:r>
          </w:p>
        </w:tc>
        <w:tc>
          <w:tcPr>
            <w:tcW w:w="1255" w:type="dxa"/>
            <w:shd w:val="clear" w:color="auto" w:fill="auto"/>
          </w:tcPr>
          <w:p w14:paraId="3D37726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4111E7CA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3C621D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Infantile colic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30E3A7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3E486A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11</w:t>
            </w:r>
          </w:p>
        </w:tc>
        <w:tc>
          <w:tcPr>
            <w:tcW w:w="1255" w:type="dxa"/>
            <w:shd w:val="clear" w:color="auto" w:fill="auto"/>
          </w:tcPr>
          <w:p w14:paraId="010F3FD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BAD6BD8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6F5F67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Vomiting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4FC2BF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93041B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2B558A7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6B60A411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170EFFE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Diarrhea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57D2BB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E031F0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78C9A8E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3D4AFB63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7583026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Anorexia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E002EB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80D01B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16079E2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0DFE9CD0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009AC7C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Stomatitis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CEFDE3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92C962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2E8A62D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6787AD5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</w:tcPr>
          <w:p w14:paraId="7BD28EB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No of subjects with at least one episode of gastroenteritis</w:t>
            </w:r>
          </w:p>
        </w:tc>
        <w:tc>
          <w:tcPr>
            <w:tcW w:w="1890" w:type="dxa"/>
            <w:shd w:val="clear" w:color="auto" w:fill="auto"/>
            <w:noWrap/>
          </w:tcPr>
          <w:p w14:paraId="57B9A9F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73</w:t>
            </w:r>
          </w:p>
        </w:tc>
        <w:tc>
          <w:tcPr>
            <w:tcW w:w="1620" w:type="dxa"/>
            <w:shd w:val="clear" w:color="auto" w:fill="auto"/>
            <w:noWrap/>
          </w:tcPr>
          <w:p w14:paraId="08BA5E7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64</w:t>
            </w:r>
          </w:p>
        </w:tc>
        <w:tc>
          <w:tcPr>
            <w:tcW w:w="1255" w:type="dxa"/>
            <w:shd w:val="clear" w:color="auto" w:fill="auto"/>
          </w:tcPr>
          <w:p w14:paraId="70C5FC9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>0.35</w:t>
            </w:r>
          </w:p>
        </w:tc>
      </w:tr>
      <w:tr w:rsidR="003B00D9" w:rsidRPr="00BF59C4" w14:paraId="53772059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070D23F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BF59C4">
              <w:rPr>
                <w:rFonts w:eastAsia="Times New Roman" w:cstheme="minorHAnsi"/>
                <w:b/>
                <w:bCs/>
              </w:rPr>
              <w:t xml:space="preserve">Infections/Inflammatory conditions </w:t>
            </w:r>
          </w:p>
        </w:tc>
        <w:tc>
          <w:tcPr>
            <w:tcW w:w="1890" w:type="dxa"/>
            <w:shd w:val="clear" w:color="auto" w:fill="auto"/>
            <w:noWrap/>
          </w:tcPr>
          <w:p w14:paraId="1E293B1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2ECD512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255" w:type="dxa"/>
            <w:shd w:val="clear" w:color="auto" w:fill="auto"/>
          </w:tcPr>
          <w:p w14:paraId="15AE1C0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</w:rPr>
            </w:pPr>
          </w:p>
        </w:tc>
      </w:tr>
      <w:tr w:rsidR="003B00D9" w:rsidRPr="00BF59C4" w14:paraId="2F0699A3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1C20D95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Chicken Pox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33DA9E1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FAAF21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3C15E53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5B674BE6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B40E05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Conjunctivitis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2EAAF6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0573DA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1DE4539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5EA62A75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4D7AF6A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Lymph node swelling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1714ED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2E9BBE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0BDAA98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312BBA68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7B7ADD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Urethritis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C95A53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3F0161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4C8BFB1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50304405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759AEB9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Urinary Tract Infection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34CE87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87E99D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3BE1601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56CB38B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66AE62B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Otitis externa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B0DB35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7A6C90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047C08D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27D1714D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</w:tcPr>
          <w:p w14:paraId="5630AA3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Acute Febrile Illness</w:t>
            </w:r>
          </w:p>
        </w:tc>
        <w:tc>
          <w:tcPr>
            <w:tcW w:w="1890" w:type="dxa"/>
            <w:shd w:val="clear" w:color="auto" w:fill="auto"/>
            <w:noWrap/>
          </w:tcPr>
          <w:p w14:paraId="2400090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31</w:t>
            </w:r>
          </w:p>
        </w:tc>
        <w:tc>
          <w:tcPr>
            <w:tcW w:w="1620" w:type="dxa"/>
            <w:shd w:val="clear" w:color="auto" w:fill="auto"/>
            <w:noWrap/>
          </w:tcPr>
          <w:p w14:paraId="3068339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28</w:t>
            </w:r>
          </w:p>
        </w:tc>
        <w:tc>
          <w:tcPr>
            <w:tcW w:w="1255" w:type="dxa"/>
            <w:shd w:val="clear" w:color="auto" w:fill="auto"/>
          </w:tcPr>
          <w:p w14:paraId="288F984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65B1B961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28F44F7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Injury (including fracture and dislocation)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F9986C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FD49ED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5</w:t>
            </w:r>
          </w:p>
        </w:tc>
        <w:tc>
          <w:tcPr>
            <w:tcW w:w="1255" w:type="dxa"/>
            <w:shd w:val="clear" w:color="auto" w:fill="auto"/>
          </w:tcPr>
          <w:p w14:paraId="1ADE856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6FF277A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E21B81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Burn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E9F71B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5DA57F7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046D7A7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13F99297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359A58C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 xml:space="preserve">Pain/Local swelling at vaccination 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D4C7BA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A3143D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255" w:type="dxa"/>
            <w:shd w:val="clear" w:color="auto" w:fill="auto"/>
          </w:tcPr>
          <w:p w14:paraId="4F0528C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6E27B644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87964D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lastRenderedPageBreak/>
              <w:t>Pain in neck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41EC94D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C1D5B19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0D3CBCE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A81FC97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0488526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Dysuria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CCF060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D26F9A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4B43939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4D08C269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7C42CE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Otalgia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BFBAA74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0C70CB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5F409E60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363389D9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6417017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Swelling behind left ear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19F614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A64E6F2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4BFCA42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49683862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723C1D7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Irritability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742B9E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5E2361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9</w:t>
            </w:r>
          </w:p>
        </w:tc>
        <w:tc>
          <w:tcPr>
            <w:tcW w:w="1255" w:type="dxa"/>
            <w:shd w:val="clear" w:color="auto" w:fill="auto"/>
          </w:tcPr>
          <w:p w14:paraId="72412CFF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717B187E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3E47EA4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Insect bite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7F3AE76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A78CAB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2</w:t>
            </w:r>
          </w:p>
        </w:tc>
        <w:tc>
          <w:tcPr>
            <w:tcW w:w="1255" w:type="dxa"/>
            <w:shd w:val="clear" w:color="auto" w:fill="auto"/>
          </w:tcPr>
          <w:p w14:paraId="5704E2BC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BF59C4" w14:paraId="39FDC0F3" w14:textId="77777777" w:rsidTr="00AE4682">
        <w:trPr>
          <w:trHeight w:val="291"/>
        </w:trPr>
        <w:tc>
          <w:tcPr>
            <w:tcW w:w="4585" w:type="dxa"/>
            <w:shd w:val="clear" w:color="auto" w:fill="auto"/>
            <w:noWrap/>
            <w:hideMark/>
          </w:tcPr>
          <w:p w14:paraId="1A677D95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Redness of both eyes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F496E8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F213F9B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255" w:type="dxa"/>
            <w:shd w:val="clear" w:color="auto" w:fill="auto"/>
          </w:tcPr>
          <w:p w14:paraId="0991D0A3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  <w:tr w:rsidR="003B00D9" w:rsidRPr="00E75483" w14:paraId="42FA1B70" w14:textId="77777777" w:rsidTr="00AE4682">
        <w:trPr>
          <w:trHeight w:val="301"/>
        </w:trPr>
        <w:tc>
          <w:tcPr>
            <w:tcW w:w="4585" w:type="dxa"/>
            <w:shd w:val="clear" w:color="auto" w:fill="auto"/>
            <w:noWrap/>
            <w:hideMark/>
          </w:tcPr>
          <w:p w14:paraId="56E00BE8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Epistaxis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C35B71E" w14:textId="77777777" w:rsidR="003B00D9" w:rsidRPr="00BF59C4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3BEF30E" w14:textId="77777777" w:rsidR="003B00D9" w:rsidRPr="00E75483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  <w:r w:rsidRPr="00BF59C4">
              <w:rPr>
                <w:rFonts w:eastAsia="Times New Roman" w:cstheme="minorHAnsi"/>
              </w:rPr>
              <w:t>0</w:t>
            </w:r>
          </w:p>
        </w:tc>
        <w:tc>
          <w:tcPr>
            <w:tcW w:w="1255" w:type="dxa"/>
            <w:shd w:val="clear" w:color="auto" w:fill="auto"/>
          </w:tcPr>
          <w:p w14:paraId="2F7F555A" w14:textId="77777777" w:rsidR="003B00D9" w:rsidRPr="00E75483" w:rsidRDefault="003B00D9" w:rsidP="00AE4682">
            <w:pPr>
              <w:spacing w:line="276" w:lineRule="auto"/>
              <w:jc w:val="both"/>
              <w:rPr>
                <w:rFonts w:eastAsia="Times New Roman" w:cstheme="minorHAnsi"/>
              </w:rPr>
            </w:pPr>
          </w:p>
        </w:tc>
      </w:tr>
    </w:tbl>
    <w:p w14:paraId="0FFB64F1" w14:textId="77777777" w:rsidR="003B00D9" w:rsidRPr="00521365" w:rsidRDefault="003B00D9" w:rsidP="003B00D9">
      <w:pPr>
        <w:spacing w:line="276" w:lineRule="auto"/>
        <w:jc w:val="both"/>
      </w:pPr>
    </w:p>
    <w:p w14:paraId="3BA10714" w14:textId="77777777" w:rsidR="00DB4490" w:rsidRDefault="00DB4490"/>
    <w:sectPr w:rsidR="00DB4490" w:rsidSect="002169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48"/>
    <w:rsid w:val="0011076B"/>
    <w:rsid w:val="003B00D9"/>
    <w:rsid w:val="00993648"/>
    <w:rsid w:val="00DB4490"/>
    <w:rsid w:val="00E9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8638C"/>
  <w15:chartTrackingRefBased/>
  <w15:docId w15:val="{79BE24F2-091D-4F83-96AB-E0A7729A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0D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Aditi Apte</dc:creator>
  <cp:keywords/>
  <dc:description/>
  <cp:lastModifiedBy>Aditi Apte</cp:lastModifiedBy>
  <cp:revision>2</cp:revision>
  <dcterms:created xsi:type="dcterms:W3CDTF">2021-04-05T04:48:00Z</dcterms:created>
  <dcterms:modified xsi:type="dcterms:W3CDTF">2021-04-05T04:48:00Z</dcterms:modified>
</cp:coreProperties>
</file>