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>
      <w:pPr>
        <w:spacing w:line="400" w:lineRule="exac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hint="eastAsia" w:ascii="Times New Roman" w:hAnsi="Times New Roman" w:cs="Times New Roman"/>
          <w:b/>
          <w:bCs/>
          <w:sz w:val="28"/>
          <w:szCs w:val="28"/>
        </w:rPr>
        <w:t>Article Highlights</w:t>
      </w:r>
    </w:p>
    <w:p>
      <w:pPr>
        <w:pStyle w:val="4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The framing of news propaganda influences Chinese farmers' inclination to engage in waste classification.</w:t>
      </w:r>
    </w:p>
    <w:p>
      <w:pPr>
        <w:pStyle w:val="4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Promotion-focused farmers exposed to gain-framed news propaganda experience a heightened sense of value and motivation to take action, while the opposite holds true.</w:t>
      </w:r>
    </w:p>
    <w:p>
      <w:pPr>
        <w:pStyle w:val="4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The alignment between promotion-focused individuals and gain-framed messages, as well as prevention-focused individuals and loss-framed messages, offers a novel approach for public institutions to influence Chinese farmers' environmental awareness and behavior through policy interventions.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D92304"/>
    <w:multiLevelType w:val="multilevel"/>
    <w:tmpl w:val="4AD92304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sz w:val="13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iNjFiNmY3ZmM4MzFhZWU4OTQ0MjJjNWU4OTIyMDYifQ=="/>
  </w:docVars>
  <w:rsids>
    <w:rsidRoot w:val="00000000"/>
    <w:rsid w:val="2E0C6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autoRedefine/>
    <w:unhideWhenUsed/>
    <w:qFormat/>
    <w:uiPriority w:val="99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2024-02-11T10:32:53Z</dcterms:created>
  <dc:creator>lenovo</dc:creator>
  <cp:lastModifiedBy>Jedi</cp:lastModifiedBy>
  <dcterms:modified xsi:type="dcterms:W3CDTF">2024-02-11T10:32:58Z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94C6F799795E40CDA9C70DFF5A823DA0_12</vt:lpwstr>
  </property>
</Properties>
</file>