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FA0" w:rsidRDefault="00782FA0" w:rsidP="00782FA0">
      <w:pPr>
        <w:widowControl/>
        <w:wordWrap/>
        <w:autoSpaceDE/>
        <w:autoSpaceDN/>
        <w:spacing w:after="0" w:line="480" w:lineRule="auto"/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  <w:szCs w:val="24"/>
        </w:rPr>
      </w:pPr>
      <w:r w:rsidRPr="00626E26">
        <w:rPr>
          <w:rFonts w:ascii="Times New Roman" w:eastAsia="함초롬바탕" w:hAnsi="Times New Roman" w:cs="Times New Roman" w:hint="eastAsia"/>
          <w:b/>
          <w:bCs/>
          <w:color w:val="000000"/>
          <w:kern w:val="0"/>
          <w:sz w:val="24"/>
          <w:szCs w:val="24"/>
        </w:rPr>
        <w:t>Supplemental Data</w:t>
      </w:r>
    </w:p>
    <w:p w:rsidR="00782FA0" w:rsidRPr="00FF0E8A" w:rsidRDefault="00782FA0" w:rsidP="00782FA0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F0E8A">
        <w:rPr>
          <w:rFonts w:ascii="Times New Roman" w:hAnsi="Times New Roman"/>
          <w:b/>
          <w:sz w:val="24"/>
          <w:szCs w:val="24"/>
        </w:rPr>
        <w:t>Protocol for DCI diagnosis and inter-assessor agreement</w:t>
      </w:r>
    </w:p>
    <w:p w:rsidR="00782FA0" w:rsidRPr="00FF0E8A" w:rsidRDefault="00782FA0" w:rsidP="00782FA0">
      <w:pPr>
        <w:spacing w:after="240" w:line="276" w:lineRule="auto"/>
        <w:rPr>
          <w:rFonts w:ascii="Times New Roman" w:hAnsi="Times New Roman"/>
          <w:sz w:val="24"/>
          <w:szCs w:val="24"/>
        </w:rPr>
      </w:pPr>
      <w:r w:rsidRPr="00FF0E8A">
        <w:rPr>
          <w:rFonts w:ascii="Times New Roman" w:hAnsi="Times New Roman"/>
          <w:sz w:val="24"/>
          <w:szCs w:val="24"/>
        </w:rPr>
        <w:t>1</w:t>
      </w:r>
      <w:r w:rsidRPr="00FF0E8A">
        <w:rPr>
          <w:rFonts w:ascii="Times New Roman" w:hAnsi="Times New Roman"/>
          <w:sz w:val="24"/>
          <w:szCs w:val="24"/>
          <w:vertAlign w:val="superscript"/>
        </w:rPr>
        <w:t>st</w:t>
      </w:r>
      <w:r w:rsidRPr="00FF0E8A">
        <w:rPr>
          <w:rFonts w:ascii="Times New Roman" w:hAnsi="Times New Roman"/>
          <w:sz w:val="24"/>
          <w:szCs w:val="24"/>
        </w:rPr>
        <w:t xml:space="preserve"> Reviewer: </w:t>
      </w:r>
      <w:r w:rsidRPr="00FF0E8A">
        <w:rPr>
          <w:rFonts w:ascii="Times New Roman" w:hAnsi="Times New Roman"/>
          <w:color w:val="000000" w:themeColor="text1"/>
          <w:sz w:val="24"/>
          <w:szCs w:val="24"/>
        </w:rPr>
        <w:t>Jong Kook Rhim</w:t>
      </w:r>
      <w:r w:rsidRPr="00FF0E8A">
        <w:rPr>
          <w:rFonts w:ascii="Times New Roman" w:hAnsi="Times New Roman"/>
          <w:sz w:val="24"/>
          <w:szCs w:val="24"/>
        </w:rPr>
        <w:t>, neurointerventionist with more than 10 years of experience</w:t>
      </w:r>
    </w:p>
    <w:p w:rsidR="00782FA0" w:rsidRPr="00FF0E8A" w:rsidRDefault="00782FA0" w:rsidP="00782FA0">
      <w:pPr>
        <w:spacing w:after="240" w:line="276" w:lineRule="auto"/>
        <w:rPr>
          <w:rFonts w:ascii="Times New Roman" w:hAnsi="Times New Roman"/>
          <w:sz w:val="24"/>
          <w:szCs w:val="24"/>
        </w:rPr>
      </w:pPr>
      <w:r w:rsidRPr="00FF0E8A">
        <w:rPr>
          <w:rFonts w:ascii="Times New Roman" w:hAnsi="Times New Roman"/>
          <w:sz w:val="24"/>
          <w:szCs w:val="24"/>
        </w:rPr>
        <w:t>2</w:t>
      </w:r>
      <w:r w:rsidRPr="00FF0E8A">
        <w:rPr>
          <w:rFonts w:ascii="Times New Roman" w:hAnsi="Times New Roman"/>
          <w:sz w:val="24"/>
          <w:szCs w:val="24"/>
          <w:vertAlign w:val="superscript"/>
        </w:rPr>
        <w:t>nd</w:t>
      </w:r>
      <w:r w:rsidRPr="00FF0E8A">
        <w:rPr>
          <w:rFonts w:ascii="Times New Roman" w:hAnsi="Times New Roman"/>
          <w:sz w:val="24"/>
          <w:szCs w:val="24"/>
        </w:rPr>
        <w:t xml:space="preserve"> Reviewer: </w:t>
      </w:r>
      <w:r w:rsidRPr="00FF0E8A">
        <w:rPr>
          <w:rFonts w:ascii="Times New Roman" w:hAnsi="Times New Roman"/>
          <w:color w:val="000000"/>
          <w:sz w:val="24"/>
          <w:szCs w:val="24"/>
        </w:rPr>
        <w:t>Heung Cheol Kim, neuroradiologist with more than 20 years of experience</w:t>
      </w:r>
    </w:p>
    <w:p w:rsidR="00782FA0" w:rsidRPr="00FF0E8A" w:rsidRDefault="00782FA0" w:rsidP="00782FA0">
      <w:pPr>
        <w:spacing w:line="276" w:lineRule="auto"/>
        <w:rPr>
          <w:rFonts w:ascii="Times New Roman" w:hAnsi="Times New Roman"/>
          <w:sz w:val="24"/>
          <w:szCs w:val="24"/>
        </w:rPr>
      </w:pPr>
      <w:r w:rsidRPr="00FF0E8A">
        <w:rPr>
          <w:rFonts w:ascii="Times New Roman" w:hAnsi="Times New Roman"/>
          <w:sz w:val="24"/>
          <w:szCs w:val="24"/>
        </w:rPr>
        <w:t>3</w:t>
      </w:r>
      <w:r w:rsidRPr="00FF0E8A">
        <w:rPr>
          <w:rFonts w:ascii="Times New Roman" w:hAnsi="Times New Roman"/>
          <w:sz w:val="24"/>
          <w:szCs w:val="24"/>
          <w:vertAlign w:val="superscript"/>
        </w:rPr>
        <w:t>rd</w:t>
      </w:r>
      <w:r w:rsidRPr="00FF0E8A">
        <w:rPr>
          <w:rFonts w:ascii="Times New Roman" w:hAnsi="Times New Roman"/>
          <w:sz w:val="24"/>
          <w:szCs w:val="24"/>
        </w:rPr>
        <w:t xml:space="preserve"> Reviewer: </w:t>
      </w:r>
      <w:r w:rsidRPr="00FF0E8A">
        <w:rPr>
          <w:rFonts w:ascii="Times New Roman" w:hAnsi="Times New Roman"/>
          <w:color w:val="000000" w:themeColor="text1"/>
          <w:sz w:val="24"/>
          <w:szCs w:val="24"/>
        </w:rPr>
        <w:t xml:space="preserve">Jin Pyeong Jeon, </w:t>
      </w:r>
      <w:r w:rsidRPr="00FF0E8A">
        <w:rPr>
          <w:rFonts w:ascii="Times New Roman" w:hAnsi="Times New Roman"/>
          <w:sz w:val="24"/>
          <w:szCs w:val="24"/>
        </w:rPr>
        <w:t xml:space="preserve">neurointerventionist with more than six years of experience </w:t>
      </w:r>
    </w:p>
    <w:p w:rsidR="00782FA0" w:rsidRPr="00FF0E8A" w:rsidRDefault="00782FA0" w:rsidP="00782FA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782FA0" w:rsidRPr="00497A8E" w:rsidRDefault="00782FA0" w:rsidP="00782FA0">
      <w:pPr>
        <w:spacing w:line="480" w:lineRule="auto"/>
        <w:rPr>
          <w:rFonts w:ascii="Times New Roman" w:hAnsi="Times New Roman"/>
          <w:sz w:val="24"/>
          <w:szCs w:val="24"/>
        </w:rPr>
      </w:pPr>
      <w:r w:rsidRPr="00FF0E8A">
        <w:rPr>
          <w:rFonts w:ascii="Times New Roman" w:hAnsi="Times New Roman"/>
          <w:sz w:val="24"/>
          <w:szCs w:val="24"/>
        </w:rPr>
        <w:t>Each reviewer reviewed the medical records and radiological findings independently, followed by a comparison of their DCI diagnosis. Next, JP Jeon reported the results based on inter-assessor reliability with Cohen’s kappa index. All disagreements were resolved by JP Jeon.  Cohen’s kappa was 0.</w:t>
      </w:r>
      <w:r w:rsidRPr="00497A8E">
        <w:rPr>
          <w:rFonts w:ascii="Times New Roman" w:hAnsi="Times New Roman"/>
          <w:sz w:val="24"/>
          <w:szCs w:val="24"/>
        </w:rPr>
        <w:t xml:space="preserve">889, indicating almost perfect agreement. </w:t>
      </w:r>
    </w:p>
    <w:tbl>
      <w:tblPr>
        <w:tblW w:w="6581" w:type="dxa"/>
        <w:tblInd w:w="67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779"/>
        <w:gridCol w:w="1698"/>
        <w:gridCol w:w="1462"/>
        <w:gridCol w:w="1642"/>
      </w:tblGrid>
      <w:tr w:rsidR="00782FA0" w:rsidRPr="00497A8E" w:rsidTr="000A19B5">
        <w:tc>
          <w:tcPr>
            <w:tcW w:w="3477" w:type="dxa"/>
            <w:gridSpan w:val="2"/>
            <w:vMerge w:val="restart"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782FA0" w:rsidRPr="00497A8E" w:rsidRDefault="00782FA0" w:rsidP="000A19B5">
            <w:pPr>
              <w:pStyle w:val="TableContents"/>
              <w:jc w:val="center"/>
            </w:pPr>
            <w:r w:rsidRPr="00497A8E">
              <w:t>n = 56</w:t>
            </w:r>
          </w:p>
        </w:tc>
        <w:tc>
          <w:tcPr>
            <w:tcW w:w="31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82FA0" w:rsidRPr="00497A8E" w:rsidRDefault="00782FA0" w:rsidP="000A19B5">
            <w:pPr>
              <w:pStyle w:val="TableContents"/>
              <w:jc w:val="center"/>
            </w:pPr>
            <w:r w:rsidRPr="00497A8E">
              <w:t>Kim’s decision</w:t>
            </w:r>
          </w:p>
        </w:tc>
      </w:tr>
      <w:tr w:rsidR="00782FA0" w:rsidRPr="00497A8E" w:rsidTr="000A19B5">
        <w:tc>
          <w:tcPr>
            <w:tcW w:w="3477" w:type="dxa"/>
            <w:gridSpan w:val="2"/>
            <w:vMerge/>
            <w:tcBorders>
              <w:bottom w:val="single" w:sz="2" w:space="0" w:color="000000"/>
            </w:tcBorders>
            <w:shd w:val="clear" w:color="auto" w:fill="auto"/>
            <w:vAlign w:val="center"/>
          </w:tcPr>
          <w:p w:rsidR="00782FA0" w:rsidRPr="00497A8E" w:rsidRDefault="00782FA0" w:rsidP="000A19B5"/>
        </w:tc>
        <w:tc>
          <w:tcPr>
            <w:tcW w:w="1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82FA0" w:rsidRPr="00497A8E" w:rsidRDefault="00782FA0" w:rsidP="000A19B5">
            <w:pPr>
              <w:pStyle w:val="TableContents"/>
              <w:jc w:val="center"/>
            </w:pPr>
            <w:r w:rsidRPr="00497A8E">
              <w:t>Non-DCI</w:t>
            </w:r>
          </w:p>
        </w:tc>
        <w:tc>
          <w:tcPr>
            <w:tcW w:w="1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82FA0" w:rsidRPr="00497A8E" w:rsidRDefault="00782FA0" w:rsidP="000A19B5">
            <w:pPr>
              <w:pStyle w:val="TableContents"/>
              <w:jc w:val="center"/>
            </w:pPr>
            <w:r w:rsidRPr="00497A8E">
              <w:t>DCI</w:t>
            </w:r>
          </w:p>
        </w:tc>
      </w:tr>
      <w:tr w:rsidR="00782FA0" w:rsidRPr="00497A8E" w:rsidTr="000A19B5">
        <w:tc>
          <w:tcPr>
            <w:tcW w:w="177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782FA0" w:rsidRPr="00497A8E" w:rsidRDefault="00782FA0" w:rsidP="000A19B5">
            <w:pPr>
              <w:pStyle w:val="TableContents"/>
            </w:pPr>
            <w:r w:rsidRPr="00497A8E">
              <w:t>Rhim’s decision</w:t>
            </w:r>
          </w:p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82FA0" w:rsidRPr="00497A8E" w:rsidRDefault="00782FA0" w:rsidP="000A19B5">
            <w:pPr>
              <w:pStyle w:val="TableContents"/>
              <w:jc w:val="center"/>
            </w:pPr>
            <w:r w:rsidRPr="00497A8E">
              <w:t>Non-DCI</w:t>
            </w:r>
          </w:p>
        </w:tc>
        <w:tc>
          <w:tcPr>
            <w:tcW w:w="1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82FA0" w:rsidRPr="00497A8E" w:rsidRDefault="00782FA0" w:rsidP="000A19B5">
            <w:pPr>
              <w:pStyle w:val="TableContents"/>
              <w:jc w:val="center"/>
            </w:pPr>
            <w:r w:rsidRPr="00497A8E">
              <w:t>32</w:t>
            </w:r>
          </w:p>
        </w:tc>
        <w:tc>
          <w:tcPr>
            <w:tcW w:w="1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82FA0" w:rsidRPr="00497A8E" w:rsidRDefault="00782FA0" w:rsidP="000A19B5">
            <w:pPr>
              <w:pStyle w:val="TableContents"/>
              <w:jc w:val="center"/>
            </w:pPr>
            <w:r w:rsidRPr="00497A8E">
              <w:t>1</w:t>
            </w:r>
          </w:p>
        </w:tc>
      </w:tr>
      <w:tr w:rsidR="00782FA0" w:rsidRPr="00497A8E" w:rsidTr="000A19B5">
        <w:tc>
          <w:tcPr>
            <w:tcW w:w="17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782FA0" w:rsidRPr="00497A8E" w:rsidRDefault="00782FA0" w:rsidP="000A19B5"/>
        </w:tc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82FA0" w:rsidRPr="00497A8E" w:rsidRDefault="00782FA0" w:rsidP="000A19B5">
            <w:pPr>
              <w:pStyle w:val="TableContents"/>
              <w:jc w:val="center"/>
            </w:pPr>
            <w:r w:rsidRPr="00497A8E">
              <w:t>DCI</w:t>
            </w:r>
          </w:p>
        </w:tc>
        <w:tc>
          <w:tcPr>
            <w:tcW w:w="1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82FA0" w:rsidRPr="00497A8E" w:rsidRDefault="00782FA0" w:rsidP="000A19B5">
            <w:pPr>
              <w:pStyle w:val="TableContents"/>
              <w:jc w:val="center"/>
            </w:pPr>
            <w:r w:rsidRPr="00497A8E">
              <w:t>2</w:t>
            </w:r>
          </w:p>
        </w:tc>
        <w:tc>
          <w:tcPr>
            <w:tcW w:w="1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82FA0" w:rsidRPr="00497A8E" w:rsidRDefault="00782FA0" w:rsidP="000A19B5">
            <w:pPr>
              <w:pStyle w:val="TableContents"/>
              <w:jc w:val="center"/>
              <w:rPr>
                <w:rFonts w:eastAsiaTheme="minorEastAsia"/>
                <w:lang w:eastAsia="ko-KR"/>
              </w:rPr>
            </w:pPr>
            <w:r w:rsidRPr="00497A8E">
              <w:rPr>
                <w:rFonts w:eastAsiaTheme="minorEastAsia"/>
                <w:lang w:eastAsia="ko-KR"/>
              </w:rPr>
              <w:t>21</w:t>
            </w:r>
          </w:p>
        </w:tc>
      </w:tr>
    </w:tbl>
    <w:p w:rsidR="00782FA0" w:rsidRPr="00497A8E" w:rsidRDefault="00782FA0" w:rsidP="00782FA0">
      <w:pPr>
        <w:widowControl/>
        <w:wordWrap/>
        <w:autoSpaceDE/>
        <w:autoSpaceDN/>
        <w:jc w:val="left"/>
        <w:rPr>
          <w:rFonts w:ascii="Times New Roman" w:hAnsi="Times New Roman"/>
          <w:sz w:val="24"/>
        </w:rPr>
      </w:pPr>
    </w:p>
    <w:p w:rsidR="00782FA0" w:rsidRPr="00A600B8" w:rsidRDefault="00782FA0" w:rsidP="00782FA0">
      <w:pPr>
        <w:pStyle w:val="EndNoteBibliography"/>
        <w:spacing w:line="480" w:lineRule="auto"/>
        <w:rPr>
          <w:rFonts w:ascii="Times New Roman" w:eastAsia="함초롬바탕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굴림" w:hAnsi="Times New Roman"/>
          <w:color w:val="000000" w:themeColor="text1"/>
          <w:kern w:val="0"/>
          <w:sz w:val="24"/>
          <w:szCs w:val="20"/>
        </w:rPr>
        <w:br w:type="page"/>
      </w:r>
    </w:p>
    <w:p w:rsidR="00782FA0" w:rsidRDefault="00782FA0" w:rsidP="00782FA0">
      <w:pPr>
        <w:spacing w:line="480" w:lineRule="auto"/>
        <w:contextualSpacing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lastRenderedPageBreak/>
        <w:t xml:space="preserve">Supplemental </w:t>
      </w:r>
      <w:r w:rsidRPr="00AE2DBB">
        <w:rPr>
          <w:rFonts w:ascii="Times New Roman" w:hAnsi="Times New Roman" w:cs="Times New Roman"/>
          <w:b/>
          <w:sz w:val="24"/>
          <w:szCs w:val="20"/>
        </w:rPr>
        <w:t>Table S1</w:t>
      </w:r>
      <w:r>
        <w:rPr>
          <w:rFonts w:ascii="Times New Roman" w:hAnsi="Times New Roman" w:cs="Times New Roman"/>
          <w:b/>
          <w:sz w:val="24"/>
          <w:szCs w:val="20"/>
        </w:rPr>
        <w:t>.</w:t>
      </w:r>
      <w:r w:rsidRPr="00AE2DBB">
        <w:rPr>
          <w:rFonts w:ascii="Times New Roman" w:hAnsi="Times New Roman" w:cs="Times New Roman"/>
          <w:sz w:val="24"/>
          <w:szCs w:val="20"/>
        </w:rPr>
        <w:t xml:space="preserve"> </w:t>
      </w:r>
      <w:r w:rsidRPr="00AE2DBB">
        <w:rPr>
          <w:rFonts w:ascii="Times New Roman" w:hAnsi="Times New Roman" w:cs="Times New Roman"/>
          <w:bCs/>
          <w:sz w:val="24"/>
          <w:szCs w:val="20"/>
        </w:rPr>
        <w:t>Primer sequences us</w:t>
      </w:r>
      <w:r w:rsidRPr="00AE2DBB">
        <w:rPr>
          <w:rFonts w:ascii="Times New Roman" w:hAnsi="Times New Roman" w:cs="Times New Roman" w:hint="eastAsia"/>
          <w:bCs/>
          <w:sz w:val="24"/>
          <w:szCs w:val="20"/>
        </w:rPr>
        <w:t>e</w:t>
      </w:r>
      <w:r w:rsidRPr="00AE2DBB">
        <w:rPr>
          <w:rFonts w:ascii="Times New Roman" w:hAnsi="Times New Roman" w:cs="Times New Roman"/>
          <w:bCs/>
          <w:sz w:val="24"/>
          <w:szCs w:val="20"/>
        </w:rPr>
        <w:t>d in this study</w:t>
      </w:r>
    </w:p>
    <w:tbl>
      <w:tblPr>
        <w:tblW w:w="97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60"/>
        <w:gridCol w:w="4260"/>
        <w:gridCol w:w="1920"/>
        <w:gridCol w:w="1720"/>
      </w:tblGrid>
      <w:tr w:rsidR="00782FA0" w:rsidRPr="000E5847" w:rsidTr="000A19B5">
        <w:trPr>
          <w:trHeight w:val="454"/>
        </w:trPr>
        <w:tc>
          <w:tcPr>
            <w:tcW w:w="186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0E5847">
              <w:rPr>
                <w:rFonts w:ascii="Times New Roman" w:hAnsi="Times New Roman" w:cs="Times New Roman" w:hint="eastAsia"/>
                <w:b/>
                <w:bCs/>
                <w:szCs w:val="20"/>
              </w:rPr>
              <w:t>Names</w:t>
            </w:r>
          </w:p>
        </w:tc>
        <w:tc>
          <w:tcPr>
            <w:tcW w:w="426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ind w:firstLineChars="500" w:firstLine="1000"/>
              <w:contextualSpacing/>
              <w:rPr>
                <w:rFonts w:ascii="Times New Roman" w:hAnsi="Times New Roman" w:cs="Times New Roman"/>
                <w:szCs w:val="20"/>
              </w:rPr>
            </w:pPr>
            <w:r w:rsidRPr="000E5847">
              <w:rPr>
                <w:rFonts w:ascii="Times New Roman" w:hAnsi="Times New Roman" w:cs="Times New Roman" w:hint="eastAsia"/>
                <w:b/>
                <w:bCs/>
                <w:szCs w:val="20"/>
              </w:rPr>
              <w:t>Primer sequence (5</w:t>
            </w:r>
            <w:r w:rsidRPr="000E5847">
              <w:rPr>
                <w:rFonts w:ascii="Times New Roman" w:hAnsi="Times New Roman" w:cs="Times New Roman" w:hint="eastAsia"/>
                <w:b/>
                <w:bCs/>
                <w:szCs w:val="20"/>
              </w:rPr>
              <w:t>’→</w:t>
            </w:r>
            <w:r w:rsidRPr="000E5847">
              <w:rPr>
                <w:rFonts w:ascii="Times New Roman" w:hAnsi="Times New Roman" w:cs="Times New Roman" w:hint="eastAsia"/>
                <w:b/>
                <w:bCs/>
                <w:szCs w:val="20"/>
              </w:rPr>
              <w:t>3</w:t>
            </w:r>
            <w:r w:rsidRPr="000E5847">
              <w:rPr>
                <w:rFonts w:ascii="Times New Roman" w:hAnsi="Times New Roman" w:cs="Times New Roman" w:hint="eastAsia"/>
                <w:b/>
                <w:bCs/>
                <w:szCs w:val="20"/>
              </w:rPr>
              <w:t>’</w:t>
            </w:r>
            <w:r w:rsidRPr="000E5847">
              <w:rPr>
                <w:rFonts w:ascii="Times New Roman" w:hAnsi="Times New Roman" w:cs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192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0E5847">
              <w:rPr>
                <w:rFonts w:ascii="Times New Roman" w:hAnsi="Times New Roman" w:cs="Times New Roman" w:hint="eastAsia"/>
                <w:b/>
                <w:bCs/>
                <w:szCs w:val="20"/>
              </w:rPr>
              <w:t>Product size (bp)</w:t>
            </w:r>
          </w:p>
        </w:tc>
        <w:tc>
          <w:tcPr>
            <w:tcW w:w="172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0E5847">
              <w:rPr>
                <w:rFonts w:ascii="Times New Roman" w:hAnsi="Times New Roman" w:cs="Times New Roman" w:hint="eastAsia"/>
                <w:b/>
                <w:bCs/>
                <w:szCs w:val="20"/>
              </w:rPr>
              <w:t xml:space="preserve">Position </w:t>
            </w:r>
          </w:p>
        </w:tc>
      </w:tr>
      <w:tr w:rsidR="00782FA0" w:rsidRPr="000E5847" w:rsidTr="000A19B5">
        <w:trPr>
          <w:trHeight w:val="454"/>
        </w:trPr>
        <w:tc>
          <w:tcPr>
            <w:tcW w:w="976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ind w:firstLineChars="150" w:firstLine="300"/>
              <w:contextualSpacing/>
              <w:jc w:val="left"/>
              <w:rPr>
                <w:rFonts w:ascii="Times New Roman" w:hAnsi="Times New Roman" w:cs="Times New Roman"/>
                <w:szCs w:val="20"/>
              </w:rPr>
            </w:pPr>
            <w:r w:rsidRPr="000E5847">
              <w:rPr>
                <w:rFonts w:ascii="Times New Roman" w:hAnsi="Times New Roman" w:cs="Times New Roman" w:hint="eastAsia"/>
                <w:b/>
                <w:bCs/>
                <w:i/>
                <w:iCs/>
                <w:szCs w:val="20"/>
              </w:rPr>
              <w:t>qPCR primers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Cs w:val="20"/>
              </w:rPr>
              <w:t>*</w:t>
            </w: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DAPK1</w:t>
            </w:r>
            <w:r w:rsidRPr="00AE2DBB">
              <w:rPr>
                <w:rFonts w:ascii="Times New Roman" w:hAnsi="Times New Roman" w:cs="Times New Roman" w:hint="eastAsia"/>
                <w:szCs w:val="20"/>
              </w:rPr>
              <w:t>-F</w:t>
            </w:r>
          </w:p>
        </w:tc>
        <w:tc>
          <w:tcPr>
            <w:tcW w:w="4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GACCGTGAAGCATTACCTGAG</w:t>
            </w:r>
          </w:p>
        </w:tc>
        <w:tc>
          <w:tcPr>
            <w:tcW w:w="192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12</w:t>
            </w:r>
            <w:r w:rsidRPr="000E5847">
              <w:rPr>
                <w:rFonts w:ascii="Times New Roman" w:hAnsi="Times New Roman" w:cs="Times New Roman" w:hint="eastAsia"/>
                <w:szCs w:val="20"/>
              </w:rPr>
              <w:t>4</w:t>
            </w:r>
          </w:p>
        </w:tc>
        <w:tc>
          <w:tcPr>
            <w:tcW w:w="172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3856</w:t>
            </w:r>
            <w:r>
              <w:rPr>
                <w:rFonts w:ascii="Times New Roman" w:hAnsi="Times New Roman" w:cs="Times New Roman" w:hint="eastAsia"/>
                <w:szCs w:val="20"/>
              </w:rPr>
              <w:t>-3980</w:t>
            </w: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DAPK1</w:t>
            </w:r>
            <w:r w:rsidRPr="00AE2DBB">
              <w:rPr>
                <w:rFonts w:ascii="Times New Roman" w:hAnsi="Times New Roman" w:cs="Times New Roman" w:hint="eastAsia"/>
                <w:szCs w:val="20"/>
              </w:rPr>
              <w:t>-R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GCTGCTGAAGCTTTCCTTGTA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BNIP3L</w:t>
            </w:r>
            <w:r w:rsidRPr="00AE2DBB">
              <w:rPr>
                <w:rFonts w:ascii="Times New Roman" w:hAnsi="Times New Roman" w:cs="Times New Roman" w:hint="eastAsia"/>
                <w:szCs w:val="20"/>
              </w:rPr>
              <w:t>-F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ACAACAACAACTGC GAGGAAA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144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121</w:t>
            </w:r>
            <w:r w:rsidRPr="000E5847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265</w:t>
            </w: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BNIP3L</w:t>
            </w:r>
            <w:r w:rsidRPr="00AE2DBB">
              <w:rPr>
                <w:rFonts w:ascii="Times New Roman" w:hAnsi="Times New Roman" w:cs="Times New Roman" w:hint="eastAsia"/>
                <w:szCs w:val="20"/>
              </w:rPr>
              <w:t>-R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GAGGATGAGGATGGTACGTGT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 w:hint="eastAsia"/>
                <w:szCs w:val="20"/>
              </w:rPr>
              <w:t>BAX-F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GTTTCATCCAGGATCGAGCAG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145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5827</w:t>
            </w:r>
            <w:r w:rsidRPr="000E5847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5972</w:t>
            </w: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 w:hint="eastAsia"/>
                <w:szCs w:val="20"/>
              </w:rPr>
              <w:t>BAX-R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CTGCAGCTCCATGTTACTGTC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PINK1</w:t>
            </w:r>
            <w:r w:rsidRPr="00AE2DBB">
              <w:rPr>
                <w:rFonts w:ascii="Times New Roman" w:hAnsi="Times New Roman" w:cs="Times New Roman" w:hint="eastAsia"/>
                <w:szCs w:val="20"/>
              </w:rPr>
              <w:t>-F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GTATGAAGCCACCATGCCTAC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153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604-757</w:t>
            </w: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PINK1</w:t>
            </w:r>
            <w:r w:rsidRPr="00AE2DBB">
              <w:rPr>
                <w:rFonts w:ascii="Times New Roman" w:hAnsi="Times New Roman" w:cs="Times New Roman" w:hint="eastAsia"/>
                <w:szCs w:val="20"/>
              </w:rPr>
              <w:t>-R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CATCATCTTGATGGCCAAGGGTC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ULK</w:t>
            </w:r>
            <w:r w:rsidRPr="00AE2DBB">
              <w:rPr>
                <w:rFonts w:ascii="Times New Roman" w:hAnsi="Times New Roman" w:cs="Times New Roman" w:hint="eastAsia"/>
                <w:szCs w:val="20"/>
              </w:rPr>
              <w:t>-F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AACAAGAAGAACCTCG CCAAG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145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413-558</w:t>
            </w: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ULK</w:t>
            </w:r>
            <w:r w:rsidRPr="00AE2DBB">
              <w:rPr>
                <w:rFonts w:ascii="Times New Roman" w:hAnsi="Times New Roman" w:cs="Times New Roman" w:hint="eastAsia"/>
                <w:szCs w:val="20"/>
              </w:rPr>
              <w:t>-R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CCGTTGCAGTACTCCATAACC</w:t>
            </w:r>
          </w:p>
        </w:tc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 w:hint="eastAsia"/>
                <w:szCs w:val="20"/>
              </w:rPr>
              <w:t>NDP52-F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CCCCTACCATGGAGGAGACC</w:t>
            </w:r>
          </w:p>
        </w:tc>
        <w:tc>
          <w:tcPr>
            <w:tcW w:w="3640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2FA0" w:rsidRPr="000E5847" w:rsidRDefault="00782FA0" w:rsidP="000A19B5">
            <w:pPr>
              <w:spacing w:line="240" w:lineRule="auto"/>
              <w:ind w:firstLineChars="400" w:firstLine="800"/>
              <w:contextualSpacing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260</w:t>
            </w:r>
            <w:r>
              <w:rPr>
                <w:rFonts w:ascii="Times New Roman" w:hAnsi="Times New Roman" w:cs="Times New Roman"/>
                <w:szCs w:val="20"/>
              </w:rPr>
              <w:t xml:space="preserve">         </w:t>
            </w:r>
            <w:r>
              <w:rPr>
                <w:rFonts w:ascii="Times New Roman" w:hAnsi="Times New Roman" w:cs="Times New Roman" w:hint="eastAsia"/>
                <w:szCs w:val="20"/>
              </w:rPr>
              <w:t>47-307</w:t>
            </w: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 w:hint="eastAsia"/>
                <w:szCs w:val="20"/>
              </w:rPr>
              <w:t>NDP52-R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CCTGCAATTTCTGTCCTTGGC</w:t>
            </w:r>
          </w:p>
        </w:tc>
        <w:tc>
          <w:tcPr>
            <w:tcW w:w="364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 w:hint="eastAsia"/>
                <w:szCs w:val="20"/>
              </w:rPr>
              <w:t>Actin-F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AE2DBB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AE2DBB">
              <w:rPr>
                <w:rFonts w:ascii="Times New Roman" w:hAnsi="Times New Roman" w:cs="Times New Roman"/>
                <w:szCs w:val="20"/>
              </w:rPr>
              <w:t>CATGTACGTTGCTATCCAGGC</w:t>
            </w:r>
          </w:p>
        </w:tc>
        <w:tc>
          <w:tcPr>
            <w:tcW w:w="1920" w:type="dxa"/>
            <w:vMerge w:val="restart"/>
            <w:tcBorders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249</w:t>
            </w:r>
          </w:p>
        </w:tc>
        <w:tc>
          <w:tcPr>
            <w:tcW w:w="1720" w:type="dxa"/>
            <w:vMerge w:val="restart"/>
            <w:tcBorders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477-726</w:t>
            </w:r>
          </w:p>
        </w:tc>
      </w:tr>
      <w:tr w:rsidR="00782FA0" w:rsidRPr="000E5847" w:rsidTr="000A19B5">
        <w:trPr>
          <w:trHeight w:val="454"/>
        </w:trPr>
        <w:tc>
          <w:tcPr>
            <w:tcW w:w="18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0E5847">
              <w:rPr>
                <w:rFonts w:ascii="Times New Roman" w:hAnsi="Times New Roman" w:cs="Times New Roman" w:hint="eastAsia"/>
                <w:szCs w:val="20"/>
              </w:rPr>
              <w:t>Actin-R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BA2652">
              <w:rPr>
                <w:rFonts w:ascii="Times New Roman" w:hAnsi="Times New Roman" w:cs="Times New Roman"/>
                <w:szCs w:val="20"/>
              </w:rPr>
              <w:t>CTCCTTAATGTC ACGCACGA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:rsidR="00782FA0" w:rsidRPr="000E5847" w:rsidRDefault="00782FA0" w:rsidP="000A19B5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782FA0" w:rsidRDefault="00782FA0" w:rsidP="00782FA0">
      <w:pPr>
        <w:spacing w:line="240" w:lineRule="auto"/>
        <w:contextualSpacing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*</w:t>
      </w:r>
      <w:r w:rsidRPr="000E5847">
        <w:rPr>
          <w:rFonts w:ascii="Times New Roman" w:hAnsi="Times New Roman" w:cs="Times New Roman"/>
          <w:szCs w:val="20"/>
        </w:rPr>
        <w:t xml:space="preserve">Primer positions of </w:t>
      </w:r>
      <w:r>
        <w:rPr>
          <w:rFonts w:ascii="Times New Roman" w:hAnsi="Times New Roman" w:cs="Times New Roman"/>
          <w:szCs w:val="20"/>
        </w:rPr>
        <w:t>qRT-</w:t>
      </w:r>
      <w:r w:rsidRPr="000E5847">
        <w:rPr>
          <w:rFonts w:ascii="Times New Roman" w:hAnsi="Times New Roman" w:cs="Times New Roman"/>
          <w:szCs w:val="20"/>
        </w:rPr>
        <w:t>PCR indicate the base from the start codon. The first nucleotide of the start</w:t>
      </w:r>
      <w:r>
        <w:rPr>
          <w:rFonts w:ascii="Times New Roman" w:hAnsi="Times New Roman" w:cs="Times New Roman"/>
          <w:szCs w:val="20"/>
        </w:rPr>
        <w:t xml:space="preserve"> </w:t>
      </w:r>
      <w:r w:rsidRPr="000E5847">
        <w:rPr>
          <w:rFonts w:ascii="Times New Roman" w:hAnsi="Times New Roman" w:cs="Times New Roman"/>
          <w:szCs w:val="20"/>
        </w:rPr>
        <w:t xml:space="preserve">codon </w:t>
      </w:r>
      <w:r>
        <w:rPr>
          <w:rFonts w:ascii="Times New Roman" w:hAnsi="Times New Roman" w:cs="Times New Roman"/>
          <w:szCs w:val="20"/>
        </w:rPr>
        <w:t>i</w:t>
      </w:r>
      <w:r w:rsidRPr="000E5847">
        <w:rPr>
          <w:rFonts w:ascii="Times New Roman" w:hAnsi="Times New Roman" w:cs="Times New Roman"/>
          <w:szCs w:val="20"/>
        </w:rPr>
        <w:t>s defined as position 1.</w:t>
      </w:r>
    </w:p>
    <w:p w:rsidR="00782FA0" w:rsidRPr="00EA2B37" w:rsidRDefault="00782FA0" w:rsidP="00782FA0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16"/>
        </w:rPr>
      </w:pPr>
    </w:p>
    <w:p w:rsidR="00782FA0" w:rsidRPr="00497A8E" w:rsidRDefault="00782FA0" w:rsidP="00782FA0"/>
    <w:p w:rsidR="00782FA0" w:rsidRPr="00497A8E" w:rsidRDefault="00782FA0" w:rsidP="00782FA0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함초롬바탕" w:hAnsi="Times New Roman"/>
          <w:b/>
          <w:color w:val="000033"/>
          <w:sz w:val="24"/>
          <w:szCs w:val="20"/>
        </w:rPr>
      </w:pPr>
      <w:r w:rsidRPr="00497A8E">
        <w:rPr>
          <w:rFonts w:ascii="Times New Roman" w:eastAsia="함초롬바탕" w:hAnsi="Times New Roman"/>
          <w:b/>
          <w:color w:val="000033"/>
          <w:sz w:val="24"/>
          <w:szCs w:val="20"/>
        </w:rPr>
        <w:br w:type="page"/>
      </w:r>
    </w:p>
    <w:p w:rsidR="00782FA0" w:rsidRPr="006F28AB" w:rsidRDefault="00782FA0" w:rsidP="00782FA0">
      <w:pPr>
        <w:spacing w:line="480" w:lineRule="auto"/>
        <w:rPr>
          <w:rFonts w:ascii="Times New Roman" w:eastAsia="함초롬바탕" w:hAnsi="Times New Roman"/>
          <w:color w:val="000033"/>
          <w:sz w:val="24"/>
          <w:szCs w:val="20"/>
        </w:rPr>
      </w:pPr>
      <w:r w:rsidRPr="006F28AB">
        <w:rPr>
          <w:rFonts w:ascii="Times New Roman" w:eastAsia="함초롬바탕" w:hAnsi="Times New Roman"/>
          <w:b/>
          <w:color w:val="000033"/>
          <w:sz w:val="24"/>
          <w:szCs w:val="20"/>
        </w:rPr>
        <w:lastRenderedPageBreak/>
        <w:t xml:space="preserve">Supplemental Table S2. </w:t>
      </w:r>
      <w:r w:rsidRPr="006F28AB">
        <w:rPr>
          <w:rFonts w:ascii="Times New Roman" w:eastAsia="함초롬바탕" w:hAnsi="Times New Roman"/>
          <w:color w:val="000033"/>
          <w:sz w:val="24"/>
          <w:szCs w:val="20"/>
        </w:rPr>
        <w:t>The Comparison of the expression of autophagy and mitophagy markers via western blot analysis between DCI and non-DCI patients. *, **, and *** represent p-value of less than of &lt;0.05, 0.01, and 0.001, respectively.</w:t>
      </w:r>
    </w:p>
    <w:tbl>
      <w:tblPr>
        <w:tblW w:w="765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648"/>
        <w:gridCol w:w="1478"/>
        <w:gridCol w:w="650"/>
        <w:gridCol w:w="1476"/>
        <w:gridCol w:w="1418"/>
      </w:tblGrid>
      <w:tr w:rsidR="00782FA0" w:rsidRPr="006F28AB" w:rsidTr="000A19B5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Non-DCI (n=6)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DCI (n=6)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Statistical</w:t>
            </w:r>
          </w:p>
        </w:tc>
      </w:tr>
      <w:tr w:rsidR="00782FA0" w:rsidRPr="006F28AB" w:rsidTr="000A19B5">
        <w:trPr>
          <w:trHeight w:val="315"/>
        </w:trPr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SEM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Mean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SEM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Significance</w:t>
            </w:r>
          </w:p>
        </w:tc>
      </w:tr>
      <w:tr w:rsidR="00782FA0" w:rsidRPr="006F28AB" w:rsidTr="000A19B5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</w:rPr>
              <w:t>pBeclin1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0.203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0.023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1.660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0.183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***</w:t>
            </w:r>
          </w:p>
        </w:tc>
      </w:tr>
      <w:tr w:rsidR="00782FA0" w:rsidRPr="006F28AB" w:rsidTr="000A19B5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</w:rPr>
              <w:t>Beclin1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0.131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0.008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0.651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0.137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***</w:t>
            </w:r>
          </w:p>
        </w:tc>
      </w:tr>
      <w:tr w:rsidR="00782FA0" w:rsidRPr="006F28AB" w:rsidTr="000A19B5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</w:rPr>
              <w:t>BNIP3L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0.034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0.016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0.585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***</w:t>
            </w:r>
          </w:p>
        </w:tc>
      </w:tr>
      <w:tr w:rsidR="00782FA0" w:rsidRPr="006F28AB" w:rsidTr="000A19B5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</w:rPr>
              <w:t>DAPK1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0.179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0.032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0.912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0.170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***</w:t>
            </w:r>
          </w:p>
        </w:tc>
      </w:tr>
      <w:tr w:rsidR="00782FA0" w:rsidRPr="006F28AB" w:rsidTr="000A19B5">
        <w:trPr>
          <w:trHeight w:val="315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</w:rPr>
              <w:t>PINK1</w:t>
            </w:r>
          </w:p>
        </w:tc>
        <w:tc>
          <w:tcPr>
            <w:tcW w:w="4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0.496</w:t>
            </w:r>
          </w:p>
        </w:tc>
        <w:tc>
          <w:tcPr>
            <w:tcW w:w="1689" w:type="dxa"/>
            <w:tcBorders>
              <w:top w:val="nil"/>
              <w:left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0.050</w:t>
            </w:r>
          </w:p>
        </w:tc>
        <w:tc>
          <w:tcPr>
            <w:tcW w:w="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1.267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0.159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*</w:t>
            </w:r>
          </w:p>
        </w:tc>
      </w:tr>
      <w:tr w:rsidR="00782FA0" w:rsidRPr="006F28AB" w:rsidTr="000A19B5">
        <w:trPr>
          <w:trHeight w:val="315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</w:rPr>
              <w:t>LC3</w:t>
            </w:r>
          </w:p>
        </w:tc>
        <w:tc>
          <w:tcPr>
            <w:tcW w:w="4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0.220</w:t>
            </w:r>
          </w:p>
        </w:tc>
        <w:tc>
          <w:tcPr>
            <w:tcW w:w="1689" w:type="dxa"/>
            <w:tcBorders>
              <w:top w:val="nil"/>
              <w:left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0.095</w:t>
            </w:r>
          </w:p>
        </w:tc>
        <w:tc>
          <w:tcPr>
            <w:tcW w:w="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1.089</w:t>
            </w:r>
          </w:p>
        </w:tc>
        <w:tc>
          <w:tcPr>
            <w:tcW w:w="1476" w:type="dxa"/>
            <w:tcBorders>
              <w:top w:val="nil"/>
              <w:left w:val="nil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0.301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 w:val="22"/>
              </w:rPr>
              <w:t>***</w:t>
            </w:r>
          </w:p>
        </w:tc>
      </w:tr>
      <w:tr w:rsidR="00782FA0" w:rsidRPr="006F28AB" w:rsidTr="000A19B5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</w:rPr>
              <w:t>P62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0.285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0.039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0.073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0.004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82FA0" w:rsidRPr="006F28AB" w:rsidRDefault="00782FA0" w:rsidP="000A19B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F28AB">
              <w:rPr>
                <w:rFonts w:ascii="Times New Roman" w:hAnsi="Times New Roman" w:cs="Times New Roman"/>
                <w:color w:val="000000" w:themeColor="dark1"/>
                <w:kern w:val="24"/>
                <w:szCs w:val="20"/>
              </w:rPr>
              <w:t>***</w:t>
            </w:r>
          </w:p>
        </w:tc>
      </w:tr>
    </w:tbl>
    <w:p w:rsidR="00782FA0" w:rsidRDefault="00782FA0" w:rsidP="00782FA0">
      <w:pPr>
        <w:spacing w:line="480" w:lineRule="auto"/>
        <w:rPr>
          <w:rFonts w:ascii="Times New Roman" w:eastAsia="함초롬바탕" w:hAnsi="Times New Roman"/>
          <w:b/>
          <w:color w:val="000033"/>
          <w:sz w:val="24"/>
          <w:szCs w:val="20"/>
        </w:rPr>
      </w:pPr>
    </w:p>
    <w:p w:rsidR="00782FA0" w:rsidRDefault="00782FA0" w:rsidP="00782FA0">
      <w:pPr>
        <w:spacing w:line="480" w:lineRule="auto"/>
        <w:rPr>
          <w:rFonts w:ascii="Times New Roman" w:eastAsia="함초롬바탕" w:hAnsi="Times New Roman"/>
          <w:b/>
          <w:color w:val="000033"/>
          <w:sz w:val="24"/>
          <w:szCs w:val="20"/>
        </w:rPr>
      </w:pPr>
    </w:p>
    <w:p w:rsidR="00782FA0" w:rsidRPr="00FF0E8A" w:rsidRDefault="00782FA0" w:rsidP="00782FA0">
      <w:pPr>
        <w:spacing w:line="480" w:lineRule="auto"/>
        <w:rPr>
          <w:rFonts w:ascii="Times New Roman" w:eastAsia="함초롬바탕" w:hAnsi="Times New Roman"/>
          <w:color w:val="000033"/>
          <w:sz w:val="24"/>
          <w:szCs w:val="20"/>
        </w:rPr>
      </w:pPr>
      <w:r w:rsidRPr="00FF0E8A">
        <w:rPr>
          <w:rFonts w:ascii="Times New Roman" w:eastAsia="함초롬바탕" w:hAnsi="Times New Roman" w:hint="eastAsia"/>
          <w:b/>
          <w:color w:val="000033"/>
          <w:sz w:val="24"/>
          <w:szCs w:val="20"/>
        </w:rPr>
        <w:t>Supplemental Table S</w:t>
      </w:r>
      <w:r>
        <w:rPr>
          <w:rFonts w:ascii="Times New Roman" w:eastAsia="함초롬바탕" w:hAnsi="Times New Roman"/>
          <w:b/>
          <w:color w:val="000033"/>
          <w:sz w:val="24"/>
          <w:szCs w:val="20"/>
        </w:rPr>
        <w:t>3</w:t>
      </w:r>
      <w:r w:rsidRPr="00FF0E8A">
        <w:rPr>
          <w:rFonts w:ascii="Times New Roman" w:eastAsia="함초롬바탕" w:hAnsi="Times New Roman" w:hint="eastAsia"/>
          <w:color w:val="000033"/>
          <w:sz w:val="24"/>
          <w:szCs w:val="20"/>
        </w:rPr>
        <w:t xml:space="preserve">. </w:t>
      </w:r>
      <w:r w:rsidRPr="00FF0E8A">
        <w:rPr>
          <w:rFonts w:ascii="Times New Roman" w:eastAsia="함초롬바탕" w:hAnsi="Times New Roman"/>
          <w:color w:val="000033"/>
          <w:sz w:val="24"/>
          <w:szCs w:val="20"/>
        </w:rPr>
        <w:t xml:space="preserve">Comparison of </w:t>
      </w:r>
      <w:r w:rsidRPr="00FF0E8A">
        <w:rPr>
          <w:rFonts w:ascii="Times New Roman" w:eastAsia="함초롬바탕" w:hAnsi="Times New Roman"/>
          <w:bCs/>
          <w:color w:val="000000" w:themeColor="text1"/>
          <w:kern w:val="0"/>
          <w:sz w:val="24"/>
          <w:szCs w:val="24"/>
        </w:rPr>
        <w:t xml:space="preserve">autophagy and </w:t>
      </w:r>
      <w:r w:rsidRPr="00FF0E8A">
        <w:rPr>
          <w:rFonts w:ascii="Times New Roman" w:eastAsia="함초롬바탕" w:hAnsi="Times New Roman" w:hint="eastAsia"/>
          <w:bCs/>
          <w:color w:val="000000" w:themeColor="text1"/>
          <w:kern w:val="0"/>
          <w:sz w:val="24"/>
          <w:szCs w:val="24"/>
        </w:rPr>
        <w:t xml:space="preserve">mitophagy markers </w:t>
      </w:r>
      <w:r w:rsidRPr="00FF0E8A">
        <w:rPr>
          <w:rFonts w:ascii="Times New Roman" w:eastAsia="함초롬바탕" w:hAnsi="Times New Roman"/>
          <w:bCs/>
          <w:color w:val="000000" w:themeColor="text1"/>
          <w:kern w:val="0"/>
          <w:sz w:val="24"/>
          <w:szCs w:val="24"/>
        </w:rPr>
        <w:t xml:space="preserve">expressed </w:t>
      </w:r>
      <w:r w:rsidRPr="00FF0E8A">
        <w:rPr>
          <w:rFonts w:ascii="Times New Roman" w:eastAsia="함초롬바탕" w:hAnsi="Times New Roman" w:hint="eastAsia"/>
          <w:bCs/>
          <w:color w:val="000000" w:themeColor="text1"/>
          <w:kern w:val="0"/>
          <w:sz w:val="24"/>
          <w:szCs w:val="24"/>
        </w:rPr>
        <w:t>in CSF</w:t>
      </w:r>
      <w:r w:rsidRPr="00FF0E8A">
        <w:rPr>
          <w:rFonts w:ascii="Times New Roman" w:eastAsia="함초롬바탕" w:hAnsi="Times New Roman"/>
          <w:bCs/>
          <w:color w:val="000000" w:themeColor="text1"/>
          <w:kern w:val="0"/>
          <w:sz w:val="24"/>
          <w:szCs w:val="24"/>
        </w:rPr>
        <w:t xml:space="preserve"> </w:t>
      </w:r>
      <w:r w:rsidRPr="00FF0E8A">
        <w:rPr>
          <w:rFonts w:ascii="Times New Roman" w:eastAsia="함초롬바탕" w:hAnsi="Times New Roman" w:hint="eastAsia"/>
          <w:bCs/>
          <w:color w:val="000000" w:themeColor="text1"/>
          <w:kern w:val="0"/>
          <w:sz w:val="24"/>
          <w:szCs w:val="24"/>
        </w:rPr>
        <w:t xml:space="preserve">cells </w:t>
      </w:r>
      <w:r w:rsidRPr="00FF0E8A">
        <w:rPr>
          <w:rFonts w:ascii="Times New Roman" w:eastAsia="함초롬바탕" w:hAnsi="Times New Roman"/>
          <w:bCs/>
          <w:color w:val="000000" w:themeColor="text1"/>
          <w:kern w:val="0"/>
          <w:sz w:val="24"/>
          <w:szCs w:val="24"/>
        </w:rPr>
        <w:t xml:space="preserve">of </w:t>
      </w:r>
      <w:r w:rsidRPr="00FF0E8A">
        <w:rPr>
          <w:rFonts w:ascii="Times New Roman" w:eastAsia="함초롬바탕" w:hAnsi="Times New Roman" w:hint="eastAsia"/>
          <w:bCs/>
          <w:color w:val="000000" w:themeColor="text1"/>
          <w:kern w:val="0"/>
          <w:sz w:val="24"/>
          <w:szCs w:val="24"/>
        </w:rPr>
        <w:t>SAH</w:t>
      </w:r>
      <w:r w:rsidRPr="00FF0E8A">
        <w:rPr>
          <w:rFonts w:ascii="Times New Roman" w:eastAsia="함초롬바탕" w:hAnsi="Times New Roman"/>
          <w:bCs/>
          <w:color w:val="000000" w:themeColor="text1"/>
          <w:kern w:val="0"/>
          <w:sz w:val="24"/>
          <w:szCs w:val="24"/>
        </w:rPr>
        <w:t xml:space="preserve"> patients according to the initial clinical severity of high Hunt and Hess (H-H) grades IV and V and non-high H-H grades I, II, and III. </w:t>
      </w:r>
    </w:p>
    <w:tbl>
      <w:tblPr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2268"/>
        <w:gridCol w:w="2693"/>
        <w:gridCol w:w="1843"/>
      </w:tblGrid>
      <w:tr w:rsidR="00782FA0" w:rsidRPr="005A2303" w:rsidTr="000A19B5">
        <w:trPr>
          <w:trHeight w:val="315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Non-high H-H grade </w:t>
            </w:r>
          </w:p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>(n=34)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>High H-H grade</w:t>
            </w:r>
          </w:p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(n=22)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>p-value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D</w:t>
            </w: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APK1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0784 (0.0234 – 0.1920)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0.1780 (0.0576 – 0.2810)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0.166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BNIP3L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0563 (0.0254 – 0.1110)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0.0901 (0.0308 – 0.1990)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347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PINK1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0548 (0.0368 – 0.0732)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0432 (0.0181 – 0.0769)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kern w:val="0"/>
                <w:szCs w:val="20"/>
              </w:rPr>
              <w:t>591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BAX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1730 (0.0007 – 0.0129)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0.2270 (0.1350 – 0.3240)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kern w:val="0"/>
                <w:szCs w:val="20"/>
              </w:rPr>
              <w:t>056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ULK1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0033 (0.0234 – 0.1920)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0073 (0.0037 – 0.0195)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kern w:val="0"/>
                <w:szCs w:val="20"/>
              </w:rPr>
              <w:t>085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NDP52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1810 (0.0532 – 0.2750)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1780 (0.0430 – 0.2620)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kern w:val="0"/>
                <w:szCs w:val="20"/>
              </w:rPr>
              <w:t>0.788</w:t>
            </w:r>
          </w:p>
        </w:tc>
      </w:tr>
    </w:tbl>
    <w:p w:rsidR="00782FA0" w:rsidRDefault="00782FA0" w:rsidP="00782FA0">
      <w:pPr>
        <w:spacing w:line="480" w:lineRule="auto"/>
        <w:rPr>
          <w:rFonts w:ascii="Times New Roman" w:eastAsia="함초롬바탕" w:hAnsi="Times New Roman"/>
          <w:color w:val="000033"/>
          <w:sz w:val="24"/>
          <w:szCs w:val="20"/>
          <w:shd w:val="clear" w:color="auto" w:fill="FFFFFF"/>
        </w:rPr>
      </w:pPr>
    </w:p>
    <w:p w:rsidR="00782FA0" w:rsidRDefault="00782FA0" w:rsidP="00782FA0">
      <w:pPr>
        <w:spacing w:line="480" w:lineRule="auto"/>
        <w:rPr>
          <w:rFonts w:ascii="Times New Roman" w:eastAsia="함초롬바탕" w:hAnsi="Times New Roman"/>
          <w:b/>
          <w:color w:val="000033"/>
          <w:sz w:val="24"/>
          <w:szCs w:val="20"/>
        </w:rPr>
      </w:pPr>
    </w:p>
    <w:p w:rsidR="00782FA0" w:rsidRPr="00FF0E8A" w:rsidRDefault="00782FA0" w:rsidP="00782FA0">
      <w:pPr>
        <w:spacing w:line="480" w:lineRule="auto"/>
        <w:rPr>
          <w:rFonts w:ascii="Times New Roman" w:eastAsia="함초롬바탕" w:hAnsi="Times New Roman"/>
          <w:color w:val="000033"/>
          <w:sz w:val="24"/>
          <w:szCs w:val="20"/>
        </w:rPr>
      </w:pPr>
      <w:r>
        <w:rPr>
          <w:rFonts w:ascii="Times New Roman" w:eastAsia="함초롬바탕" w:hAnsi="Times New Roman" w:hint="eastAsia"/>
          <w:b/>
          <w:color w:val="000033"/>
          <w:sz w:val="24"/>
          <w:szCs w:val="20"/>
        </w:rPr>
        <w:lastRenderedPageBreak/>
        <w:t>Supplemental Table S4</w:t>
      </w:r>
      <w:r w:rsidRPr="00FF0E8A">
        <w:rPr>
          <w:rFonts w:ascii="Times New Roman" w:eastAsia="함초롬바탕" w:hAnsi="Times New Roman" w:hint="eastAsia"/>
          <w:color w:val="000033"/>
          <w:sz w:val="24"/>
          <w:szCs w:val="20"/>
        </w:rPr>
        <w:t xml:space="preserve">. </w:t>
      </w:r>
      <w:r w:rsidRPr="00FF0E8A">
        <w:rPr>
          <w:rFonts w:ascii="Times New Roman" w:eastAsia="함초롬바탕" w:hAnsi="Times New Roman"/>
          <w:color w:val="000033"/>
          <w:sz w:val="24"/>
          <w:szCs w:val="20"/>
        </w:rPr>
        <w:t xml:space="preserve">Comparison of </w:t>
      </w:r>
      <w:r w:rsidRPr="00FF0E8A">
        <w:rPr>
          <w:rFonts w:ascii="Times New Roman" w:eastAsia="함초롬바탕" w:hAnsi="Times New Roman"/>
          <w:bCs/>
          <w:color w:val="000000" w:themeColor="text1"/>
          <w:kern w:val="0"/>
          <w:sz w:val="24"/>
          <w:szCs w:val="24"/>
        </w:rPr>
        <w:t xml:space="preserve">autophagy and </w:t>
      </w:r>
      <w:r w:rsidRPr="00FF0E8A">
        <w:rPr>
          <w:rFonts w:ascii="Times New Roman" w:eastAsia="함초롬바탕" w:hAnsi="Times New Roman" w:hint="eastAsia"/>
          <w:bCs/>
          <w:color w:val="000000" w:themeColor="text1"/>
          <w:kern w:val="0"/>
          <w:sz w:val="24"/>
          <w:szCs w:val="24"/>
        </w:rPr>
        <w:t xml:space="preserve">mitophagy markers </w:t>
      </w:r>
      <w:r w:rsidRPr="00FF0E8A">
        <w:rPr>
          <w:rFonts w:ascii="Times New Roman" w:eastAsia="함초롬바탕" w:hAnsi="Times New Roman"/>
          <w:bCs/>
          <w:color w:val="000000" w:themeColor="text1"/>
          <w:kern w:val="0"/>
          <w:sz w:val="24"/>
          <w:szCs w:val="24"/>
        </w:rPr>
        <w:t xml:space="preserve">expressed </w:t>
      </w:r>
      <w:r w:rsidRPr="00FF0E8A">
        <w:rPr>
          <w:rFonts w:ascii="Times New Roman" w:eastAsia="함초롬바탕" w:hAnsi="Times New Roman" w:hint="eastAsia"/>
          <w:bCs/>
          <w:color w:val="000000" w:themeColor="text1"/>
          <w:kern w:val="0"/>
          <w:sz w:val="24"/>
          <w:szCs w:val="24"/>
        </w:rPr>
        <w:t xml:space="preserve">in CSF cells </w:t>
      </w:r>
      <w:r w:rsidRPr="00FF0E8A">
        <w:rPr>
          <w:rFonts w:ascii="Times New Roman" w:eastAsia="함초롬바탕" w:hAnsi="Times New Roman"/>
          <w:bCs/>
          <w:color w:val="000000" w:themeColor="text1"/>
          <w:kern w:val="0"/>
          <w:sz w:val="24"/>
          <w:szCs w:val="24"/>
        </w:rPr>
        <w:t xml:space="preserve">of </w:t>
      </w:r>
      <w:r w:rsidRPr="00FF0E8A">
        <w:rPr>
          <w:rFonts w:ascii="Times New Roman" w:eastAsia="함초롬바탕" w:hAnsi="Times New Roman" w:hint="eastAsia"/>
          <w:bCs/>
          <w:color w:val="000000" w:themeColor="text1"/>
          <w:kern w:val="0"/>
          <w:sz w:val="24"/>
          <w:szCs w:val="24"/>
        </w:rPr>
        <w:t>SAH</w:t>
      </w:r>
      <w:r w:rsidRPr="00FF0E8A">
        <w:rPr>
          <w:rFonts w:ascii="Times New Roman" w:eastAsia="함초롬바탕" w:hAnsi="Times New Roman"/>
          <w:bCs/>
          <w:color w:val="000000" w:themeColor="text1"/>
          <w:kern w:val="0"/>
          <w:sz w:val="24"/>
          <w:szCs w:val="24"/>
        </w:rPr>
        <w:t xml:space="preserve"> patients according to clinical outcomes 3 months after ictus.  </w:t>
      </w:r>
    </w:p>
    <w:tbl>
      <w:tblPr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2268"/>
        <w:gridCol w:w="2693"/>
        <w:gridCol w:w="1843"/>
      </w:tblGrid>
      <w:tr w:rsidR="00782FA0" w:rsidRPr="005A2303" w:rsidTr="000A19B5">
        <w:trPr>
          <w:trHeight w:val="315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Good outcome  </w:t>
            </w:r>
          </w:p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>(n=36)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>Poor outcome</w:t>
            </w:r>
          </w:p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(n=20)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 w:val="22"/>
              </w:rPr>
              <w:t>p-value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D</w:t>
            </w: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APK1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0967 (0.0239 – 0.1980)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0.1160 (0.0353 – 0.2660)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0.831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BNIP3L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0629 (0.0341 – 0.1380)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0.0539 (0.0201 – 0.1660)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555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PINK1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0521 (0.0364 – 0.0720)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0432 (0.0127 – 0.0795)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kern w:val="0"/>
                <w:szCs w:val="20"/>
              </w:rPr>
              <w:t>0.505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BAX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1800 (0.0992 – 0.2170)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0.2080 (0.1230 – 0.3910)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kern w:val="0"/>
                <w:szCs w:val="20"/>
              </w:rPr>
              <w:t>235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ULK1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0038 (0.0006 – 0.0117)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0068 (0.0035 – 0.0305)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kern w:val="0"/>
                <w:szCs w:val="20"/>
              </w:rPr>
              <w:t>055</w:t>
            </w:r>
          </w:p>
        </w:tc>
      </w:tr>
      <w:tr w:rsidR="00782FA0" w:rsidRPr="005A2303" w:rsidTr="000A19B5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NDP52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1970 (0.0494 – 0.2790)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 w:hint="eastAsia"/>
                <w:color w:val="000000"/>
                <w:kern w:val="0"/>
                <w:szCs w:val="20"/>
              </w:rPr>
              <w:t>0.</w:t>
            </w:r>
            <w:r w:rsidRPr="005A2303">
              <w:rPr>
                <w:rFonts w:ascii="Times New Roman" w:hAnsi="Times New Roman"/>
                <w:color w:val="000000"/>
                <w:kern w:val="0"/>
                <w:szCs w:val="20"/>
              </w:rPr>
              <w:t>1040 (0.0430 – 0.2430)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82FA0" w:rsidRPr="005A2303" w:rsidRDefault="00782FA0" w:rsidP="000A19B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5A2303">
              <w:rPr>
                <w:rFonts w:ascii="Times New Roman" w:hAnsi="Times New Roman"/>
                <w:kern w:val="0"/>
                <w:szCs w:val="20"/>
              </w:rPr>
              <w:t>0.330</w:t>
            </w:r>
          </w:p>
        </w:tc>
      </w:tr>
    </w:tbl>
    <w:p w:rsidR="00782FA0" w:rsidRPr="00323FE2" w:rsidRDefault="00782FA0" w:rsidP="00782FA0">
      <w:pPr>
        <w:spacing w:line="480" w:lineRule="auto"/>
        <w:rPr>
          <w:rFonts w:ascii="Times New Roman" w:eastAsia="함초롬바탕" w:hAnsi="Times New Roman"/>
          <w:color w:val="000033"/>
          <w:sz w:val="24"/>
          <w:szCs w:val="20"/>
          <w:shd w:val="pct15" w:color="auto" w:fill="FFFFFF"/>
        </w:rPr>
      </w:pPr>
    </w:p>
    <w:p w:rsidR="00782FA0" w:rsidRPr="00E207FA" w:rsidRDefault="00782FA0" w:rsidP="00782FA0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  <w:szCs w:val="24"/>
        </w:rPr>
      </w:pPr>
    </w:p>
    <w:p w:rsidR="00782FA0" w:rsidRDefault="00782FA0" w:rsidP="00782FA0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함초롬바탕" w:hAnsi="Times New Roman" w:cs="Times New Roman"/>
          <w:bCs/>
          <w:color w:val="000000"/>
          <w:kern w:val="0"/>
          <w:sz w:val="24"/>
          <w:szCs w:val="24"/>
        </w:rPr>
      </w:pPr>
    </w:p>
    <w:p w:rsidR="00782FA0" w:rsidRDefault="00782FA0" w:rsidP="00782FA0"/>
    <w:p w:rsidR="00782FA0" w:rsidRDefault="00782FA0" w:rsidP="00782FA0"/>
    <w:p w:rsidR="00782FA0" w:rsidRPr="00323FE2" w:rsidRDefault="00782FA0" w:rsidP="00782FA0">
      <w:pPr>
        <w:widowControl/>
        <w:wordWrap/>
        <w:autoSpaceDE/>
        <w:autoSpaceDN/>
        <w:spacing w:line="480" w:lineRule="auto"/>
        <w:jc w:val="left"/>
        <w:rPr>
          <w:rFonts w:ascii="Times New Roman" w:eastAsia="굴림" w:hAnsi="Times New Roman"/>
          <w:color w:val="000000" w:themeColor="text1"/>
          <w:kern w:val="0"/>
          <w:sz w:val="24"/>
          <w:szCs w:val="20"/>
          <w:shd w:val="pct15" w:color="auto" w:fill="FFFFFF"/>
        </w:rPr>
      </w:pPr>
    </w:p>
    <w:p w:rsidR="00782FA0" w:rsidRPr="00626E26" w:rsidRDefault="00782FA0" w:rsidP="00782FA0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  <w:szCs w:val="24"/>
        </w:rPr>
      </w:pPr>
    </w:p>
    <w:p w:rsidR="00782FA0" w:rsidRDefault="00782FA0" w:rsidP="00782FA0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함초롬바탕" w:hAnsi="Times New Roman" w:cs="Times New Roman"/>
          <w:bCs/>
          <w:color w:val="000000"/>
          <w:kern w:val="0"/>
          <w:sz w:val="24"/>
          <w:szCs w:val="24"/>
        </w:rPr>
      </w:pPr>
    </w:p>
    <w:p w:rsidR="00782FA0" w:rsidRDefault="00782FA0" w:rsidP="00782FA0"/>
    <w:p w:rsidR="009F17BE" w:rsidRDefault="009F17BE">
      <w:bookmarkStart w:id="0" w:name="_GoBack"/>
      <w:bookmarkEnd w:id="0"/>
    </w:p>
    <w:sectPr w:rsidR="009F17BE" w:rsidSect="0094104A">
      <w:footerReference w:type="default" r:id="rId4"/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default"/>
    <w:sig w:usb0="E0000AFF" w:usb1="500078FF" w:usb2="00000021" w:usb3="00000001" w:csb0="600001BF" w:csb1="DFF70000"/>
  </w:font>
  <w:font w:name="Songti TC">
    <w:altName w:val="Times New Roman"/>
    <w:charset w:val="00"/>
    <w:family w:val="roman"/>
    <w:pitch w:val="default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936562"/>
      <w:docPartObj>
        <w:docPartGallery w:val="Page Numbers (Bottom of Page)"/>
        <w:docPartUnique/>
      </w:docPartObj>
    </w:sdtPr>
    <w:sdtEndPr/>
    <w:sdtContent>
      <w:p w:rsidR="00DD2A87" w:rsidRDefault="00782FA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782FA0">
          <w:rPr>
            <w:noProof/>
            <w:lang w:val="ko-KR"/>
          </w:rPr>
          <w:t>4</w:t>
        </w:r>
        <w:r>
          <w:rPr>
            <w:noProof/>
            <w:lang w:val="ko-KR"/>
          </w:rPr>
          <w:fldChar w:fldCharType="end"/>
        </w:r>
      </w:p>
    </w:sdtContent>
  </w:sdt>
  <w:p w:rsidR="00DD2A87" w:rsidRDefault="00782FA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FA0"/>
    <w:rsid w:val="00782FA0"/>
    <w:rsid w:val="009F1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BE589D-4ED6-40D8-82C4-955C65380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FA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782FA0"/>
    <w:pPr>
      <w:spacing w:after="0"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782FA0"/>
    <w:rPr>
      <w:rFonts w:ascii="맑은 고딕" w:eastAsia="맑은 고딕" w:hAnsi="맑은 고딕"/>
      <w:noProof/>
    </w:rPr>
  </w:style>
  <w:style w:type="paragraph" w:styleId="a3">
    <w:name w:val="footer"/>
    <w:basedOn w:val="a"/>
    <w:link w:val="Char"/>
    <w:uiPriority w:val="99"/>
    <w:unhideWhenUsed/>
    <w:rsid w:val="00782FA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782FA0"/>
  </w:style>
  <w:style w:type="paragraph" w:customStyle="1" w:styleId="TableContents">
    <w:name w:val="Table Contents"/>
    <w:basedOn w:val="a"/>
    <w:qFormat/>
    <w:rsid w:val="00782FA0"/>
    <w:pPr>
      <w:widowControl/>
      <w:suppressLineNumbers/>
      <w:wordWrap/>
      <w:autoSpaceDE/>
      <w:autoSpaceDN/>
      <w:spacing w:after="0" w:line="240" w:lineRule="auto"/>
      <w:jc w:val="left"/>
    </w:pPr>
    <w:rPr>
      <w:rFonts w:ascii="Liberation Serif" w:eastAsia="Songti TC" w:hAnsi="Liberation Serif" w:cs="Arial Unicode MS"/>
      <w:sz w:val="24"/>
      <w:szCs w:val="24"/>
      <w:lang w:eastAsia="zh-TW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2021-04-05T01:19:00Z</dcterms:created>
  <dcterms:modified xsi:type="dcterms:W3CDTF">2021-04-05T01:19:00Z</dcterms:modified>
</cp:coreProperties>
</file>