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C06" w:rsidRDefault="006E2C06" w:rsidP="006E2C06">
      <w:pPr>
        <w:spacing w:line="480" w:lineRule="auto"/>
        <w:rPr>
          <w:rFonts w:ascii="Times New Roman" w:eastAsia="Times New Roman" w:hAnsi="Times New Roman" w:cs="Times New Roman"/>
          <w:b/>
          <w:highlight w:val="white"/>
        </w:rPr>
      </w:pPr>
      <w:r>
        <w:rPr>
          <w:rFonts w:ascii="Times New Roman" w:eastAsia="Times New Roman" w:hAnsi="Times New Roman" w:cs="Times New Roman"/>
          <w:b/>
        </w:rPr>
        <w:t>SUPPLEMENTARY</w:t>
      </w:r>
    </w:p>
    <w:p w:rsidR="006E2C06" w:rsidRDefault="006E2C06" w:rsidP="006E2C06">
      <w:pPr>
        <w:rPr>
          <w:rFonts w:ascii="Times New Roman" w:eastAsia="Times New Roman" w:hAnsi="Times New Roman" w:cs="Times New Roman"/>
          <w:b/>
          <w:highlight w:val="white"/>
        </w:rPr>
      </w:pPr>
    </w:p>
    <w:p w:rsidR="006E2C06" w:rsidRDefault="006E2C06" w:rsidP="006E2C06">
      <w:pPr>
        <w:spacing w:line="480" w:lineRule="auto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b/>
          <w:highlight w:val="white"/>
        </w:rPr>
        <w:t xml:space="preserve">Supplementary Table 1. </w:t>
      </w:r>
      <w:r>
        <w:rPr>
          <w:rFonts w:ascii="Times New Roman" w:eastAsia="Times New Roman" w:hAnsi="Times New Roman" w:cs="Times New Roman"/>
        </w:rPr>
        <w:t xml:space="preserve">Comparison of baseline characteristics between the stringent ML defined cohort (cutoff=0.99) and the two criteria based cohorts. </w:t>
      </w:r>
    </w:p>
    <w:p w:rsidR="006E2C06" w:rsidRDefault="006E2C06" w:rsidP="006E2C06">
      <w:pPr>
        <w:rPr>
          <w:rFonts w:ascii="Times New Roman" w:eastAsia="Times New Roman" w:hAnsi="Times New Roman" w:cs="Times New Roman"/>
          <w:b/>
          <w:highlight w:val="white"/>
        </w:rPr>
      </w:pPr>
    </w:p>
    <w:p w:rsidR="006E2C06" w:rsidRDefault="006E2C06" w:rsidP="006E2C06">
      <w:pPr>
        <w:rPr>
          <w:rFonts w:ascii="Times New Roman" w:eastAsia="Times New Roman" w:hAnsi="Times New Roman" w:cs="Times New Roman"/>
          <w:b/>
          <w:highlight w:val="white"/>
        </w:rPr>
      </w:pPr>
    </w:p>
    <w:tbl>
      <w:tblPr>
        <w:tblW w:w="88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20"/>
        <w:gridCol w:w="2220"/>
        <w:gridCol w:w="2220"/>
        <w:gridCol w:w="2220"/>
      </w:tblGrid>
      <w:tr w:rsidR="006E2C06" w:rsidTr="00BC419A">
        <w:trPr>
          <w:trHeight w:val="1170"/>
        </w:trPr>
        <w:tc>
          <w:tcPr>
            <w:tcW w:w="2268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highlight w:val="white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Pr="001E417F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 w:rsidRPr="001E417F">
              <w:rPr>
                <w:rFonts w:ascii="Times New Roman" w:eastAsia="Times New Roman" w:hAnsi="Times New Roman" w:cs="Times New Roman"/>
                <w:highlight w:val="white"/>
              </w:rPr>
              <w:t>Predicted Case based on machine learning (cutoff=0.99)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Pr="001E417F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 w:rsidRPr="001E417F">
              <w:rPr>
                <w:rFonts w:ascii="Times New Roman" w:eastAsia="Times New Roman" w:hAnsi="Times New Roman" w:cs="Times New Roman"/>
                <w:highlight w:val="white"/>
              </w:rPr>
              <w:t xml:space="preserve">1987 Criteria Based Cases 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Pr="001E417F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 w:rsidRPr="001E417F">
              <w:rPr>
                <w:rFonts w:ascii="Times New Roman" w:eastAsia="Times New Roman" w:hAnsi="Times New Roman" w:cs="Times New Roman"/>
                <w:highlight w:val="white"/>
              </w:rPr>
              <w:t>2010 Criteria Based Case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N☨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303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386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457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Proportion Women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0.65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0.63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0.66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Proportion anti-CCP2 Positive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0.58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0.49*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0.49*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Proportion RF positive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0.62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0.58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0.59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Median DAS44 at Baseline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2.8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2.9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2.9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Median BMI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26.0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25.6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25.6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Median BSE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26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Median CRP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9.7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10.5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9.0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Median Age at Inclusion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57.6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58.7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57.2</w:t>
            </w:r>
          </w:p>
        </w:tc>
      </w:tr>
      <w:tr w:rsidR="006E2C06" w:rsidTr="00BC419A">
        <w:trPr>
          <w:trHeight w:val="55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lastRenderedPageBreak/>
              <w:t>Median Symptom Duration at Diagnosis (days)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89.0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89.5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91.0</w:t>
            </w:r>
          </w:p>
        </w:tc>
      </w:tr>
      <w:tr w:rsidR="006E2C06" w:rsidTr="00BC419A">
        <w:trPr>
          <w:trHeight w:val="55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Median Number of Swollen Joints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5</w:t>
            </w:r>
          </w:p>
        </w:tc>
      </w:tr>
    </w:tbl>
    <w:p w:rsidR="006E2C06" w:rsidRDefault="006E2C06" w:rsidP="006E2C06">
      <w:pPr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</w:rPr>
        <w:t xml:space="preserve">P-values were calculated with the Pearson Chi-Squared for proportions, Mann-Whitney U for medians: * p&lt;0.05; ** p&lt;0.01, *** p&lt;0.001; ☨ Not statistically tested; </w:t>
      </w:r>
    </w:p>
    <w:p w:rsidR="006E2C06" w:rsidRDefault="006E2C06" w:rsidP="006E2C06">
      <w:pPr>
        <w:spacing w:line="480" w:lineRule="auto"/>
        <w:rPr>
          <w:rFonts w:ascii="Times New Roman" w:eastAsia="Times New Roman" w:hAnsi="Times New Roman" w:cs="Times New Roman"/>
          <w:i/>
          <w:sz w:val="16"/>
          <w:szCs w:val="16"/>
        </w:rPr>
      </w:pPr>
    </w:p>
    <w:p w:rsidR="006E2C06" w:rsidRDefault="006E2C06" w:rsidP="006E2C06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:rsidR="006E2C06" w:rsidRDefault="006E2C06" w:rsidP="006E2C0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noProof/>
          <w:lang w:eastAsia="en-US"/>
        </w:rPr>
        <w:lastRenderedPageBreak/>
        <w:drawing>
          <wp:inline distT="114300" distB="114300" distL="114300" distR="114300" wp14:anchorId="1610870F" wp14:editId="131A1275">
            <wp:extent cx="5943600" cy="3263900"/>
            <wp:effectExtent l="0" t="0" r="0" b="0"/>
            <wp:docPr id="1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E2C06" w:rsidRDefault="006E2C06" w:rsidP="006E2C0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figure 1</w:t>
      </w:r>
      <w:r>
        <w:rPr>
          <w:rFonts w:ascii="Times New Roman" w:eastAsia="Times New Roman" w:hAnsi="Times New Roman" w:cs="Times New Roman"/>
        </w:rPr>
        <w:t xml:space="preserve"> Swarm plot SVM depicting the support vector machine–derived probability of being either non-rheumatoid arthritis (blue) or rheumatoid arthritis (green) in the model development set. The dotted lines display the optimal cutoffs: 0.99 (PPV&gt;0.95), 0.83 (Sens&gt;0.85; PPV&gt;0.95) and 0.53 (Sens&gt;0.95). Sens: sensitivity, Spec: specificity; PPV: positive predictive value; NPV: negative predictive value; </w:t>
      </w:r>
      <w:proofErr w:type="spellStart"/>
      <w:r>
        <w:rPr>
          <w:rFonts w:ascii="Times New Roman" w:eastAsia="Times New Roman" w:hAnsi="Times New Roman" w:cs="Times New Roman"/>
        </w:rPr>
        <w:t>Acc</w:t>
      </w:r>
      <w:proofErr w:type="spellEnd"/>
      <w:r>
        <w:rPr>
          <w:rFonts w:ascii="Times New Roman" w:eastAsia="Times New Roman" w:hAnsi="Times New Roman" w:cs="Times New Roman"/>
        </w:rPr>
        <w:t>: accuracy; F1: F1 score. This figure is adapted from “</w:t>
      </w:r>
      <w:r w:rsidRPr="0049379C">
        <w:rPr>
          <w:rFonts w:ascii="Times New Roman" w:eastAsia="Times New Roman" w:hAnsi="Times New Roman" w:cs="Times New Roman"/>
        </w:rPr>
        <w:t>Machine Learning Electronic Health Record Identification of Patients with Rheumatoid Arthritis: Algorithm Pipeline Development and Validation Study</w:t>
      </w:r>
      <w:r>
        <w:rPr>
          <w:rFonts w:ascii="Times New Roman" w:eastAsia="Times New Roman" w:hAnsi="Times New Roman" w:cs="Times New Roman"/>
        </w:rPr>
        <w:t xml:space="preserve">” by T.D. </w:t>
      </w:r>
      <w:proofErr w:type="spellStart"/>
      <w:r>
        <w:rPr>
          <w:rFonts w:ascii="Times New Roman" w:eastAsia="Times New Roman" w:hAnsi="Times New Roman" w:cs="Times New Roman"/>
        </w:rPr>
        <w:t>Maarseveen</w:t>
      </w:r>
      <w:proofErr w:type="spellEnd"/>
      <w:r>
        <w:rPr>
          <w:rFonts w:ascii="Times New Roman" w:eastAsia="Times New Roman" w:hAnsi="Times New Roman" w:cs="Times New Roman"/>
        </w:rPr>
        <w:t xml:space="preserve"> et al, 2020, JMIR.</w:t>
      </w:r>
    </w:p>
    <w:p w:rsidR="006E2C06" w:rsidRDefault="006E2C06" w:rsidP="006E2C0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:rsidR="006E2C06" w:rsidRDefault="006E2C06" w:rsidP="006E2C06">
      <w:pPr>
        <w:spacing w:line="48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noProof/>
          <w:sz w:val="16"/>
          <w:szCs w:val="16"/>
          <w:lang w:eastAsia="en-US"/>
        </w:rPr>
        <w:lastRenderedPageBreak/>
        <w:drawing>
          <wp:inline distT="114300" distB="114300" distL="114300" distR="114300" wp14:anchorId="6A42DB55" wp14:editId="21E53B00">
            <wp:extent cx="5943600" cy="5943600"/>
            <wp:effectExtent l="0" t="0" r="0" b="0"/>
            <wp:docPr id="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E2C06" w:rsidRDefault="006E2C06" w:rsidP="006E2C0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figure 2</w:t>
      </w:r>
      <w:r>
        <w:rPr>
          <w:rFonts w:ascii="Times New Roman" w:eastAsia="Times New Roman" w:hAnsi="Times New Roman" w:cs="Times New Roman"/>
        </w:rPr>
        <w:t xml:space="preserve"> Upset plot visualizing the intersections of the ML defined cohort with the stringent cutoff (0.99) and the 2 criteria based gold standards, with a bar chart depicting the total cohort size in the bottom-left. Where C1987 = 1987 criteria based cases; ML= Machine learning based cases; C2010 = 2010 criteria based cases. N = 556 unique cases out of 1,212 records.</w:t>
      </w:r>
      <w:r>
        <w:br w:type="page"/>
      </w:r>
    </w:p>
    <w:p w:rsidR="006E2C06" w:rsidRDefault="006E2C06" w:rsidP="006E2C06">
      <w:pPr>
        <w:spacing w:line="480" w:lineRule="auto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b/>
          <w:highlight w:val="white"/>
        </w:rPr>
        <w:lastRenderedPageBreak/>
        <w:t xml:space="preserve">Supplementary Table 2. </w:t>
      </w:r>
      <w:r>
        <w:rPr>
          <w:rFonts w:ascii="Times New Roman" w:eastAsia="Times New Roman" w:hAnsi="Times New Roman" w:cs="Times New Roman"/>
        </w:rPr>
        <w:t>Comparison of baseline characteristics between the lenient ML defined cohort (cutoff=0.99) and the two criteria based cohorts.</w:t>
      </w:r>
    </w:p>
    <w:tbl>
      <w:tblPr>
        <w:tblW w:w="88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20"/>
        <w:gridCol w:w="2220"/>
        <w:gridCol w:w="2220"/>
        <w:gridCol w:w="2220"/>
      </w:tblGrid>
      <w:tr w:rsidR="006E2C06" w:rsidTr="00BC419A">
        <w:trPr>
          <w:trHeight w:val="1170"/>
        </w:trPr>
        <w:tc>
          <w:tcPr>
            <w:tcW w:w="2268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Pr="001E417F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1E417F">
              <w:rPr>
                <w:rFonts w:ascii="Times New Roman" w:eastAsia="Times New Roman" w:hAnsi="Times New Roman" w:cs="Times New Roman"/>
              </w:rPr>
              <w:t>Predicted Case based on machine learning (cutoff=0.53)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Pr="001E417F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1E417F">
              <w:rPr>
                <w:rFonts w:ascii="Times New Roman" w:eastAsia="Times New Roman" w:hAnsi="Times New Roman" w:cs="Times New Roman"/>
              </w:rPr>
              <w:t xml:space="preserve">1987 Criteria Based Cases 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Pr="001E417F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 w:rsidRPr="001E417F">
              <w:rPr>
                <w:rFonts w:ascii="Times New Roman" w:eastAsia="Times New Roman" w:hAnsi="Times New Roman" w:cs="Times New Roman"/>
              </w:rPr>
              <w:t>2010 Criteria Based Case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386</w:t>
            </w:r>
          </w:p>
        </w:tc>
        <w:tc>
          <w:tcPr>
            <w:tcW w:w="2268" w:type="dxa"/>
            <w:tcBorders>
              <w:top w:val="nil"/>
              <w:left w:val="dotted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457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Proportion Women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0.63</w:t>
            </w:r>
          </w:p>
        </w:tc>
        <w:tc>
          <w:tcPr>
            <w:tcW w:w="2268" w:type="dxa"/>
            <w:tcBorders>
              <w:top w:val="nil"/>
              <w:left w:val="dotted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0.66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Proportion anti-CCP2 Positive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  <w:tc>
          <w:tcPr>
            <w:tcW w:w="2268" w:type="dxa"/>
            <w:tcBorders>
              <w:top w:val="nil"/>
              <w:left w:val="dotted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Proportion RF positive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</w:t>
            </w:r>
          </w:p>
        </w:tc>
        <w:tc>
          <w:tcPr>
            <w:tcW w:w="2268" w:type="dxa"/>
            <w:tcBorders>
              <w:top w:val="nil"/>
              <w:left w:val="dotted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DAS44 at Baseline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</w:t>
            </w:r>
          </w:p>
        </w:tc>
        <w:tc>
          <w:tcPr>
            <w:tcW w:w="2268" w:type="dxa"/>
            <w:tcBorders>
              <w:top w:val="nil"/>
              <w:left w:val="dotted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2.9*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BMI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25.8</w:t>
            </w:r>
          </w:p>
        </w:tc>
        <w:tc>
          <w:tcPr>
            <w:tcW w:w="2268" w:type="dxa"/>
            <w:tcBorders>
              <w:top w:val="nil"/>
              <w:left w:val="nil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25.6</w:t>
            </w:r>
          </w:p>
        </w:tc>
        <w:tc>
          <w:tcPr>
            <w:tcW w:w="2268" w:type="dxa"/>
            <w:tcBorders>
              <w:top w:val="nil"/>
              <w:left w:val="dotted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25.6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BSE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2268" w:type="dxa"/>
            <w:tcBorders>
              <w:left w:val="dotted" w:sz="8" w:space="0" w:color="000000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2268" w:type="dxa"/>
            <w:tcBorders>
              <w:lef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CRP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9.1</w:t>
            </w:r>
          </w:p>
        </w:tc>
        <w:tc>
          <w:tcPr>
            <w:tcW w:w="2268" w:type="dxa"/>
            <w:tcBorders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10.5</w:t>
            </w:r>
          </w:p>
        </w:tc>
        <w:tc>
          <w:tcPr>
            <w:tcW w:w="2268" w:type="dxa"/>
            <w:tcBorders>
              <w:left w:val="dotted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9.0</w:t>
            </w:r>
          </w:p>
        </w:tc>
      </w:tr>
      <w:tr w:rsidR="006E2C06" w:rsidTr="00BC419A">
        <w:trPr>
          <w:trHeight w:val="46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Age at Inclusion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57.8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58.7</w:t>
            </w:r>
          </w:p>
        </w:tc>
        <w:tc>
          <w:tcPr>
            <w:tcW w:w="2268" w:type="dxa"/>
            <w:tcBorders>
              <w:top w:val="nil"/>
              <w:left w:val="dotted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57.2</w:t>
            </w:r>
          </w:p>
        </w:tc>
      </w:tr>
      <w:tr w:rsidR="006E2C06" w:rsidTr="00BC419A">
        <w:trPr>
          <w:trHeight w:val="55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Symptom Duration at Diagnosis (days)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89.5</w:t>
            </w:r>
          </w:p>
        </w:tc>
        <w:tc>
          <w:tcPr>
            <w:tcW w:w="2268" w:type="dxa"/>
            <w:tcBorders>
              <w:top w:val="nil"/>
              <w:left w:val="dotted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91.0</w:t>
            </w:r>
          </w:p>
        </w:tc>
      </w:tr>
      <w:tr w:rsidR="006E2C06" w:rsidTr="00BC419A">
        <w:trPr>
          <w:trHeight w:val="555"/>
        </w:trPr>
        <w:tc>
          <w:tcPr>
            <w:tcW w:w="2268" w:type="dxa"/>
            <w:tcBorders>
              <w:top w:val="nil"/>
              <w:left w:val="single" w:sz="8" w:space="0" w:color="FFFFFF"/>
              <w:bottom w:val="single" w:sz="8" w:space="0" w:color="FFFFFF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Median Number of Swollen Joints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FFFFFF"/>
              <w:right w:val="dotted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6*</w:t>
            </w:r>
          </w:p>
        </w:tc>
        <w:tc>
          <w:tcPr>
            <w:tcW w:w="2268" w:type="dxa"/>
            <w:tcBorders>
              <w:top w:val="nil"/>
              <w:left w:val="dotted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2C06" w:rsidRDefault="006E2C06" w:rsidP="00BC419A">
            <w:pPr>
              <w:spacing w:before="24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</w:tr>
    </w:tbl>
    <w:p w:rsidR="006E2C06" w:rsidRDefault="006E2C06" w:rsidP="006E2C06">
      <w:pPr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</w:rPr>
        <w:t>P-values were calculated with the Pearson Chi-Squared for proportions, Mann-Whitney U for medians: * p&lt;0.05; ** p&lt;0.01, *** p&lt;0.001; ☨ Not statistically tested;</w:t>
      </w:r>
    </w:p>
    <w:p w:rsidR="006E2C06" w:rsidRDefault="006E2C06" w:rsidP="006E2C06">
      <w:pPr>
        <w:spacing w:line="480" w:lineRule="auto"/>
        <w:rPr>
          <w:rFonts w:ascii="Times New Roman" w:eastAsia="Times New Roman" w:hAnsi="Times New Roman" w:cs="Times New Roman"/>
          <w:i/>
          <w:sz w:val="16"/>
          <w:szCs w:val="16"/>
        </w:rPr>
      </w:pPr>
      <w:r>
        <w:br w:type="page"/>
      </w:r>
    </w:p>
    <w:p w:rsidR="006E2C06" w:rsidRDefault="006E2C06" w:rsidP="006E2C06">
      <w:pPr>
        <w:spacing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i/>
          <w:noProof/>
          <w:sz w:val="16"/>
          <w:szCs w:val="16"/>
          <w:lang w:eastAsia="en-US"/>
        </w:rPr>
        <w:lastRenderedPageBreak/>
        <w:drawing>
          <wp:inline distT="114300" distB="114300" distL="114300" distR="114300" wp14:anchorId="721530C9" wp14:editId="31FD7B4B">
            <wp:extent cx="5943600" cy="5943600"/>
            <wp:effectExtent l="0" t="0" r="0" b="0"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E2C06" w:rsidRDefault="006E2C06" w:rsidP="006E2C06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figure 3</w:t>
      </w:r>
      <w:r>
        <w:rPr>
          <w:rFonts w:ascii="Times New Roman" w:eastAsia="Times New Roman" w:hAnsi="Times New Roman" w:cs="Times New Roman"/>
        </w:rPr>
        <w:t xml:space="preserve"> Upset plot visualizing the intersections of the ML defined cohort with the lenient cutoff (0.53) and the 2 criteria based gold standards, with a bar chart depicting the total cohort size in the bottom-left. Where C1987 = 1987 criteria based cases; ML= Machine learning based cases; C2010 = 2010 criteria based cases. N = 612 unique cases out of 1,212 records.</w:t>
      </w:r>
    </w:p>
    <w:p w:rsidR="006E2C06" w:rsidRDefault="006E2C06" w:rsidP="006E2C0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:rsidR="00176C2D" w:rsidRDefault="006E2C06">
      <w:bookmarkStart w:id="0" w:name="_GoBack"/>
      <w:bookmarkEnd w:id="0"/>
    </w:p>
    <w:sectPr w:rsidR="00176C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C06"/>
    <w:rsid w:val="006E2C06"/>
    <w:rsid w:val="008A06F1"/>
    <w:rsid w:val="00B6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3E6A4F-28AC-4CD6-B226-4C734B3D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2C06"/>
    <w:pPr>
      <w:spacing w:after="0" w:line="240" w:lineRule="auto"/>
    </w:pPr>
    <w:rPr>
      <w:rFonts w:ascii="Calibri" w:eastAsia="Calibri" w:hAnsi="Calibri" w:cs="Calibri"/>
      <w:sz w:val="24"/>
      <w:szCs w:val="24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459</Words>
  <Characters>2621</Characters>
  <Application>Microsoft Office Word</Application>
  <DocSecurity>0</DocSecurity>
  <Lines>21</Lines>
  <Paragraphs>6</Paragraphs>
  <ScaleCrop>false</ScaleCrop>
  <Company>Springer Nature IT</Company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SPRINGERNATURE\dhab01</dc:creator>
  <cp:keywords/>
  <dc:description/>
  <cp:lastModifiedBy>SPRINGERNATURE\dhab01</cp:lastModifiedBy>
  <cp:revision>1</cp:revision>
  <dcterms:created xsi:type="dcterms:W3CDTF">2021-04-11T18:45:00Z</dcterms:created>
  <dcterms:modified xsi:type="dcterms:W3CDTF">2021-04-11T18:45:00Z</dcterms:modified>
</cp:coreProperties>
</file>