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F1190" w14:textId="77777777" w:rsidR="003D3349" w:rsidRPr="007014C1" w:rsidRDefault="003D3349" w:rsidP="003D3349">
      <w:pPr>
        <w:spacing w:before="120" w:line="50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7014C1">
        <w:rPr>
          <w:rFonts w:ascii="Times New Roman" w:hAnsi="Times New Roman" w:cs="Times New Roman"/>
          <w:b/>
          <w:bCs/>
          <w:sz w:val="24"/>
          <w:szCs w:val="24"/>
        </w:rPr>
        <w:t>Electronic Supplementary Information</w:t>
      </w:r>
    </w:p>
    <w:p w14:paraId="69D1716A" w14:textId="77777777" w:rsidR="003D3349" w:rsidRPr="007014C1" w:rsidRDefault="003D3349" w:rsidP="003D3349">
      <w:pPr>
        <w:spacing w:before="120" w:line="500" w:lineRule="exact"/>
        <w:rPr>
          <w:rFonts w:ascii="Times New Roman" w:hAnsi="Times New Roman" w:cs="Times New Roman"/>
          <w:bCs/>
          <w:sz w:val="24"/>
          <w:szCs w:val="24"/>
        </w:rPr>
      </w:pPr>
      <w:r w:rsidRPr="007014C1">
        <w:rPr>
          <w:rFonts w:ascii="Times New Roman" w:hAnsi="Times New Roman" w:cs="Times New Roman"/>
          <w:bCs/>
          <w:sz w:val="24"/>
          <w:szCs w:val="24"/>
        </w:rPr>
        <w:t xml:space="preserve">Supplementary Figures 1-7, Supplementary Tables 1-4 </w:t>
      </w:r>
    </w:p>
    <w:p w14:paraId="22F8E0E0" w14:textId="77777777" w:rsidR="003D3349" w:rsidRPr="007014C1" w:rsidRDefault="003D3349" w:rsidP="003D3349">
      <w:pPr>
        <w:spacing w:before="120" w:line="500" w:lineRule="exact"/>
        <w:rPr>
          <w:rFonts w:ascii="Times New Roman" w:hAnsi="Times New Roman" w:cs="Times New Roman"/>
          <w:bCs/>
          <w:sz w:val="24"/>
          <w:szCs w:val="24"/>
        </w:rPr>
      </w:pPr>
      <w:r w:rsidRPr="007014C1">
        <w:rPr>
          <w:rFonts w:ascii="Times New Roman" w:hAnsi="Times New Roman" w:cs="Times New Roman"/>
          <w:bCs/>
          <w:sz w:val="24"/>
          <w:szCs w:val="24"/>
        </w:rPr>
        <w:t>Supplementary figures</w:t>
      </w:r>
    </w:p>
    <w:p w14:paraId="40D7C465" w14:textId="77777777" w:rsidR="003D3349" w:rsidRPr="007014C1" w:rsidRDefault="003D3349" w:rsidP="003D3349">
      <w:pPr>
        <w:spacing w:before="12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7014C1">
        <w:rPr>
          <w:rFonts w:ascii="Times New Roman" w:hAnsi="Times New Roman" w:cs="Times New Roman"/>
          <w:bCs/>
          <w:sz w:val="24"/>
          <w:szCs w:val="24"/>
        </w:rPr>
        <w:t>Supplementary Fig. 1 Phenotypic characterization of the mutant.</w:t>
      </w:r>
    </w:p>
    <w:p w14:paraId="30963A6C" w14:textId="77777777" w:rsidR="003D3349" w:rsidRPr="007014C1" w:rsidRDefault="003D3349" w:rsidP="003D3349">
      <w:pPr>
        <w:spacing w:before="12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7014C1">
        <w:rPr>
          <w:rFonts w:ascii="Times New Roman" w:hAnsi="Times New Roman" w:cs="Times New Roman"/>
          <w:bCs/>
          <w:sz w:val="24"/>
          <w:szCs w:val="24"/>
        </w:rPr>
        <w:t>Supplementary Fig. 2 Distribution and numbers of the SNPs between the BSA pools based on wheat 660K SNP array.</w:t>
      </w:r>
    </w:p>
    <w:p w14:paraId="0E4C1203" w14:textId="77777777" w:rsidR="003D3349" w:rsidRPr="007014C1" w:rsidRDefault="003D3349" w:rsidP="003D3349">
      <w:pPr>
        <w:spacing w:before="12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7014C1">
        <w:rPr>
          <w:rFonts w:ascii="Times New Roman" w:hAnsi="Times New Roman" w:cs="Times New Roman"/>
          <w:bCs/>
          <w:sz w:val="24"/>
          <w:szCs w:val="24"/>
        </w:rPr>
        <w:t xml:space="preserve">Supplementary Fig. 3 Genetic (a) and physical (b) maps of the </w:t>
      </w:r>
      <w:r w:rsidRPr="007014C1">
        <w:rPr>
          <w:rFonts w:ascii="Times New Roman" w:hAnsi="Times New Roman" w:cs="Times New Roman"/>
          <w:bCs/>
          <w:i/>
          <w:sz w:val="24"/>
          <w:szCs w:val="24"/>
        </w:rPr>
        <w:t>TaSP1</w:t>
      </w:r>
      <w:r w:rsidRPr="007014C1">
        <w:rPr>
          <w:rFonts w:ascii="Times New Roman" w:hAnsi="Times New Roman" w:cs="Times New Roman"/>
          <w:bCs/>
          <w:sz w:val="24"/>
          <w:szCs w:val="24"/>
        </w:rPr>
        <w:t xml:space="preserve"> region on chromosome 7D.</w:t>
      </w:r>
    </w:p>
    <w:p w14:paraId="175BA93A" w14:textId="77777777" w:rsidR="003D3349" w:rsidRPr="007014C1" w:rsidRDefault="003D3349" w:rsidP="003D3349">
      <w:pPr>
        <w:spacing w:before="12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7014C1">
        <w:rPr>
          <w:rFonts w:ascii="Times New Roman" w:hAnsi="Times New Roman" w:cs="Times New Roman"/>
          <w:bCs/>
          <w:sz w:val="24"/>
          <w:szCs w:val="24"/>
        </w:rPr>
        <w:t xml:space="preserve">Supplementary Fig. 4 Banding pattern after </w:t>
      </w:r>
      <w:r w:rsidRPr="007014C1">
        <w:rPr>
          <w:rFonts w:ascii="Times New Roman" w:hAnsi="Times New Roman" w:cs="Times New Roman"/>
          <w:bCs/>
          <w:i/>
          <w:sz w:val="24"/>
          <w:szCs w:val="24"/>
        </w:rPr>
        <w:t>Hha</w:t>
      </w:r>
      <w:r w:rsidRPr="007014C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014C1">
        <w:rPr>
          <w:rFonts w:ascii="MS Mincho" w:eastAsia="MS Mincho" w:hAnsi="MS Mincho" w:cs="MS Mincho"/>
          <w:bCs/>
          <w:sz w:val="24"/>
          <w:szCs w:val="24"/>
        </w:rPr>
        <w:t>Ⅰ</w:t>
      </w:r>
      <w:r w:rsidRPr="007014C1">
        <w:rPr>
          <w:rFonts w:ascii="Times New Roman" w:hAnsi="Times New Roman" w:cs="Times New Roman"/>
          <w:bCs/>
          <w:sz w:val="24"/>
          <w:szCs w:val="24"/>
        </w:rPr>
        <w:t xml:space="preserve"> digestion of the PCR products from amplification of F</w:t>
      </w:r>
      <w:r w:rsidRPr="007014C1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7014C1">
        <w:rPr>
          <w:rFonts w:ascii="Times New Roman" w:hAnsi="Times New Roman" w:cs="Times New Roman"/>
          <w:bCs/>
          <w:sz w:val="24"/>
          <w:szCs w:val="24"/>
        </w:rPr>
        <w:t xml:space="preserve"> plants and parental lines with marker MIS48109, based on the SNP present in </w:t>
      </w:r>
      <w:r w:rsidRPr="007014C1">
        <w:rPr>
          <w:rFonts w:ascii="Times New Roman" w:hAnsi="Times New Roman" w:cs="Times New Roman"/>
          <w:bCs/>
          <w:i/>
          <w:sz w:val="24"/>
          <w:szCs w:val="24"/>
        </w:rPr>
        <w:t>TaSP1</w:t>
      </w:r>
      <w:r w:rsidRPr="007014C1">
        <w:rPr>
          <w:rFonts w:ascii="Times New Roman" w:hAnsi="Times New Roman" w:cs="Times New Roman"/>
          <w:bCs/>
          <w:sz w:val="24"/>
          <w:szCs w:val="24"/>
        </w:rPr>
        <w:t>.</w:t>
      </w:r>
    </w:p>
    <w:p w14:paraId="3277C906" w14:textId="77777777" w:rsidR="003D3349" w:rsidRPr="007014C1" w:rsidRDefault="003D3349" w:rsidP="003D3349">
      <w:pPr>
        <w:spacing w:before="12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7014C1">
        <w:rPr>
          <w:rFonts w:ascii="Times New Roman" w:hAnsi="Times New Roman" w:cs="Times New Roman"/>
          <w:bCs/>
          <w:sz w:val="24"/>
          <w:szCs w:val="24"/>
        </w:rPr>
        <w:t xml:space="preserve">Supplementary Fig. 5 Multiple alignments of the gene </w:t>
      </w:r>
      <w:r w:rsidRPr="007014C1">
        <w:rPr>
          <w:rFonts w:ascii="Times New Roman" w:hAnsi="Times New Roman" w:cs="Times New Roman"/>
          <w:bCs/>
          <w:i/>
          <w:sz w:val="24"/>
          <w:szCs w:val="24"/>
        </w:rPr>
        <w:t>TraesCS7D02G010200</w:t>
      </w:r>
      <w:r w:rsidRPr="007014C1">
        <w:rPr>
          <w:rFonts w:ascii="Times New Roman" w:hAnsi="Times New Roman" w:cs="Times New Roman"/>
          <w:bCs/>
          <w:sz w:val="24"/>
          <w:szCs w:val="24"/>
        </w:rPr>
        <w:t xml:space="preserve"> full-length ORF sequences of wheat varieties Aikang58, Zhoumai18, Zhoumai28, Zhengmai7698, Zhengmai366, Xinmai26, CS, Zhoumai32, and Bainong207.</w:t>
      </w:r>
    </w:p>
    <w:p w14:paraId="3867B270" w14:textId="77777777" w:rsidR="003D3349" w:rsidRPr="007014C1" w:rsidRDefault="003D3349" w:rsidP="003D3349">
      <w:pPr>
        <w:spacing w:before="12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7014C1">
        <w:rPr>
          <w:rFonts w:ascii="Times New Roman" w:hAnsi="Times New Roman" w:cs="Times New Roman"/>
          <w:bCs/>
          <w:sz w:val="24"/>
          <w:szCs w:val="24"/>
        </w:rPr>
        <w:t xml:space="preserve">Supplementary Fig. 6 Banding pattern after </w:t>
      </w:r>
      <w:r w:rsidRPr="007014C1">
        <w:rPr>
          <w:rFonts w:ascii="Times New Roman" w:hAnsi="Times New Roman" w:cs="Times New Roman"/>
          <w:bCs/>
          <w:i/>
          <w:sz w:val="24"/>
          <w:szCs w:val="24"/>
        </w:rPr>
        <w:t>Sal</w:t>
      </w:r>
      <w:r w:rsidRPr="007014C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014C1">
        <w:rPr>
          <w:rFonts w:ascii="MS Mincho" w:eastAsia="MS Mincho" w:hAnsi="MS Mincho" w:cs="MS Mincho"/>
          <w:bCs/>
          <w:sz w:val="24"/>
          <w:szCs w:val="24"/>
        </w:rPr>
        <w:t>Ⅰ</w:t>
      </w:r>
      <w:r w:rsidRPr="007014C1">
        <w:rPr>
          <w:rFonts w:ascii="Times New Roman" w:hAnsi="Times New Roman" w:cs="Times New Roman"/>
          <w:bCs/>
          <w:sz w:val="24"/>
          <w:szCs w:val="24"/>
        </w:rPr>
        <w:t xml:space="preserve"> digestion of the PCR products from amplification of some wheat cultivars with </w:t>
      </w:r>
      <w:r w:rsidRPr="007014C1">
        <w:rPr>
          <w:rFonts w:ascii="Times New Roman" w:hAnsi="Times New Roman" w:cs="Times New Roman"/>
          <w:bCs/>
          <w:i/>
          <w:sz w:val="24"/>
          <w:szCs w:val="24"/>
        </w:rPr>
        <w:t>TaSP1</w:t>
      </w:r>
      <w:r w:rsidRPr="007014C1">
        <w:rPr>
          <w:rFonts w:ascii="Times New Roman" w:hAnsi="Times New Roman" w:cs="Times New Roman"/>
          <w:bCs/>
          <w:sz w:val="24"/>
          <w:szCs w:val="24"/>
        </w:rPr>
        <w:t xml:space="preserve"> gene-specific marker G010200P2.</w:t>
      </w:r>
    </w:p>
    <w:p w14:paraId="7D35428F" w14:textId="77777777" w:rsidR="003D3349" w:rsidRPr="007014C1" w:rsidRDefault="003D3349" w:rsidP="003D3349">
      <w:pPr>
        <w:spacing w:before="120" w:line="500" w:lineRule="exact"/>
        <w:rPr>
          <w:rFonts w:ascii="Times New Roman" w:hAnsi="Times New Roman" w:cs="Times New Roman"/>
          <w:bCs/>
          <w:sz w:val="24"/>
          <w:szCs w:val="24"/>
        </w:rPr>
      </w:pPr>
      <w:r w:rsidRPr="007014C1">
        <w:rPr>
          <w:rFonts w:ascii="Times New Roman" w:hAnsi="Times New Roman" w:cs="Times New Roman"/>
          <w:bCs/>
          <w:sz w:val="24"/>
          <w:szCs w:val="24"/>
        </w:rPr>
        <w:t>Supplementary tables</w:t>
      </w:r>
    </w:p>
    <w:p w14:paraId="7F4759E9" w14:textId="77777777" w:rsidR="003D3349" w:rsidRPr="007014C1" w:rsidRDefault="003D3349" w:rsidP="003D3349">
      <w:pPr>
        <w:spacing w:before="120" w:line="500" w:lineRule="exact"/>
        <w:rPr>
          <w:rFonts w:ascii="Times New Roman" w:hAnsi="Times New Roman" w:cs="Times New Roman"/>
          <w:bCs/>
          <w:sz w:val="24"/>
          <w:szCs w:val="24"/>
        </w:rPr>
      </w:pPr>
      <w:r w:rsidRPr="007014C1">
        <w:rPr>
          <w:rFonts w:ascii="Times New Roman" w:hAnsi="Times New Roman" w:cs="Times New Roman"/>
          <w:bCs/>
          <w:sz w:val="24"/>
          <w:szCs w:val="24"/>
        </w:rPr>
        <w:t>Supplementary Table1 Information of markers used in this study.</w:t>
      </w:r>
    </w:p>
    <w:p w14:paraId="6F514A7C" w14:textId="77777777" w:rsidR="003D3349" w:rsidRPr="007014C1" w:rsidRDefault="003D3349" w:rsidP="003D3349">
      <w:pPr>
        <w:spacing w:before="120" w:line="500" w:lineRule="exact"/>
        <w:rPr>
          <w:rFonts w:ascii="Times New Roman" w:hAnsi="Times New Roman" w:cs="Times New Roman"/>
          <w:bCs/>
          <w:sz w:val="24"/>
          <w:szCs w:val="24"/>
        </w:rPr>
      </w:pPr>
      <w:r w:rsidRPr="007014C1">
        <w:rPr>
          <w:rFonts w:ascii="Times New Roman" w:hAnsi="Times New Roman" w:cs="Times New Roman"/>
          <w:bCs/>
          <w:sz w:val="24"/>
          <w:szCs w:val="24"/>
        </w:rPr>
        <w:t>Supplementary Table 2 Genotypes and spike phenotypes of 190 F2 plants derived from Bainong207and ZM1160.</w:t>
      </w:r>
    </w:p>
    <w:p w14:paraId="1CA36738" w14:textId="77777777" w:rsidR="003D3349" w:rsidRPr="007014C1" w:rsidRDefault="003D3349" w:rsidP="003D3349">
      <w:pPr>
        <w:spacing w:before="120" w:line="500" w:lineRule="exact"/>
        <w:rPr>
          <w:rFonts w:ascii="Times New Roman" w:hAnsi="Times New Roman" w:cs="Times New Roman"/>
          <w:bCs/>
          <w:sz w:val="24"/>
          <w:szCs w:val="24"/>
        </w:rPr>
      </w:pPr>
      <w:r w:rsidRPr="007014C1">
        <w:rPr>
          <w:rFonts w:ascii="Times New Roman" w:hAnsi="Times New Roman" w:cs="Times New Roman"/>
          <w:bCs/>
          <w:sz w:val="24"/>
          <w:szCs w:val="24"/>
        </w:rPr>
        <w:t>Supplementary Table 3 Genotypes of recombinants derived from 1599 F3 plants and their spike phenotype.</w:t>
      </w:r>
    </w:p>
    <w:p w14:paraId="43BB7FAC" w14:textId="77777777" w:rsidR="003D3349" w:rsidRPr="007014C1" w:rsidRDefault="003D3349" w:rsidP="003D3349">
      <w:pPr>
        <w:spacing w:before="120" w:line="500" w:lineRule="exact"/>
        <w:rPr>
          <w:rFonts w:ascii="Times New Roman" w:hAnsi="Times New Roman" w:cs="Times New Roman"/>
          <w:bCs/>
          <w:sz w:val="24"/>
          <w:szCs w:val="24"/>
        </w:rPr>
      </w:pPr>
      <w:r w:rsidRPr="007014C1">
        <w:rPr>
          <w:rFonts w:ascii="Times New Roman" w:hAnsi="Times New Roman" w:cs="Times New Roman"/>
          <w:bCs/>
          <w:sz w:val="24"/>
          <w:szCs w:val="24"/>
        </w:rPr>
        <w:t xml:space="preserve">Supplementary Table 4 Association of the ten recombinants covered </w:t>
      </w:r>
      <w:r w:rsidRPr="00290ADC">
        <w:rPr>
          <w:rFonts w:ascii="Times New Roman" w:hAnsi="Times New Roman" w:cs="Times New Roman"/>
          <w:bCs/>
          <w:i/>
          <w:sz w:val="24"/>
          <w:szCs w:val="24"/>
        </w:rPr>
        <w:t>Xmis46203</w:t>
      </w:r>
      <w:r w:rsidRPr="007014C1">
        <w:rPr>
          <w:rFonts w:ascii="Times New Roman" w:hAnsi="Times New Roman" w:cs="Times New Roman"/>
          <w:bCs/>
          <w:sz w:val="24"/>
          <w:szCs w:val="24"/>
        </w:rPr>
        <w:t>-</w:t>
      </w:r>
      <w:r w:rsidRPr="00290ADC">
        <w:rPr>
          <w:rFonts w:ascii="Times New Roman" w:hAnsi="Times New Roman" w:cs="Times New Roman"/>
          <w:bCs/>
          <w:i/>
          <w:sz w:val="24"/>
          <w:szCs w:val="24"/>
        </w:rPr>
        <w:t>Xmis46234</w:t>
      </w:r>
      <w:r w:rsidRPr="007014C1">
        <w:rPr>
          <w:rFonts w:ascii="Times New Roman" w:hAnsi="Times New Roman" w:cs="Times New Roman"/>
          <w:bCs/>
          <w:sz w:val="24"/>
          <w:szCs w:val="24"/>
        </w:rPr>
        <w:t xml:space="preserve"> interval with spike phenotype.</w:t>
      </w:r>
    </w:p>
    <w:p w14:paraId="38390338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349"/>
    <w:rsid w:val="00342DA6"/>
    <w:rsid w:val="003D3349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1D04F"/>
  <w15:chartTrackingRefBased/>
  <w15:docId w15:val="{785770E4-F9A2-401D-AE0C-85F361ADB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349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1158</Characters>
  <Application>Microsoft Office Word</Application>
  <DocSecurity>0</DocSecurity>
  <Lines>9</Lines>
  <Paragraphs>2</Paragraphs>
  <ScaleCrop>false</ScaleCrop>
  <Company>Springer Nature</Company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2024-02-20T09:28:00Z</dcterms:created>
  <dcterms:modified xsi:type="dcterms:W3CDTF">2024-02-20T09:28:00Z</dcterms:modified>
</cp:coreProperties>
</file>