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Supplementary Materials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837430" cy="3629025"/>
            <wp:effectExtent l="0" t="0" r="1270" b="3175"/>
            <wp:docPr id="1" name="图片 1" descr="pre-mJS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re-mJSW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743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Material 1  Preoperative minimal joint space width(pre-mJSW)illustrated in X-rays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241800" cy="3182620"/>
            <wp:effectExtent l="0" t="0" r="5080" b="0"/>
            <wp:docPr id="2" name="图片 2" descr="varus 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varus ang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41800" cy="318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Material 2  Preoperative alignment measurement(varus angle of knee)illustrated in X-rays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250AD"/>
    <w:rsid w:val="0A0F1D8D"/>
    <w:rsid w:val="11D85346"/>
    <w:rsid w:val="2CBD21FA"/>
    <w:rsid w:val="33471407"/>
    <w:rsid w:val="37CA2091"/>
    <w:rsid w:val="39413A99"/>
    <w:rsid w:val="4B491408"/>
    <w:rsid w:val="50B3344F"/>
    <w:rsid w:val="52C2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2020-12-31T07:30:00Z</dcterms:created>
  <dc:creator>HUAWEI</dc:creator>
  <cp:lastModifiedBy>范骁宇。Jason</cp:lastModifiedBy>
  <dcterms:modified xsi:type="dcterms:W3CDTF">2021-01-01T01:59:18Z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