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101" w:rsidRPr="009149A2" w:rsidRDefault="00263101" w:rsidP="00263101">
      <w:pPr>
        <w:spacing w:line="480" w:lineRule="auto"/>
        <w:jc w:val="center"/>
        <w:rPr>
          <w:rFonts w:asciiTheme="majorBidi" w:hAnsiTheme="majorBidi" w:cstheme="majorBidi"/>
          <w:b/>
          <w:bCs/>
          <w:sz w:val="24"/>
          <w:szCs w:val="24"/>
        </w:rPr>
      </w:pPr>
      <w:r w:rsidRPr="00CD268A">
        <w:rPr>
          <w:rFonts w:asciiTheme="majorBidi" w:hAnsiTheme="majorBidi" w:cstheme="majorBidi"/>
          <w:b/>
          <w:bCs/>
          <w:sz w:val="24"/>
          <w:szCs w:val="24"/>
        </w:rPr>
        <w:t xml:space="preserve">Free water surface constructed wetlands: </w:t>
      </w:r>
      <w:r>
        <w:rPr>
          <w:rFonts w:asciiTheme="majorBidi" w:hAnsiTheme="majorBidi" w:cstheme="majorBidi"/>
          <w:b/>
          <w:bCs/>
          <w:sz w:val="24"/>
          <w:szCs w:val="24"/>
        </w:rPr>
        <w:t>R</w:t>
      </w:r>
      <w:r w:rsidRPr="00CD268A">
        <w:rPr>
          <w:rFonts w:asciiTheme="majorBidi" w:hAnsiTheme="majorBidi" w:cstheme="majorBidi"/>
          <w:b/>
          <w:bCs/>
          <w:sz w:val="24"/>
          <w:szCs w:val="24"/>
        </w:rPr>
        <w:t xml:space="preserve">eview of pollutant removal performance and </w:t>
      </w:r>
      <w:proofErr w:type="spellStart"/>
      <w:r w:rsidRPr="00CD268A">
        <w:rPr>
          <w:rFonts w:asciiTheme="majorBidi" w:hAnsiTheme="majorBidi" w:cstheme="majorBidi"/>
          <w:b/>
          <w:bCs/>
          <w:sz w:val="24"/>
          <w:szCs w:val="24"/>
        </w:rPr>
        <w:t>modeling</w:t>
      </w:r>
      <w:proofErr w:type="spellEnd"/>
      <w:r w:rsidRPr="00CD268A">
        <w:rPr>
          <w:rFonts w:asciiTheme="majorBidi" w:hAnsiTheme="majorBidi" w:cstheme="majorBidi"/>
          <w:b/>
          <w:bCs/>
          <w:sz w:val="24"/>
          <w:szCs w:val="24"/>
        </w:rPr>
        <w:t xml:space="preserve"> approaches</w:t>
      </w:r>
    </w:p>
    <w:p w:rsidR="00263101" w:rsidRPr="001B1822" w:rsidRDefault="00263101" w:rsidP="00263101">
      <w:pPr>
        <w:spacing w:line="360" w:lineRule="auto"/>
        <w:jc w:val="center"/>
        <w:rPr>
          <w:rFonts w:asciiTheme="majorBidi" w:hAnsiTheme="majorBidi" w:cstheme="majorBidi"/>
          <w:sz w:val="24"/>
          <w:szCs w:val="24"/>
        </w:rPr>
      </w:pPr>
      <w:r>
        <w:rPr>
          <w:rFonts w:asciiTheme="majorBidi" w:hAnsiTheme="majorBidi" w:cstheme="majorBidi"/>
          <w:sz w:val="24"/>
          <w:szCs w:val="24"/>
        </w:rPr>
        <w:t>Mohamed S. Gaballah</w:t>
      </w:r>
      <w:r w:rsidRPr="002B5268">
        <w:rPr>
          <w:rFonts w:asciiTheme="majorBidi" w:hAnsiTheme="majorBidi" w:cstheme="majorBidi"/>
          <w:sz w:val="24"/>
          <w:szCs w:val="24"/>
          <w:vertAlign w:val="superscript"/>
        </w:rPr>
        <w:t>a</w:t>
      </w:r>
      <w:r>
        <w:rPr>
          <w:rFonts w:asciiTheme="majorBidi" w:hAnsiTheme="majorBidi" w:cstheme="majorBidi"/>
          <w:sz w:val="24"/>
          <w:szCs w:val="24"/>
          <w:vertAlign w:val="superscript"/>
        </w:rPr>
        <w:t>b1*</w:t>
      </w:r>
      <w:r>
        <w:rPr>
          <w:rFonts w:asciiTheme="majorBidi" w:hAnsiTheme="majorBidi" w:cstheme="majorBidi"/>
          <w:sz w:val="24"/>
          <w:szCs w:val="24"/>
        </w:rPr>
        <w:t xml:space="preserve">, </w:t>
      </w:r>
      <w:proofErr w:type="spellStart"/>
      <w:r w:rsidRPr="0098058F">
        <w:rPr>
          <w:rFonts w:asciiTheme="majorBidi" w:hAnsiTheme="majorBidi" w:cstheme="majorBidi"/>
          <w:sz w:val="24"/>
          <w:szCs w:val="24"/>
        </w:rPr>
        <w:t>Hooshyar</w:t>
      </w:r>
      <w:proofErr w:type="spellEnd"/>
      <w:r w:rsidRPr="0098058F">
        <w:rPr>
          <w:rFonts w:asciiTheme="majorBidi" w:hAnsiTheme="majorBidi" w:cstheme="majorBidi"/>
          <w:sz w:val="24"/>
          <w:szCs w:val="24"/>
        </w:rPr>
        <w:t xml:space="preserve"> </w:t>
      </w:r>
      <w:proofErr w:type="spellStart"/>
      <w:r w:rsidRPr="0098058F">
        <w:rPr>
          <w:rFonts w:asciiTheme="majorBidi" w:hAnsiTheme="majorBidi" w:cstheme="majorBidi"/>
          <w:sz w:val="24"/>
          <w:szCs w:val="24"/>
        </w:rPr>
        <w:t>Yousefyani</w:t>
      </w:r>
      <w:r w:rsidRPr="002B5268">
        <w:rPr>
          <w:rFonts w:asciiTheme="majorBidi" w:hAnsiTheme="majorBidi" w:cstheme="majorBidi"/>
          <w:sz w:val="24"/>
          <w:szCs w:val="24"/>
          <w:vertAlign w:val="superscript"/>
        </w:rPr>
        <w: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Mohammadjavad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Karami</w:t>
      </w:r>
      <w:r w:rsidRPr="002B5268">
        <w:rPr>
          <w:rFonts w:asciiTheme="majorBidi" w:hAnsiTheme="majorBidi" w:cstheme="majorBidi"/>
          <w:sz w:val="24"/>
          <w:szCs w:val="24"/>
          <w:vertAlign w:val="superscript"/>
        </w:rPr>
        <w:t>a</w:t>
      </w:r>
      <w:proofErr w:type="spellEnd"/>
      <w:r>
        <w:rPr>
          <w:rFonts w:asciiTheme="majorBidi" w:hAnsiTheme="majorBidi" w:cstheme="majorBidi"/>
          <w:sz w:val="24"/>
          <w:szCs w:val="24"/>
        </w:rPr>
        <w:t xml:space="preserve">, </w:t>
      </w:r>
      <w:r w:rsidRPr="001B1822">
        <w:rPr>
          <w:rFonts w:asciiTheme="majorBidi" w:hAnsiTheme="majorBidi" w:cstheme="majorBidi"/>
          <w:sz w:val="24"/>
          <w:szCs w:val="24"/>
        </w:rPr>
        <w:t xml:space="preserve">Roderick </w:t>
      </w:r>
      <w:r>
        <w:rPr>
          <w:rFonts w:asciiTheme="majorBidi" w:hAnsiTheme="majorBidi" w:cstheme="majorBidi"/>
          <w:sz w:val="24"/>
          <w:szCs w:val="24"/>
        </w:rPr>
        <w:t xml:space="preserve">W. </w:t>
      </w:r>
      <w:r w:rsidRPr="001B1822">
        <w:rPr>
          <w:rFonts w:asciiTheme="majorBidi" w:hAnsiTheme="majorBidi" w:cstheme="majorBidi"/>
          <w:sz w:val="24"/>
          <w:szCs w:val="24"/>
        </w:rPr>
        <w:t>Lammers</w:t>
      </w:r>
      <w:r w:rsidRPr="002B5268">
        <w:rPr>
          <w:rFonts w:asciiTheme="majorBidi" w:hAnsiTheme="majorBidi" w:cstheme="majorBidi"/>
          <w:sz w:val="24"/>
          <w:szCs w:val="24"/>
          <w:vertAlign w:val="superscript"/>
        </w:rPr>
        <w:t>a</w:t>
      </w:r>
      <w:r>
        <w:rPr>
          <w:rFonts w:asciiTheme="majorBidi" w:hAnsiTheme="majorBidi" w:cstheme="majorBidi"/>
          <w:sz w:val="24"/>
          <w:szCs w:val="24"/>
          <w:vertAlign w:val="superscript"/>
        </w:rPr>
        <w:t>1</w:t>
      </w:r>
    </w:p>
    <w:p w:rsidR="00263101" w:rsidRPr="002B5268" w:rsidRDefault="00263101" w:rsidP="00263101">
      <w:pPr>
        <w:spacing w:after="0" w:line="360" w:lineRule="auto"/>
        <w:rPr>
          <w:rFonts w:asciiTheme="majorBidi" w:hAnsiTheme="majorBidi" w:cstheme="majorBidi"/>
          <w:sz w:val="24"/>
          <w:szCs w:val="24"/>
        </w:rPr>
      </w:pPr>
      <w:proofErr w:type="spellStart"/>
      <w:r w:rsidRPr="002B5268">
        <w:rPr>
          <w:rFonts w:asciiTheme="majorBidi" w:hAnsiTheme="majorBidi" w:cstheme="majorBidi"/>
          <w:sz w:val="24"/>
          <w:szCs w:val="24"/>
          <w:vertAlign w:val="superscript"/>
        </w:rPr>
        <w:t>a</w:t>
      </w:r>
      <w:r w:rsidRPr="002B5268">
        <w:rPr>
          <w:rFonts w:asciiTheme="majorBidi" w:hAnsiTheme="majorBidi" w:cstheme="majorBidi"/>
          <w:sz w:val="24"/>
          <w:szCs w:val="24"/>
        </w:rPr>
        <w:t>School</w:t>
      </w:r>
      <w:proofErr w:type="spellEnd"/>
      <w:r w:rsidRPr="002B5268">
        <w:rPr>
          <w:rFonts w:asciiTheme="majorBidi" w:hAnsiTheme="majorBidi" w:cstheme="majorBidi"/>
          <w:sz w:val="24"/>
          <w:szCs w:val="24"/>
        </w:rPr>
        <w:t xml:space="preserve"> of Engineering and Technology &amp; Institute for Great Lakes Research, Central Michigan University, Mt. Pleasant, MI 48859, USA</w:t>
      </w:r>
    </w:p>
    <w:p w:rsidR="00263101" w:rsidRPr="002B5268" w:rsidRDefault="00263101" w:rsidP="00263101">
      <w:pPr>
        <w:tabs>
          <w:tab w:val="left" w:pos="1620"/>
        </w:tabs>
        <w:adjustRightInd w:val="0"/>
        <w:spacing w:after="0" w:line="360" w:lineRule="auto"/>
        <w:rPr>
          <w:rFonts w:asciiTheme="majorBidi" w:hAnsiTheme="majorBidi" w:cstheme="majorBidi"/>
          <w:color w:val="000000" w:themeColor="text1"/>
          <w:sz w:val="24"/>
          <w:szCs w:val="24"/>
          <w:vertAlign w:val="superscript"/>
        </w:rPr>
      </w:pPr>
      <w:r w:rsidRPr="002B5268">
        <w:rPr>
          <w:rFonts w:asciiTheme="majorBidi" w:hAnsiTheme="majorBidi" w:cstheme="majorBidi"/>
          <w:color w:val="000000" w:themeColor="text1"/>
          <w:sz w:val="24"/>
          <w:szCs w:val="24"/>
          <w:vertAlign w:val="superscript"/>
        </w:rPr>
        <w:t>b</w:t>
      </w:r>
      <w:r w:rsidRPr="002B5268">
        <w:rPr>
          <w:rFonts w:asciiTheme="majorBidi" w:hAnsiTheme="majorBidi" w:cstheme="majorBidi"/>
          <w:color w:val="000000" w:themeColor="text1"/>
          <w:sz w:val="24"/>
          <w:szCs w:val="24"/>
        </w:rPr>
        <w:t xml:space="preserve"> National Institute of Oceanography and Fisheries, Cairo, Egypt</w:t>
      </w:r>
    </w:p>
    <w:p w:rsidR="00263101" w:rsidRDefault="00263101" w:rsidP="00263101">
      <w:pPr>
        <w:pStyle w:val="FootnoteText"/>
        <w:spacing w:after="0" w:line="360" w:lineRule="auto"/>
        <w:rPr>
          <w:rFonts w:asciiTheme="majorBidi" w:hAnsiTheme="majorBidi" w:cstheme="majorBidi"/>
          <w:sz w:val="24"/>
          <w:szCs w:val="24"/>
        </w:rPr>
      </w:pPr>
      <w:r w:rsidRPr="002B5268">
        <w:rPr>
          <w:rFonts w:asciiTheme="majorBidi" w:hAnsiTheme="majorBidi" w:cstheme="majorBidi"/>
          <w:color w:val="000000" w:themeColor="text1"/>
          <w:sz w:val="24"/>
          <w:szCs w:val="24"/>
          <w:lang w:val="en-US"/>
        </w:rPr>
        <w:t>* Corresponding author email: awad1m@cmich.edu</w:t>
      </w:r>
      <w:r>
        <w:rPr>
          <w:rFonts w:asciiTheme="majorBidi" w:hAnsiTheme="majorBidi" w:cstheme="majorBidi"/>
          <w:color w:val="000000" w:themeColor="text1"/>
          <w:sz w:val="24"/>
          <w:szCs w:val="24"/>
          <w:lang w:val="en-US"/>
        </w:rPr>
        <w:t>/saadga22@gmail.com</w:t>
      </w:r>
      <w:hyperlink r:id="rId4" w:history="1"/>
      <w:r w:rsidRPr="002B5268">
        <w:rPr>
          <w:rFonts w:asciiTheme="majorBidi" w:hAnsiTheme="majorBidi" w:cstheme="majorBidi"/>
          <w:color w:val="000000" w:themeColor="text1"/>
          <w:sz w:val="24"/>
          <w:szCs w:val="24"/>
          <w:lang w:val="en-US"/>
        </w:rPr>
        <w:t xml:space="preserve"> (</w:t>
      </w:r>
      <w:r w:rsidRPr="002B5268">
        <w:rPr>
          <w:rFonts w:asciiTheme="majorBidi" w:hAnsiTheme="majorBidi" w:cstheme="majorBidi"/>
          <w:sz w:val="24"/>
          <w:szCs w:val="24"/>
        </w:rPr>
        <w:t xml:space="preserve">Mohamed S. Gaballah) </w:t>
      </w:r>
    </w:p>
    <w:p w:rsidR="00263101" w:rsidRPr="003D5DED" w:rsidRDefault="00263101" w:rsidP="00263101">
      <w:pPr>
        <w:pStyle w:val="FootnoteText"/>
        <w:spacing w:after="0" w:line="360" w:lineRule="auto"/>
        <w:rPr>
          <w:rFonts w:asciiTheme="majorBidi" w:hAnsiTheme="majorBidi" w:cstheme="majorBidi"/>
          <w:color w:val="000000" w:themeColor="text1"/>
          <w:sz w:val="24"/>
          <w:szCs w:val="24"/>
          <w:lang w:val="en-US"/>
        </w:rPr>
      </w:pPr>
      <w:r w:rsidRPr="004F727A">
        <w:rPr>
          <w:rFonts w:asciiTheme="majorBidi" w:hAnsiTheme="majorBidi" w:cstheme="majorBidi"/>
          <w:color w:val="000000" w:themeColor="text1"/>
          <w:sz w:val="24"/>
          <w:szCs w:val="24"/>
          <w:vertAlign w:val="superscript"/>
          <w:lang w:val="en-US"/>
        </w:rPr>
        <w:t>1</w:t>
      </w:r>
      <w:r>
        <w:rPr>
          <w:rFonts w:asciiTheme="majorBidi" w:hAnsiTheme="majorBidi" w:cstheme="majorBidi"/>
          <w:sz w:val="24"/>
          <w:szCs w:val="24"/>
        </w:rPr>
        <w:t>Mohamed S. Gaballah</w:t>
      </w:r>
      <w:r w:rsidRPr="004F727A">
        <w:rPr>
          <w:rFonts w:asciiTheme="majorBidi" w:hAnsiTheme="majorBidi" w:cstheme="majorBidi"/>
          <w:color w:val="000000" w:themeColor="text1"/>
          <w:sz w:val="24"/>
          <w:szCs w:val="24"/>
          <w:lang w:val="en-US"/>
        </w:rPr>
        <w:t xml:space="preserve"> and </w:t>
      </w:r>
      <w:r w:rsidRPr="001B1822">
        <w:rPr>
          <w:rFonts w:asciiTheme="majorBidi" w:hAnsiTheme="majorBidi" w:cstheme="majorBidi"/>
          <w:sz w:val="24"/>
          <w:szCs w:val="24"/>
        </w:rPr>
        <w:t xml:space="preserve">Roderick </w:t>
      </w:r>
      <w:r>
        <w:rPr>
          <w:rFonts w:asciiTheme="majorBidi" w:hAnsiTheme="majorBidi" w:cstheme="majorBidi"/>
          <w:sz w:val="24"/>
          <w:szCs w:val="24"/>
        </w:rPr>
        <w:t xml:space="preserve">W. </w:t>
      </w:r>
      <w:r w:rsidRPr="001B1822">
        <w:rPr>
          <w:rFonts w:asciiTheme="majorBidi" w:hAnsiTheme="majorBidi" w:cstheme="majorBidi"/>
          <w:sz w:val="24"/>
          <w:szCs w:val="24"/>
        </w:rPr>
        <w:t>Lammers</w:t>
      </w:r>
      <w:r w:rsidRPr="004F727A">
        <w:rPr>
          <w:rFonts w:asciiTheme="majorBidi" w:hAnsiTheme="majorBidi" w:cstheme="majorBidi"/>
          <w:color w:val="000000" w:themeColor="text1"/>
          <w:sz w:val="24"/>
          <w:szCs w:val="24"/>
          <w:lang w:val="en-US"/>
        </w:rPr>
        <w:t xml:space="preserve"> contributed equally to this work.</w:t>
      </w:r>
    </w:p>
    <w:p w:rsidR="00263101" w:rsidRDefault="00263101">
      <w:r>
        <w:br w:type="page"/>
      </w:r>
    </w:p>
    <w:p w:rsidR="00263101" w:rsidRDefault="00263101" w:rsidP="00263101">
      <w:pPr>
        <w:spacing w:after="0" w:line="480" w:lineRule="auto"/>
        <w:rPr>
          <w:rFonts w:asciiTheme="majorBidi" w:hAnsiTheme="majorBidi" w:cstheme="majorBidi"/>
          <w:bCs/>
          <w:sz w:val="24"/>
          <w:szCs w:val="24"/>
        </w:rPr>
        <w:sectPr w:rsidR="00263101" w:rsidSect="00263101">
          <w:pgSz w:w="11906" w:h="16838"/>
          <w:pgMar w:top="1440" w:right="1797" w:bottom="1440" w:left="1797" w:header="709" w:footer="709" w:gutter="0"/>
          <w:cols w:space="708"/>
          <w:docGrid w:linePitch="360"/>
        </w:sectPr>
      </w:pPr>
    </w:p>
    <w:p w:rsidR="00263101" w:rsidRPr="000777EA" w:rsidRDefault="00263101" w:rsidP="00263101">
      <w:pPr>
        <w:spacing w:after="0" w:line="480" w:lineRule="auto"/>
        <w:rPr>
          <w:rFonts w:asciiTheme="majorBidi" w:hAnsiTheme="majorBidi" w:cstheme="majorBidi"/>
          <w:bCs/>
          <w:sz w:val="24"/>
          <w:szCs w:val="24"/>
        </w:rPr>
      </w:pPr>
      <w:r>
        <w:rPr>
          <w:rFonts w:asciiTheme="majorBidi" w:hAnsiTheme="majorBidi" w:cstheme="majorBidi"/>
          <w:bCs/>
          <w:sz w:val="24"/>
          <w:szCs w:val="24"/>
        </w:rPr>
        <w:lastRenderedPageBreak/>
        <w:t xml:space="preserve">Table </w:t>
      </w:r>
      <w:r>
        <w:rPr>
          <w:rFonts w:asciiTheme="majorBidi" w:hAnsiTheme="majorBidi" w:cstheme="majorBidi"/>
          <w:bCs/>
          <w:sz w:val="24"/>
          <w:szCs w:val="24"/>
        </w:rPr>
        <w:t xml:space="preserve">SI </w:t>
      </w:r>
      <w:r>
        <w:rPr>
          <w:rFonts w:asciiTheme="majorBidi" w:hAnsiTheme="majorBidi" w:cstheme="majorBidi"/>
          <w:bCs/>
          <w:sz w:val="24"/>
          <w:szCs w:val="24"/>
        </w:rPr>
        <w:t>1.</w:t>
      </w:r>
      <w:r w:rsidRPr="000777EA">
        <w:rPr>
          <w:rFonts w:asciiTheme="majorBidi" w:hAnsiTheme="majorBidi" w:cstheme="majorBidi"/>
          <w:bCs/>
          <w:sz w:val="24"/>
          <w:szCs w:val="24"/>
        </w:rPr>
        <w:t xml:space="preserve"> </w:t>
      </w:r>
      <w:r>
        <w:rPr>
          <w:rFonts w:asciiTheme="majorBidi" w:hAnsiTheme="majorBidi" w:cstheme="majorBidi"/>
          <w:bCs/>
          <w:sz w:val="24"/>
          <w:szCs w:val="24"/>
        </w:rPr>
        <w:t xml:space="preserve">FWSCWs performances for removing nutrients from different wastewater sources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5"/>
        <w:gridCol w:w="819"/>
        <w:gridCol w:w="950"/>
        <w:gridCol w:w="931"/>
        <w:gridCol w:w="841"/>
        <w:gridCol w:w="1276"/>
        <w:gridCol w:w="1700"/>
        <w:gridCol w:w="851"/>
        <w:gridCol w:w="1245"/>
        <w:gridCol w:w="1318"/>
        <w:gridCol w:w="924"/>
        <w:gridCol w:w="1055"/>
        <w:gridCol w:w="56"/>
        <w:gridCol w:w="997"/>
      </w:tblGrid>
      <w:tr w:rsidR="00263101" w:rsidRPr="004B1893" w:rsidTr="00264DEF">
        <w:trPr>
          <w:trHeight w:val="20"/>
        </w:trPr>
        <w:tc>
          <w:tcPr>
            <w:tcW w:w="356"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System Scale</w:t>
            </w:r>
          </w:p>
        </w:tc>
        <w:tc>
          <w:tcPr>
            <w:tcW w:w="293"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Area (m²)</w:t>
            </w:r>
          </w:p>
        </w:tc>
        <w:tc>
          <w:tcPr>
            <w:tcW w:w="340"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Capacity (m³/day)</w:t>
            </w:r>
          </w:p>
        </w:tc>
        <w:tc>
          <w:tcPr>
            <w:tcW w:w="333"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HRT</w:t>
            </w:r>
            <w:r>
              <w:rPr>
                <w:rFonts w:asciiTheme="majorBidi" w:hAnsiTheme="majorBidi" w:cstheme="majorBidi"/>
                <w:b/>
                <w:sz w:val="20"/>
                <w:szCs w:val="20"/>
              </w:rPr>
              <w:t xml:space="preserve"> (days)</w:t>
            </w:r>
          </w:p>
        </w:tc>
        <w:tc>
          <w:tcPr>
            <w:tcW w:w="301"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Depth (m)</w:t>
            </w:r>
          </w:p>
        </w:tc>
        <w:tc>
          <w:tcPr>
            <w:tcW w:w="457"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Wastewater type</w:t>
            </w:r>
          </w:p>
        </w:tc>
        <w:tc>
          <w:tcPr>
            <w:tcW w:w="609"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Vegetation</w:t>
            </w:r>
          </w:p>
        </w:tc>
        <w:tc>
          <w:tcPr>
            <w:tcW w:w="305"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Tem</w:t>
            </w:r>
            <w:r>
              <w:rPr>
                <w:rFonts w:asciiTheme="majorBidi" w:hAnsiTheme="majorBidi" w:cstheme="majorBidi"/>
                <w:b/>
                <w:sz w:val="20"/>
                <w:szCs w:val="20"/>
              </w:rPr>
              <w:t>p</w:t>
            </w:r>
            <w:r w:rsidRPr="004B1893">
              <w:rPr>
                <w:rFonts w:asciiTheme="majorBidi" w:hAnsiTheme="majorBidi" w:cstheme="majorBidi"/>
                <w:b/>
                <w:sz w:val="20"/>
                <w:szCs w:val="20"/>
              </w:rPr>
              <w:t xml:space="preserve"> ( ºC)</w:t>
            </w:r>
          </w:p>
        </w:tc>
        <w:tc>
          <w:tcPr>
            <w:tcW w:w="1249" w:type="pct"/>
            <w:gridSpan w:val="3"/>
            <w:tcBorders>
              <w:top w:val="single" w:sz="4" w:space="0" w:color="auto"/>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Pollutants removal (%)</w:t>
            </w:r>
          </w:p>
        </w:tc>
        <w:tc>
          <w:tcPr>
            <w:tcW w:w="398" w:type="pct"/>
            <w:gridSpan w:val="2"/>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Country</w:t>
            </w:r>
          </w:p>
        </w:tc>
        <w:tc>
          <w:tcPr>
            <w:tcW w:w="357" w:type="pc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References</w:t>
            </w:r>
          </w:p>
        </w:tc>
      </w:tr>
      <w:tr w:rsidR="00263101" w:rsidRPr="004B1893" w:rsidTr="00264DEF">
        <w:trPr>
          <w:trHeight w:val="20"/>
        </w:trPr>
        <w:tc>
          <w:tcPr>
            <w:tcW w:w="356"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293"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340"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333"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301"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457"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609"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305" w:type="pct"/>
            <w:vMerge/>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446" w:type="pct"/>
            <w:tcBorders>
              <w:top w:val="single" w:sz="4" w:space="0" w:color="auto"/>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Parameter</w:t>
            </w:r>
          </w:p>
        </w:tc>
        <w:tc>
          <w:tcPr>
            <w:tcW w:w="472" w:type="pct"/>
            <w:tcBorders>
              <w:top w:val="single" w:sz="4" w:space="0" w:color="auto"/>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Initial Concentration (mg/L)</w:t>
            </w:r>
          </w:p>
        </w:tc>
        <w:tc>
          <w:tcPr>
            <w:tcW w:w="331" w:type="pct"/>
            <w:tcBorders>
              <w:top w:val="single" w:sz="4" w:space="0" w:color="auto"/>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Removal%</w:t>
            </w:r>
          </w:p>
        </w:tc>
        <w:tc>
          <w:tcPr>
            <w:tcW w:w="378" w:type="pct"/>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c>
          <w:tcPr>
            <w:tcW w:w="377" w:type="pct"/>
            <w:gridSpan w:val="2"/>
            <w:tcBorders>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p>
        </w:tc>
      </w:tr>
      <w:tr w:rsidR="00263101" w:rsidRPr="004B1893" w:rsidTr="00264DEF">
        <w:trPr>
          <w:trHeight w:val="180"/>
        </w:trPr>
        <w:tc>
          <w:tcPr>
            <w:tcW w:w="356"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Full-scale</w:t>
            </w:r>
          </w:p>
        </w:tc>
        <w:tc>
          <w:tcPr>
            <w:tcW w:w="293"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125000</w:t>
            </w:r>
          </w:p>
        </w:tc>
        <w:tc>
          <w:tcPr>
            <w:tcW w:w="340"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21500</w:t>
            </w:r>
          </w:p>
        </w:tc>
        <w:tc>
          <w:tcPr>
            <w:tcW w:w="333"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w:t>
            </w:r>
          </w:p>
        </w:tc>
        <w:tc>
          <w:tcPr>
            <w:tcW w:w="301"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0.1-0.6</w:t>
            </w:r>
          </w:p>
        </w:tc>
        <w:tc>
          <w:tcPr>
            <w:tcW w:w="457"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Agricultural and municipal wastewater</w:t>
            </w:r>
          </w:p>
        </w:tc>
        <w:tc>
          <w:tcPr>
            <w:tcW w:w="609"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proofErr w:type="spellStart"/>
            <w:r w:rsidRPr="004B1893">
              <w:rPr>
                <w:rFonts w:asciiTheme="majorBidi" w:hAnsiTheme="majorBidi" w:cstheme="majorBidi"/>
                <w:bCs/>
                <w:i/>
                <w:sz w:val="20"/>
                <w:szCs w:val="20"/>
              </w:rPr>
              <w:t>Phragmites</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australis</w:t>
            </w:r>
            <w:proofErr w:type="spellEnd"/>
            <w:r w:rsidRPr="004B1893">
              <w:rPr>
                <w:rFonts w:asciiTheme="majorBidi" w:hAnsiTheme="majorBidi" w:cstheme="majorBidi"/>
                <w:bCs/>
                <w:sz w:val="20"/>
                <w:szCs w:val="20"/>
              </w:rPr>
              <w:t xml:space="preserve">, </w:t>
            </w:r>
            <w:proofErr w:type="spellStart"/>
            <w:r w:rsidRPr="004B1893">
              <w:rPr>
                <w:rFonts w:asciiTheme="majorBidi" w:hAnsiTheme="majorBidi" w:cstheme="majorBidi"/>
                <w:bCs/>
                <w:i/>
                <w:sz w:val="20"/>
                <w:szCs w:val="20"/>
              </w:rPr>
              <w:t>Typha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latifolia</w:t>
            </w:r>
            <w:proofErr w:type="spellEnd"/>
          </w:p>
        </w:tc>
        <w:tc>
          <w:tcPr>
            <w:tcW w:w="305"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17-34.5</w:t>
            </w:r>
          </w:p>
        </w:tc>
        <w:tc>
          <w:tcPr>
            <w:tcW w:w="446" w:type="pc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BOD</w:t>
            </w:r>
          </w:p>
        </w:tc>
        <w:tc>
          <w:tcPr>
            <w:tcW w:w="472" w:type="pct"/>
            <w:tcBorders>
              <w:top w:val="single" w:sz="4" w:space="0" w:color="auto"/>
            </w:tcBorders>
            <w:vAlign w:val="center"/>
          </w:tcPr>
          <w:p w:rsidR="00263101" w:rsidRPr="004B1893" w:rsidRDefault="00263101" w:rsidP="00264DEF">
            <w:pPr>
              <w:jc w:val="center"/>
              <w:rPr>
                <w:rFonts w:asciiTheme="majorBidi" w:hAnsiTheme="majorBidi" w:cstheme="majorBidi"/>
                <w:bCs/>
                <w:color w:val="131413"/>
                <w:sz w:val="20"/>
                <w:szCs w:val="20"/>
              </w:rPr>
            </w:pPr>
            <w:r w:rsidRPr="004B1893">
              <w:rPr>
                <w:rFonts w:asciiTheme="majorBidi" w:hAnsiTheme="majorBidi" w:cstheme="majorBidi"/>
                <w:bCs/>
                <w:color w:val="131413"/>
                <w:sz w:val="20"/>
                <w:szCs w:val="20"/>
              </w:rPr>
              <w:t>28-100</w:t>
            </w:r>
          </w:p>
        </w:tc>
        <w:tc>
          <w:tcPr>
            <w:tcW w:w="331" w:type="pc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color w:val="131413"/>
                <w:sz w:val="20"/>
                <w:szCs w:val="20"/>
              </w:rPr>
              <w:t>52</w:t>
            </w:r>
          </w:p>
        </w:tc>
        <w:tc>
          <w:tcPr>
            <w:tcW w:w="398" w:type="pct"/>
            <w:gridSpan w:val="2"/>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Egypt</w:t>
            </w:r>
          </w:p>
        </w:tc>
        <w:tc>
          <w:tcPr>
            <w:tcW w:w="357"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{"citationItems":[{"id":"ITEM-1","itemData":{"DOI":"10.1016/j.ecoleng.2010.06.030","ISSN":"09258574","abstract":"In Egypt, disposing of partially treated or untreated domestic and industrial wastewater into agricultural drains deteriorates their water quality. A growing interest in effective low-cost treatment of polluted water and wastewater has resulted in many studies on constructed wetlands.This study evaluates free water surface constructed wetlands (by far the largest application project is named \" Lake Manzala Engineered Wetland [Egypt]\" ) utilized to improve the water quality in Bahr El Baqar drain, which is located at the northeastern edge of the Nile Delta. This drain discharges its water into Manzala Lake, which in turn has many fishing activities and is connected to the Mediterranean Sea. The full capacity of the constructed wetland system is 25,000m3/day. Three various flow rate wetlands were investigated; five wetland beds of high flow rate of 0.344m3/m2-day, five wetland beds of low flow rate of 0.048m3/m2-day and reciprocated cells of flow of 500m3/day.The concentrations of different contaminants along the constructed wetlands system were measured to determine the treatment efficiency. The effluent was compared with the Egyptian standards of water quality in agricultural drains (Law 48/1982). Due to the high percentage of the agricultural water drain, the concentrations of contaminants in the influent were relatively low. The percentages of removal for the different contaminants were BOD5: 52%, COD: 50%, TSS: 87%, TDS: 32%, NH4-N: 66%, PO4: 52%, Fe: 51%, Cu: 36%, Zn: 47% and Pb: 52%. The natural vegetation considerably increased the value of dissolved oxygen in the treated effluent. There were little differences in the removal efficiency between the high and low flow rates beds in the system. © 2010.","author":[{"dropping-particle":"","family":"El-Sheikh","given":"Mahmoud A.","non-dropping-particle":"","parse-names":false,"suffix":""},{"dropping-particle":"","family":"Saleh","given":"Hazem I.","non-dropping-particle":"","parse-names":false,"suffix":""},{"dropping-particle":"","family":"El-Quosy","given":"Diaa E.","non-dropping-particle":"","parse-names":false,"suffix":""},{"dropping-particle":"","family":"Mahmoud","given":"Abdallah A.","non-dropping-particle":"","parse-names":false,"suffix":""}],"container-title":"Ecological Engineering","id":"ITEM-1","issue":"10","issued":{"date-parts":[["2010"]]},"page":"1478-1484","publisher":"Elsevier B.V.","title":"Improving water quality in polluated drains with free water surface constructed wetlands","type":"article-journal","volume":"36"},"uris":["http://www.mendeley.com/documents/?uuid=c7ca9584-703c-47fe-8336-7365c9f741ce"]}],"mendeley":{"formattedCitation":"(El-Sheikh et al., 2010)","plainTextFormattedCitation":"(El-Sheikh et al., 2010)","previouslyFormattedCitation":"(El-Sheikh et al., 2010)"},"properties":{"noteIndex":0},"schema":"https://github.com/citation-style-language/schema/raw/master/csl-citation.json"}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(El-Sheikh et al., 2010)</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color w:val="131413"/>
                <w:sz w:val="20"/>
                <w:szCs w:val="20"/>
              </w:rPr>
            </w:pPr>
            <w:r w:rsidRPr="004B1893">
              <w:rPr>
                <w:rFonts w:asciiTheme="majorBidi" w:hAnsiTheme="majorBidi" w:cstheme="majorBidi"/>
                <w:bCs/>
                <w:color w:val="131413"/>
                <w:sz w:val="20"/>
                <w:szCs w:val="20"/>
              </w:rPr>
              <w:t>72-122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color w:val="131413"/>
                <w:sz w:val="20"/>
                <w:szCs w:val="20"/>
              </w:rPr>
              <w:t>50</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jc w:val="center"/>
              <w:rPr>
                <w:rFonts w:asciiTheme="majorBidi" w:hAnsiTheme="majorBidi" w:cstheme="majorBidi"/>
                <w:bCs/>
                <w:color w:val="131413"/>
                <w:sz w:val="20"/>
                <w:szCs w:val="20"/>
              </w:rPr>
            </w:pPr>
            <w:r w:rsidRPr="004B1893">
              <w:rPr>
                <w:rFonts w:asciiTheme="majorBidi" w:hAnsiTheme="majorBidi" w:cstheme="majorBidi"/>
                <w:bCs/>
                <w:color w:val="131413"/>
                <w:sz w:val="20"/>
                <w:szCs w:val="20"/>
              </w:rPr>
              <w:t>50-130</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color w:val="131413"/>
                <w:sz w:val="20"/>
                <w:szCs w:val="20"/>
              </w:rPr>
              <w:t>87</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rPr>
              <w:t>-N</w:t>
            </w:r>
          </w:p>
        </w:tc>
        <w:tc>
          <w:tcPr>
            <w:tcW w:w="472" w:type="pct"/>
            <w:vAlign w:val="center"/>
          </w:tcPr>
          <w:p w:rsidR="00263101" w:rsidRPr="004B1893" w:rsidRDefault="00263101" w:rsidP="00264DEF">
            <w:pPr>
              <w:jc w:val="center"/>
              <w:rPr>
                <w:rFonts w:asciiTheme="majorBidi" w:hAnsiTheme="majorBidi" w:cstheme="majorBidi"/>
                <w:bCs/>
                <w:color w:val="131413"/>
                <w:sz w:val="20"/>
                <w:szCs w:val="20"/>
              </w:rPr>
            </w:pPr>
            <w:r w:rsidRPr="004B1893">
              <w:rPr>
                <w:rFonts w:asciiTheme="majorBidi" w:hAnsiTheme="majorBidi" w:cstheme="majorBidi"/>
                <w:bCs/>
                <w:color w:val="131413"/>
                <w:sz w:val="20"/>
                <w:szCs w:val="20"/>
              </w:rPr>
              <w:t>1.8-4.5</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color w:val="131413"/>
                <w:sz w:val="20"/>
                <w:szCs w:val="20"/>
              </w:rPr>
              <w:t>66</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PO</w:t>
            </w:r>
            <w:r w:rsidRPr="004B1893">
              <w:rPr>
                <w:rFonts w:asciiTheme="majorBidi" w:hAnsiTheme="majorBidi" w:cstheme="majorBidi"/>
                <w:bCs/>
                <w:sz w:val="20"/>
                <w:szCs w:val="20"/>
                <w:vertAlign w:val="subscript"/>
              </w:rPr>
              <w:t>4</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0.8-2.3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79"/>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9.99</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0.1-0.35</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14-18</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0.4</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proofErr w:type="spellStart"/>
            <w:r w:rsidRPr="004B1893">
              <w:rPr>
                <w:rFonts w:asciiTheme="majorBidi" w:hAnsiTheme="majorBidi" w:cstheme="majorBidi"/>
                <w:bCs/>
                <w:sz w:val="20"/>
                <w:szCs w:val="20"/>
              </w:rPr>
              <w:t>Graywater</w:t>
            </w:r>
            <w:proofErr w:type="spellEnd"/>
          </w:p>
        </w:tc>
        <w:tc>
          <w:tcPr>
            <w:tcW w:w="609" w:type="pct"/>
            <w:vMerge w:val="restart"/>
            <w:vAlign w:val="center"/>
          </w:tcPr>
          <w:p w:rsidR="00263101" w:rsidRPr="009A113D" w:rsidRDefault="00263101" w:rsidP="00264DEF">
            <w:pPr>
              <w:spacing w:before="240"/>
              <w:jc w:val="center"/>
              <w:rPr>
                <w:rFonts w:asciiTheme="majorBidi" w:hAnsiTheme="majorBidi" w:cstheme="majorBidi"/>
                <w:bCs/>
                <w:i/>
                <w:iCs/>
                <w:sz w:val="20"/>
                <w:szCs w:val="20"/>
              </w:rPr>
            </w:pPr>
            <w:proofErr w:type="spellStart"/>
            <w:r w:rsidRPr="00A249D9">
              <w:rPr>
                <w:rFonts w:asciiTheme="majorBidi" w:hAnsiTheme="majorBidi" w:cstheme="majorBidi"/>
                <w:bCs/>
                <w:i/>
                <w:iCs/>
                <w:sz w:val="20"/>
                <w:szCs w:val="20"/>
              </w:rPr>
              <w:t>Typha</w:t>
            </w:r>
            <w:proofErr w:type="spellEnd"/>
            <w:r w:rsidRPr="00A249D9">
              <w:rPr>
                <w:rFonts w:asciiTheme="majorBidi" w:hAnsiTheme="majorBidi" w:cstheme="majorBidi"/>
                <w:bCs/>
                <w:i/>
                <w:iCs/>
                <w:sz w:val="20"/>
                <w:szCs w:val="20"/>
              </w:rPr>
              <w:t xml:space="preserve"> </w:t>
            </w:r>
            <w:proofErr w:type="spellStart"/>
            <w:r w:rsidRPr="00A249D9">
              <w:rPr>
                <w:rFonts w:asciiTheme="majorBidi" w:hAnsiTheme="majorBidi" w:cstheme="majorBidi"/>
                <w:bCs/>
                <w:i/>
                <w:iCs/>
                <w:sz w:val="20"/>
                <w:szCs w:val="20"/>
              </w:rPr>
              <w:t>latifolia</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5.2-18.9</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r w:rsidRPr="004B1893">
              <w:rPr>
                <w:rFonts w:asciiTheme="majorBidi" w:hAnsiTheme="majorBidi" w:cstheme="majorBidi"/>
                <w:bCs/>
                <w:sz w:val="20"/>
                <w:szCs w:val="20"/>
                <w:vertAlign w:val="subscript"/>
              </w:rPr>
              <w:t>5</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3.1-45.6</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78-92</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USA</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{"citationItems":[{"id":"ITEM-1","itemData":{"DOI":"10.2175/106143011x12989211841412","ISSN":"1061-4303","abstract":" The seasonal treatment efficiency of a pilot‐scale constructed wetland system located outdoors in a semi‐arid, temperate climate was evaluated for graywater in a comprehensive, 1‐year study. The system consisted of two wetland beds in series—a free water surface bed followed by a subsurface flow bed. Water quality monitoring evaluated organics, solids, nutrients, microbials, and surfactants. The results showed that the wetland substantially reduced graywater constituents during fall, spring, and summer, including biochemical oxygen demand (BOD) (92%), total nitrogen (85%), total phosphorus (78%), total suspended solids (TSS) (73%), linear alkylbenzene sulfonate (LAS) surfactants (94%), and E. coli (1.7 orders of magnitude). Except for TSS, lower removals of graywater constituents were noted in winter—BOD (78%), total nitrogen (64%), total phosphorus (65%), LAS (87%), and E. coli (1.0 order), indicating that, although wetland treatment slowed during the winter, the system remained active, even when the average water temperature was 5.2 ± 4.5°C. ","author":[{"dropping-particle":"","family":"Jokerst","given":"Adam","non-dropping-particle":"","parse-names":false,"suffix":""},{"dropping-particle":"","family":"Sharvelle","given":"Sybil E.","non-dropping-particle":"","parse-names":false,"suffix":""},{"dropping-particle":"","family":"Hollowed","given":"Margaret E.","non-dropping-particle":"","parse-names":false,"suffix":""},{"dropping-particle":"","family":"Roesner","given":"Larry A.","non-dropping-particle":"","parse-names":false,"suffix":""}],"container-title":"Water Environment Research","id":"ITEM-1","issue":"12","issued":{"date-parts":[["2011"]]},"page":"2187-2198","title":"Seasonal Performance of an Outdoor Constructed Wetland for Graywater Treatment in a Temperate Climate","type":"article-journal","volume":"83"},"uris":["http://www.mendeley.com/documents/?uuid=39dfa623-81f0-4c82-b439-75b4556fec58"]}],"mendeley":{"formattedCitation":"(Jokerst et al., 2011)","plainTextFormattedCitation":"(Jokerst et al., 2011)","previouslyFormattedCitation":"(Jokerst et al., 2011)"},"properties":{"noteIndex":0},"schema":"https://github.com/citation-style-language/schema/raw/master/csl-citation.json"}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(Jokerst et al., 2011)</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0.04-0.664</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64-85</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4.0-15.8</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73</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8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0.8-2.1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65-78</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Full-scale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43200</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49.5-122.4 m</w:t>
            </w:r>
            <w:r w:rsidRPr="004B1893">
              <w:rPr>
                <w:rFonts w:asciiTheme="majorBidi" w:hAnsiTheme="majorBidi" w:cstheme="majorBidi"/>
                <w:bCs/>
                <w:sz w:val="20"/>
                <w:szCs w:val="20"/>
                <w:vertAlign w:val="superscript"/>
              </w:rPr>
              <w:t>3</w:t>
            </w:r>
            <w:r w:rsidRPr="004B1893">
              <w:rPr>
                <w:rFonts w:asciiTheme="majorBidi" w:hAnsiTheme="majorBidi" w:cstheme="majorBidi"/>
                <w:bCs/>
                <w:sz w:val="20"/>
                <w:szCs w:val="20"/>
              </w:rPr>
              <w:t>/h</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0.9</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1.0</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steel industry wastewater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r w:rsidRPr="004B1893">
              <w:rPr>
                <w:rFonts w:asciiTheme="majorBidi" w:hAnsiTheme="majorBidi" w:cstheme="majorBidi"/>
                <w:bCs/>
                <w:i/>
                <w:sz w:val="20"/>
                <w:szCs w:val="20"/>
              </w:rPr>
              <w:t xml:space="preserve">P. </w:t>
            </w:r>
            <w:proofErr w:type="spellStart"/>
            <w:r w:rsidRPr="004B1893">
              <w:rPr>
                <w:rFonts w:asciiTheme="majorBidi" w:hAnsiTheme="majorBidi" w:cstheme="majorBidi"/>
                <w:bCs/>
                <w:i/>
                <w:sz w:val="20"/>
                <w:szCs w:val="20"/>
              </w:rPr>
              <w:t>australis</w:t>
            </w:r>
            <w:proofErr w:type="spellEnd"/>
            <w:r w:rsidRPr="004B1893">
              <w:rPr>
                <w:rFonts w:asciiTheme="majorBidi" w:hAnsiTheme="majorBidi" w:cstheme="majorBidi"/>
                <w:bCs/>
                <w:i/>
                <w:sz w:val="20"/>
                <w:szCs w:val="20"/>
              </w:rPr>
              <w:t xml:space="preserve"> Cav., T. </w:t>
            </w:r>
            <w:proofErr w:type="spellStart"/>
            <w:r w:rsidRPr="004B1893">
              <w:rPr>
                <w:rFonts w:asciiTheme="majorBidi" w:hAnsiTheme="majorBidi" w:cstheme="majorBidi"/>
                <w:bCs/>
                <w:i/>
                <w:sz w:val="20"/>
                <w:szCs w:val="20"/>
              </w:rPr>
              <w:t>angustifolia</w:t>
            </w:r>
            <w:proofErr w:type="spellEnd"/>
            <w:r w:rsidRPr="004B1893">
              <w:rPr>
                <w:rFonts w:asciiTheme="majorBidi" w:hAnsiTheme="majorBidi" w:cstheme="majorBidi"/>
                <w:bCs/>
                <w:i/>
                <w:sz w:val="20"/>
                <w:szCs w:val="20"/>
              </w:rPr>
              <w:t xml:space="preserve"> L, C. </w:t>
            </w:r>
            <w:proofErr w:type="spellStart"/>
            <w:r w:rsidRPr="004B1893">
              <w:rPr>
                <w:rFonts w:asciiTheme="majorBidi" w:hAnsiTheme="majorBidi" w:cstheme="majorBidi"/>
                <w:bCs/>
                <w:i/>
                <w:sz w:val="20"/>
                <w:szCs w:val="20"/>
              </w:rPr>
              <w:t>tegetiformis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r w:rsidRPr="004B1893">
              <w:rPr>
                <w:rFonts w:asciiTheme="majorBidi" w:hAnsiTheme="majorBidi" w:cstheme="majorBidi"/>
                <w:bCs/>
                <w:sz w:val="20"/>
                <w:szCs w:val="20"/>
                <w:vertAlign w:val="subscript"/>
              </w:rPr>
              <w:t>5</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7.5</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30</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Vietnam</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{"citationItems":[{"id":"ITEM-1","itemData":{"DOI":"10.2166/wst.2019.244","ISSN":"19969732","PMID":"31461422","abstract":"This paper presents the design of a constructed wetland (CW) system in an area with limited land availability, resulting in high hydraulic loads. The CW was constructed to act as a buffering/ polishing step after stabilization ponds for steel industry wastewater post-treatment. A pilot test with two different filter media (50–100 mm vs 40–60 mm diameter) indicated that a flow rate increase from 49.5 m3/h to 122.4 m3/h would lead to a head loss increase from 2.9 cm to 8.7 cm, and more than double that for the finer gravel. This was substantially higher than the calculated theoretical values, though the relation with flow rate was similar. Four full scale wetland cells (CW1, CW2, CW3 and CW4) were constructed using the coarser gravel. A design value of total head loss of 1.01 m over the total system length, with a design flow of 36,000 m3/day, was expected based on pilot test results. During the first operation year (September 2017 to July 2018), the pond-CW system has received wastewater already meeting required discharge standards. The effluent from the CWs had consistently lower concentrations of all measured variables, and met the predicted values for biochemical oxygen demand (BOD5), total nitrogen (TN) and NH4þ-N. Highest removal efficiencies were achieved for NH4þ-N (&gt;90%), Mn (&gt;60%) and Fe (45%) with removal efficiencies for TN (14%), BOD5 and chemical oxygen demand (COD) (around 30%). Concentrations of phenol, CN− and Cr6þ were below 10, 4 and 3 μg/l, respectively, in in- and outflows. An appreciated benefit of the wetland was the ‘green element’ in the industrial landscape.","author":[{"dropping-particle":"","family":"Nguyen","given":"Viet Anh","non-dropping-particle":"","parse-names":false,"suffix":""},{"dropping-particle":"","family":"Nguyen","given":"Minh Phuong","non-dropping-particle":"","parse-names":false,"suffix":""},{"dropping-particle":"","family":"Tonderski","given":"Karin","non-dropping-particle":"","parse-names":false,"suffix":""},{"dropping-particle":"Do","family":"Thi","given":"Hai","non-dropping-particle":"","parse-names":false,"suffix":""},{"dropping-particle":"","family":"Kim Bui","given":"Anh Thi","non-dropping-particle":"","parse-names":false,"suffix":""}],"container-title":"Water Science and Technology","id":"ITEM-1","issue":"1","issued":{"date-parts":[["2019"]]},"page":"59-66","title":"Design and performance of a coarse media, high hydraulic load polishing wetland for steel industry wastewater","type":"article-journal","volume":"80"},"uris":["http://www.mendeley.com/documents/?uuid=f2aa717d-485d-4100-9a9a-c711fcd20ea2"]}],"mendeley":{"formattedCitation":"(Nguyen et al., 2019)","plainTextFormattedCitation":"(Nguyen et al., 2019)","previouslyFormattedCitation":"(Nguyen et al., 2019)"},"properties":{"noteIndex":0},"schema":"https://github.com/citation-style-language/schema/raw/master/csl-citation.json"}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(Nguyen et al., 2019)</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23.1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30</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347"/>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rPr>
              <w: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0.72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&gt;90</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51"/>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10.5</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14</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Full-scale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2000</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100</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7-12</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0.4-0.5</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Wastewater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Typha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domingensis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31.3</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73</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Argentina</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{"citationItems":[{"id":"ITEM-1","itemData":{"DOI":"10.1007/s11356-018-2039-6","ISSN":"16147499","PMID":"29691750","abstract":"The aim of this work was to study Cr, Ni, Zn, and P bioaccumulation in different compartments of Typha domingensis plants and sediment in a free-water surface constructed wetland for the treatment of a metallurgical effluent for 5 years. Removal efficiencies were satisfactory. To increase metal tolerance, its transport from belowground to aboveground tissues is reduced, being metal concentrations in the roots and rhizomes significantly higher than in the aerial and submerged parts of leaves. Regarding belowground tissues, metals were retained in the roots, while P was mainly accumulated in rhizomes. Bioaccumulation factors (BAFs) of Cr and Ni showed values near 1, and BAF of Zn and P were above 1 in several samplings, indicating bioaccumulation in the roots. Translocation factors (TFs) of Cr, Ni, and Zn were below 1, showing a scarce translocation from the roots to the aerial parts of the leaves, while the TF of P were above 1 in many samplings, indicating that this element is necessary for plant metabolism. The study of plant tissues where contaminants are accumulated allows gaining insight into the constructed wetland operation. The high translocation of P in T. domingensis makes this species suitable for its phytoextraction, while the low metal translocation makes T. domingensis suitable for phytostabilization.","author":[{"dropping-particle":"","family":"Hadad","given":"Hernán Ricardo","non-dropping-particle":"","parse-names":false,"suffix":""},{"dropping-particle":"","family":"Mufarrege","given":"María de las Mercedes","non-dropping-particle":"","parse-names":false,"suffix":""},{"dropping-particle":"","family":"Luca","given":"Gisela Alfonsina","non-dropping-particle":"Di","parse-names":false,"suffix":""},{"dropping-particle":"","family":"Maine","given":"María Alejandra","non-dropping-particle":"","parse-names":false,"suffix":""}],"container-title":"Environmental Science and Pollution Research","id":"ITEM-1","issue":"18","issued":{"date-parts":[["2018"]]},"page":"18130-18137","publisher":"Environmental Science and Pollution Research","title":"Long-term study of Cr, Ni, Zn, and P distribution in Typha domingensis growing in a constructed wetland","type":"article-journal","volume":"25"},"uris":["http://www.mendeley.com/documents/?uuid=38b916d2-93c9-44c9-81a1-029fdd735a2e"]}],"mendeley":{"formattedCitation":"(Hadad et al., 2018)","plainTextFormattedCitation":"(Hadad et al., 2018)","previouslyFormattedCitation":"(Hadad et al., 2018)"},"properties":{"noteIndex":0},"schema":"https://github.com/citation-style-language/schema/raw/master/csl-citation.json"}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(Hadad et al., 2018)</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85</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75</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0.396</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0.88</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NO</w:t>
            </w:r>
            <w:r w:rsidRPr="004B1893">
              <w:rPr>
                <w:rFonts w:asciiTheme="majorBidi" w:hAnsiTheme="majorBidi" w:cstheme="majorBidi"/>
                <w:bCs/>
                <w:sz w:val="20"/>
                <w:szCs w:val="20"/>
                <w:vertAlign w:val="subscript"/>
              </w:rPr>
              <w:t>2</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2.22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84</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66"/>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NO</w:t>
            </w:r>
            <w:r w:rsidRPr="004B1893">
              <w:rPr>
                <w:rFonts w:asciiTheme="majorBidi" w:hAnsiTheme="majorBidi" w:cstheme="majorBidi"/>
                <w:bCs/>
                <w:sz w:val="20"/>
                <w:szCs w:val="20"/>
                <w:vertAlign w:val="subscript"/>
              </w:rPr>
              <w:t>3</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50.6</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80</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54"/>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2000</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100</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0.5-0.8</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Industrial wastewater and sewage</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r w:rsidRPr="004B1893">
              <w:rPr>
                <w:rFonts w:asciiTheme="majorBidi" w:hAnsiTheme="majorBidi" w:cstheme="majorBidi"/>
                <w:bCs/>
                <w:i/>
                <w:sz w:val="20"/>
                <w:szCs w:val="20"/>
              </w:rPr>
              <w:t xml:space="preserve">T. </w:t>
            </w:r>
            <w:proofErr w:type="spellStart"/>
            <w:r w:rsidRPr="004B1893">
              <w:rPr>
                <w:rFonts w:asciiTheme="majorBidi" w:hAnsiTheme="majorBidi" w:cstheme="majorBidi"/>
                <w:bCs/>
                <w:i/>
                <w:sz w:val="20"/>
                <w:szCs w:val="20"/>
              </w:rPr>
              <w:t>domingensis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20.5</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NO</w:t>
            </w:r>
            <w:r w:rsidRPr="004B1893">
              <w:rPr>
                <w:rFonts w:asciiTheme="majorBidi" w:hAnsiTheme="majorBidi" w:cstheme="majorBidi"/>
                <w:bCs/>
                <w:sz w:val="20"/>
                <w:szCs w:val="20"/>
                <w:vertAlign w:val="subscript"/>
              </w:rPr>
              <w:t>2</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2.61</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98.4</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Argentina</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{"citationItems":[{"id":"ITEM-1","itemData":{"DOI":"10.1016/j.jenvman.2013.04.054","ISSN":"10958630","PMID":"23694854","abstract":"A free water surface constructed wetland (CW) designed for effluent treatment was dominated by the emergent macrophyte Typha domingensis reaching a cover of roughly 80% for 5 years. Highly efficient metal and nutrient removal was reported during this period. In June 2009, a population of approximately 30 capybaras (Hydrochoerus hydrochaeris) caused the complete depredation of the aerial parts of macrophytes. However, plant roots and rhizomes were not damaged. After depredation stopped, T.domingensis showed a luxuriant growth, reaching a cover of 60% in 30 days. The objective of this work was to evaluate the sustainability of the CW subjected to an extreme event. Removal efficiency of the system was compared during normal operation, during the depredation event and over the subsequent recovery period. The CW efficiently retained contaminants during all the periods studied. However, the best efficiencies were registered during the normal operation period. There were no significant differences between the performances of the CW over the last two periods, except for BOD. The mean removal percentages during normal operation/depredation event/recovery period, were: 84.9/73.2/74.7% Cr; 66.7/48.0/51.2% Ni; 97.2/91.0/89.4% Fe; 50.0/46.8/49.5% Zn; 81.0/84.0/80.4% NO3-; 98.4/93.4/84.1% NO2-; 73.9/28.2/53.2% BOD and 75.4/40.9/44.6% COD. SRP and TP presented low removal efficiencies. Despite the anoxic conditions, contaminants were not released from sediment, accumulating in fractions that proved to be stable faced with changes in the operating conditions of the CW. T.domingensis showed an excellent growth response, consequently the period without aerial parts lasted a few months and the CW could recover its normal operation. Plants continued retaining contaminants in their roots and the sediment increased its retention capacity, balancing the operating capacity of the system. This was probably due to the fact that the CW had reached its maturity, with a complete root-rhizome development. These results demonstrated that faced with an incidental problem, this mature CW was capable of maintaining its efficiency and recovering its vegetation, demonstrating the robustness of these treatment systems. © 2013 Elsevier Ltd.","author":[{"dropping-particle":"","family":"Maine","given":"M. A.","non-dropping-particle":"","parse-names":false,"suffix":""},{"dropping-particle":"","family":"Hadad","given":"H. R.","non-dropping-particle":"","parse-names":false,"suffix":""},{"dropping-particle":"","family":"Sánchez","given":"G. C.","non-dropping-particle":"","parse-names":false,"suffix":""},{"dropping-particle":"","family":"Mufarrege","given":"M. M.","non-dropping-particle":"","parse-names":false,"suffix":""},{"dropping-particle":"","family":"Luca","given":"G. A.","non-dropping-particle":"Di","parse-names":false,"suffix":""},{"dropping-particle":"","family":"Caffaratti","given":"S. E.","non-dropping-particle":"","parse-names":false,"suffix":""},{"dropping-particle":"","family":"Pedro","given":"M. C.","non-dropping-particle":"","parse-names":false,"suffix":""}],"container-title":"Journal of Environmental Management","id":"ITEM-1","issued":{"date-parts":[["2013"]]},"page":"1-6","publisher":"Elsevier","title":"Sustainability of a constructed wetland faced with a depredation event","type":"article-journal","volume":"128"},"uris":["http://www.mendeley.com/documents/?uuid=4da13e99-f711-456d-98ce-59507aa8daf9"]}],"mendeley":{"formattedCitation":"(Maine et al., 2013)","plainTextFormattedCitation":"(Maine et al., 2013)","previouslyFormattedCitation":"(Maine et al., 2013)"},"properties":{"noteIndex":0},"schema":"https://github.com/citation-style-language/schema/raw/master/csl-citation.json"}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(Maine et al., 2013)</w:t>
            </w:r>
            <w:r w:rsidRPr="004B1893">
              <w:rPr>
                <w:rFonts w:asciiTheme="majorBidi" w:hAnsiTheme="majorBidi" w:cstheme="majorBidi"/>
                <w:bCs/>
                <w:sz w:val="20"/>
                <w:szCs w:val="20"/>
              </w:rPr>
              <w:fldChar w:fldCharType="end"/>
            </w:r>
          </w:p>
        </w:tc>
      </w:tr>
      <w:tr w:rsidR="00263101" w:rsidRPr="004B1893" w:rsidTr="00264DEF">
        <w:trPr>
          <w:trHeight w:val="153"/>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NO</w:t>
            </w:r>
            <w:r w:rsidRPr="004B1893">
              <w:rPr>
                <w:rFonts w:asciiTheme="majorBidi" w:hAnsiTheme="majorBidi" w:cstheme="majorBidi"/>
                <w:bCs/>
                <w:sz w:val="20"/>
                <w:szCs w:val="20"/>
                <w:vertAlign w:val="subscript"/>
              </w:rPr>
              <w:t>3</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37.3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81.0</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53"/>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0.43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23.4</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53"/>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3.04</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12.8</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53"/>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SO</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2-</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1711.3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65.2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Full-scale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sz w:val="20"/>
                <w:szCs w:val="20"/>
              </w:rPr>
              <w:t>4</w:t>
            </w:r>
            <w:r>
              <w:rPr>
                <w:rFonts w:asciiTheme="majorBidi" w:hAnsiTheme="majorBidi" w:cstheme="majorBidi"/>
                <w:sz w:val="20"/>
                <w:szCs w:val="20"/>
              </w:rPr>
              <w:t>8000</w:t>
            </w:r>
            <w:r w:rsidRPr="004B1893">
              <w:rPr>
                <w:rFonts w:asciiTheme="majorBidi" w:hAnsiTheme="majorBidi" w:cstheme="majorBidi"/>
                <w:sz w:val="20"/>
                <w:szCs w:val="20"/>
              </w:rPr>
              <w:t xml:space="preserve"> </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0.17m/d</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7.1</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0.5</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eutrophic waters</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Typha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angustifolia</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0.21</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12.5</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Spain</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{"citationItems":[{"id":"ITEM-1","itemData":{"DOI":"10.1016/j.scitotenv.2017.03.278","ISSN":"18791026","PMID":"28399497","abstract":"Three medium size constructed wetlands (CWs) with a total surface of 90 ha are working since 2009 in the Albufera de Valencia Natural Park (Spain). Two of them are fed with eutrophic waters from l'Albufera Lake. Their objectives are both reduce the phytoplankton biomass and increase the biodiversity; consequently, improved water quality is returned to the lake. A “science based governance” of these CWs is ongoing inside the LIFE + 12 Albufera Project to demonstrate the environmental benefits of these features. In this paper, results and relationships among hydraulic operation, physicochemical variables and plankton in two different CWs typologies, five free water surface CW (FWSCW) and one horizontal subsurface flow CW (HSSFCW), were analysed showing that CWs were capable of improving the water quality and biodiversity but showing clear differences depending on the CW type. The CWs worked under different hydraulic load rates (HLR) from &lt; 0.12 to 54.75 m yr− 1. Inflow water quality was typical from eutrophic waters with mean values of chlorophyll a (Chl a) about 22–90 μg Chl a l− 1 and mean total phosphorus (TP) between 0.122 and 0.337 mg l− 1. The main conclusion is that HSSFCW was much more efficient than FWSCW in the removal of organic matter, suspended solids and nutrients. The biological role of several shallow lagoons located at the end of the CWs has also been evaluated, showing that they contribute to increase the zooplankton biomass, a key factor to control the phytoplankton blooms.","author":[{"dropping-particle":"","family":"Hernández-Crespo","given":"C.","non-dropping-particle":"","parse-names":false,"suffix":""},{"dropping-particle":"","family":"Gargallo","given":"S.","non-dropping-particle":"","parse-names":false,"suffix":""},{"dropping-particle":"","family":"Benedito-Durá","given":"V.","non-dropping-particle":"","parse-names":false,"suffix":""},{"dropping-particle":"","family":"Nácher-Rodríguez","given":"Beatriz","non-dropping-particle":"","parse-names":false,"suffix":""},{"dropping-particle":"","family":"Rodrigo-Alacreu","given":"M. A.","non-dropping-particle":"","parse-names":false,"suffix":""},{"dropping-particle":"","family":"Martín","given":"M.","non-dropping-particle":"","parse-names":false,"suffix":""}],"container-title":"Science of the Total Environment","id":"ITEM-1","issued":{"date-parts":[["2017"]]},"page":"584-593","publisher":"Elsevier B.V.","title":"Performance of surface and subsurface flow constructed wetlands treating eutrophic waters","type":"article-journal","volume":"595"},"uris":["http://www.mendeley.com/documents/?uuid=e1da9700-7c5b-4e1a-baa7-2986d293d1b7"]}],"mendeley":{"formattedCitation":"(Hernández-Crespo et al., 2017)","plainTextFormattedCitation":"(Hernández-Crespo et al., 2017)","previouslyFormattedCitation":"(Hernández-Crespo et al., 2017)"},"properties":{"noteIndex":0},"schema":"https://github.com/citation-style-language/schema/raw/master/csl-citation.json"}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(Hernández-Crespo et al., 2017)</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52.5</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0.088</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48.2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Full-scale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3674</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182m/d</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0.9</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urban watershed</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r w:rsidRPr="004B1893">
              <w:rPr>
                <w:rFonts w:asciiTheme="majorBidi" w:hAnsiTheme="majorBidi" w:cstheme="majorBidi"/>
                <w:bCs/>
                <w:i/>
                <w:sz w:val="20"/>
                <w:szCs w:val="20"/>
              </w:rPr>
              <w:t>Mixed plants</w:t>
            </w:r>
          </w:p>
        </w:tc>
        <w:tc>
          <w:tcPr>
            <w:tcW w:w="305"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17</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4.72</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46.9</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China</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{"citationItems":[{"id":"ITEM-1","itemData":{"DOI":"10.1007/s11270-017-3312-x","ISSN":"15732932","abstract":"Constructed wetlands are typical best management practices (BMPs) often used to reduce nutrient loads in streams. Evaluating the effectiveness of wetland design on nutrient removal is essential to assist watershed managers in optimal design of BMP dimensions and placement. In this study, we assess performance of two constructed wetland systems (comprising of nine wetlands) installed in downstream of Longhongjian Stream in Hangzhou City, China. These wetland systems are monitored and evaluated for their effects on nutrient removal, particularly TN, NO3-N, TP, and PO4-P. Based on wetland input–output metrics, removal efficiency (RE) is used to quantify wetland system. Results show that both wetland systems effectively removed nutrients, with RE as high as 45% of TN, 57% of NO3-N, 78% of TP, and 86% of PO4-P. In general, nutrient removal efficiency is seasonally dependent, with better removal efficiency occurring during warmer seasons than others. Macrophyte uptake is a primary removal process in these wetlands. We observe that more wetlands working concurrently can provide a greater level of control on nutrients in lotic environments. Wetland design parameters play an important role in removal of nutrients in streams. Increasing flow volume and surface area of wetland, designing curvilinear shoreline, and longer flow paths can be used as design criteria for wetland systems aimed at nutrient removal.","author":[{"dropping-particle":"","family":"Han","given":"Li","non-dropping-particle":"","parse-names":false,"suffix":""},{"dropping-particle":"","family":"Randhir","given":"Timothy O.","non-dropping-particle":"","parse-names":false,"suffix":""},{"dropping-particle":"","family":"Huang","given":"Minsheng","non-dropping-particle":"","parse-names":false,"suffix":""}],"container-title":"Water, Air, and Soil Pollution","id":"ITEM-1","issue":"4","issued":{"date-parts":[["2017"]]},"publisher":"Water, Air, &amp; Soil Pollution","title":"Design and assessment of stream–wetland systems for nutrient removal in an urban watershed of China","type":"article-journal","volume":"228"},"uris":["http://www.mendeley.com/documents/?uuid=5902d878-4c9f-4cb2-8ee6-00a62ece4165"]}],"mendeley":{"formattedCitation":"(Han et al., 2017)","plainTextFormattedCitation":"(Han et al., 2017)","previouslyFormattedCitation":"(Han et al., 2017)"},"properties":{"noteIndex":0},"schema":"https://github.com/citation-style-language/schema/raw/master/csl-citation.json"}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(Han et al., 2017)</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0.05</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52.3</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0.4</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0.15-0.25-0.3</w:t>
            </w:r>
            <w:r>
              <w:rPr>
                <w:rFonts w:asciiTheme="majorBidi" w:hAnsiTheme="majorBidi" w:cstheme="majorBidi"/>
                <w:bCs/>
                <w:sz w:val="20"/>
                <w:szCs w:val="20"/>
              </w:rPr>
              <w:t>5</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Polluted lake 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Eichhornia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Crassipes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32.0</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r w:rsidRPr="004B1893">
              <w:rPr>
                <w:rFonts w:asciiTheme="majorBidi" w:hAnsiTheme="majorBidi" w:cstheme="majorBidi"/>
                <w:bCs/>
                <w:sz w:val="20"/>
                <w:szCs w:val="20"/>
                <w:vertAlign w:val="subscript"/>
              </w:rPr>
              <w:t>5</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95</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75</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Egypt</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{"citationItems":[{"id":"ITEM-1","itemData":{"DOI":"https://doi.org/10.1007/s11356-021-12442-7","author":[{"dropping-particle":"","family":"Gaballah","given":"Mohamed S.","non-dropping-particle":"","parse-names":false,"suffix":""},{"dropping-particle":"","family":"K.Ismail","given":"","non-dropping-particle":"","parse-names":false,"suffix":""},{"dropping-particle":"","family":"Aboauge","given":"Domenic","non-dropping-particle":"","parse-names":false,"suffix":""},{"dropping-particle":"","family":"Ismail","given":"Mona","non-dropping-particle":"","parse-names":false,"suffix":""},{"dropping-particle":"","family":"Sobhi","given":"Mostafa","non-dropping-particle":"","parse-names":false,"suffix":""},{"dropping-particle":"","family":"Stefanakis","given":"Alexandros I.","non-dropping-particle":"","parse-names":false,"suffix":""}],"container-title":"Environmental Science and Pollution Research","id":"ITEM-1","issue":"15","issued":{"date-parts":[["2021"]]},"publisher":"Environmental Science and Pollution Research","title":"Effect of design and operational parameters on nutrients and heavy metal removal in pilot floating treatment wetlands with Eichhornia Crassipes treating polluted lake water","type":"article-journal","volume":"1"},"uris":["http://www.mendeley.com/documents/?uuid=2626055c-1be3-4735-9b16-c92415ccaef8"]}],"mendeley":{"formattedCitation":"(Gaballah et al., 2021)","plainTextFormattedCitation":"(Gaballah et al., 2021)","previouslyFormattedCitation":"(Gaballah et al., 2021)"},"properties":{"noteIndex":0},"schema":"https://github.com/citation-style-language/schema/raw/master/csl-citation.json"}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(Gaballah et al., 2021)</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4.7</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1.12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84.2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18"/>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97.4</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0.34</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0.15-0.25-0.3</w:t>
            </w:r>
            <w:r>
              <w:rPr>
                <w:rFonts w:asciiTheme="majorBidi" w:hAnsiTheme="majorBidi" w:cstheme="majorBidi"/>
                <w:bCs/>
                <w:sz w:val="20"/>
                <w:szCs w:val="20"/>
              </w:rPr>
              <w:t>5</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Polluted lake 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Pistia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stratiotes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32.0</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95</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83.5</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Egypt</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{"citationItems":[{"id":"ITEM-1","itemData":{"DOI":"10.3103/s1063455x1903010x","ISSN":"1063-455X","author":[{"dropping-particle":"","family":"Gaballah","given":"Mohamed S.","non-dropping-particle":"","parse-names":false,"suffix":""},{"dropping-particle":"","family":"Ismail","given":"K.","non-dropping-particle":"","parse-names":false,"suffix":""},{"dropping-particle":"","family":"Beltagy","given":"A.","non-dropping-particle":"","parse-names":false,"suffix":""},{"dropping-particle":"","family":"Zein Eldin","given":"A. M.","non-dropping-particle":"","parse-names":false,"suffix":""},{"dropping-particle":"","family":"Ismail","given":"M. M.","non-dropping-particle":"","parse-names":false,"suffix":""}],"container-title":"Journal of Water Chemistry and Technology","id":"ITEM-1","issue":"3","issued":{"date-parts":[["2019"]]},"page":"197-205","title":"Wastewater Treatment Potential of Water Lettuce (Pistia stratiotes) with Modified Engineering Design","type":"article-journal","volume":"41"},"uris":["http://www.mendeley.com/documents/?uuid=b8564e2a-cfad-4caf-8a32-06370d6e05e7"]}],"mendeley":{"formattedCitation":"(Gaballah et al., 2019)","plainTextFormattedCitation":"(Gaballah et al., 2019)","previouslyFormattedCitation":"(Gaballah et al., 2019)"},"properties":{"noteIndex":0},"schema":"https://github.com/citation-style-language/schema/raw/master/csl-citation.json"}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(Gaballah et al., 2019)</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4.71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90.3</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1.12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87</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89"/>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97.53</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66"/>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0.16</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2L</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Continuous flow</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0.24</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proofErr w:type="spellStart"/>
            <w:r w:rsidRPr="004B1893">
              <w:rPr>
                <w:rFonts w:asciiTheme="majorBidi" w:hAnsiTheme="majorBidi" w:cstheme="majorBidi"/>
                <w:bCs/>
                <w:sz w:val="20"/>
                <w:szCs w:val="20"/>
              </w:rPr>
              <w:t>greywater</w:t>
            </w:r>
            <w:proofErr w:type="spellEnd"/>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Eichhornia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crassipes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Cold season</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Ammonia</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1.9</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60</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Nigeria</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{"citationItems":[{"id":"ITEM-1","itemData":{"DOI":"10.1016/j.heliyon.2023.e17637","ISSN":"24058440","abstract":"The reuse of treated wastewater for agriculture and other purposes is globally recognized as a reliable water source. Constructed wetlands are cost-effective and reliable green technologies for wastewater treatment, offering an environmentally friendly and affordable solution with minimal operational and maintenance requirements. This study assessed four wetland technologies (HFWSF, VFSF, VSSF, and HSSF) for treating greywater according to regulatory standards. The technologies effectively maintained pH levels, and both treated and untreated greywater samples met FEPA limits. They efficiently reduced dissolved and suspended particles, remaining below FEPA discharge limits for conductivity, TDS, turbidity, and TSS. However, elevated ammonia levels in both treated and untreated samples required additional treatment or mitigation. Sulphate levels were successfully mitigated, and phosphorus limits were met, with HFWSF already compliant even before treatment. Nitrate levels were reduced to meet FEPA limits, ensuring regulatory compliance. While BOD limits were met in both treated and untreated samples, untreated samples exceeded COD limits, necessitating more efficient treatment methods. HFWSF and HSSF complied with COD limits, whereas VFSF and VSSF did not. Both treated and untreated samples exceeded FEPA limits for oil and grease, indicating the need for additional treatment. Untreated samples exhibited high coliform contamination levels, underscoring the importance of effective treatment. However, all technologies successfully reduced coliform levels in treated samples, meeting FEPA limits and confirming treatment effectiveness. The combination of Typha (Domingensis) in the horizontal subsurface flow constructed wetland improved pollutant removal, nutrient removal, and contaminant elimination. Incorporating water Hyacinth (Eichhornia crassipes) with horizontal free water surface flow wetland technology demonstrated the highest efficacy in removing various pollutants. This combination outperformed other wetland technologies in effectively removing pollutants, including ammonia (60%), oil and grease (78.46%), COD (85%), TP (37.04%), FC (75%), and TC (79.59%), representing significant progress in greywater treatment.","author":[{"dropping-particle":"","family":"Chikogu Ameso","given":"Vivien","non-dropping-particle":"","parse-names":false,"suffix":""},{"dropping-particle":"","family":"Essandoh","given":"Helen Michelle Korkor","non-dropping-particle":"","parse-names":false,"suffix":""},{"dropping-particle":"","family":"Donkor","given":"Emmanuel Amponsah","non-dropping-particle":"","parse-names":false,"suffix":""},{"dropping-particle":"","family":"Nwude","given":"Michael Obiekwe","non-dropping-particle":"","parse-names":false,"suffix":""}],"container-title":"Heliyon","id":"ITEM-1","issue":"7","issued":{"date-parts":[["2023"]]},"page":"e17637","publisher":"Elsevier Ltd","title":"Comparative analysis of greywater pollutant removal efficiency with horizontal free water surface flow wetland with other wetland technologies","type":"article-journal","volume":"9"},"uris":["http://www.mendeley.com/documents/?uuid=88279f21-22b8-4cdb-a3cf-c5adf235f89f"]}],"mendeley":{"formattedCitation":"(Chikogu Ameso et al., 2023)","plainTextFormattedCitation":"(Chikogu Ameso et al., 2023)","previouslyFormattedCitation":"(Chikogu Ameso et al., 2023)"},"properties":{"noteIndex":0},"schema":"https://github.com/citation-style-language/schema/raw/master/csl-citation.json"}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(Chikogu Ameso et al., 2023)</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600</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85</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2.7</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79.58</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24.15</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41mm/d</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3</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0.6</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wastewater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Typha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latifolia</w:t>
            </w:r>
            <w:proofErr w:type="spellEnd"/>
            <w:r w:rsidRPr="004B1893">
              <w:rPr>
                <w:rFonts w:asciiTheme="majorBidi" w:hAnsiTheme="majorBidi" w:cstheme="majorBidi"/>
                <w:bCs/>
                <w:i/>
                <w:sz w:val="20"/>
                <w:szCs w:val="20"/>
              </w:rPr>
              <w:t>/</w:t>
            </w:r>
            <w:r w:rsidRPr="004B1893">
              <w:rPr>
                <w:rFonts w:asciiTheme="majorBidi" w:hAnsiTheme="majorBidi" w:cstheme="majorBidi"/>
                <w:bCs/>
                <w:sz w:val="20"/>
                <w:szCs w:val="20"/>
              </w:rPr>
              <w:t xml:space="preserve"> </w:t>
            </w:r>
            <w:proofErr w:type="spellStart"/>
            <w:r w:rsidRPr="004B1893">
              <w:rPr>
                <w:rFonts w:asciiTheme="majorBidi" w:hAnsiTheme="majorBidi" w:cstheme="majorBidi"/>
                <w:bCs/>
                <w:i/>
                <w:sz w:val="20"/>
                <w:szCs w:val="20"/>
              </w:rPr>
              <w:t>Phragmites</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australis</w:t>
            </w:r>
            <w:proofErr w:type="spellEnd"/>
            <w:r w:rsidRPr="004B1893">
              <w:rPr>
                <w:rFonts w:asciiTheme="majorBidi" w:hAnsiTheme="majorBidi" w:cstheme="majorBidi"/>
                <w:bCs/>
                <w:i/>
                <w:sz w:val="20"/>
                <w:szCs w:val="20"/>
              </w:rPr>
              <w:t>/</w:t>
            </w:r>
            <w:r w:rsidRPr="004B1893">
              <w:rPr>
                <w:rFonts w:asciiTheme="majorBidi" w:hAnsiTheme="majorBidi" w:cstheme="majorBidi"/>
                <w:bCs/>
                <w:sz w:val="20"/>
                <w:szCs w:val="20"/>
              </w:rPr>
              <w:t xml:space="preserve"> </w:t>
            </w:r>
            <w:proofErr w:type="spellStart"/>
            <w:r w:rsidRPr="004B1893">
              <w:rPr>
                <w:rFonts w:asciiTheme="majorBidi" w:hAnsiTheme="majorBidi" w:cstheme="majorBidi"/>
                <w:bCs/>
                <w:i/>
                <w:sz w:val="20"/>
                <w:szCs w:val="20"/>
              </w:rPr>
              <w:t>Spargamium</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erectum</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r w:rsidRPr="004B1893">
              <w:rPr>
                <w:rFonts w:asciiTheme="majorBidi" w:hAnsiTheme="majorBidi" w:cstheme="majorBidi"/>
                <w:bCs/>
                <w:sz w:val="20"/>
                <w:szCs w:val="20"/>
                <w:vertAlign w:val="subscript"/>
              </w:rPr>
              <w:t>5</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181.49</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54</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Spain</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{"citationItems":[{"id":"ITEM-1","itemData":{"DOI":"10.3390/su14116511","ISSN":"20711050","abstract":"The treatment of wastewater from small towns supposes problems of economic efficiency, leading to very high environmental costs in areas with low population density. Constructed wetlands (CW) seems to be the more suitable solution for this kind of situation, but further investigations are needed regarding their efficiency under different climatic conditions. This work presents the results concerning urban wastewater treatment by means of two different constructed wetlands using macrophytes: horizontal subsurface flow (HSSF) and free water surface (FWS). The systems are located in a Mediterranean continental climate area and are fed by a by-pass at the entrance of a wastewater treatment plant. A four-year sampling campaign at the outlet of the CW allowed verifying their relative effectiveness in removing pollutants in the different seasons of the year. BOD5, COD, and TSS were significantly removed (with average reductions of 55%, 60%, and 57%, respectively) by these natural phytodepuration systems, with HSSF being more efficient during plants’ dormancy than FWS, but the concentrations of nutrients indicated that cumulative effects occur in CW with the need of adequate annual maintenance. It was found that the main factors controlling the efficiency of such systems throughout the year are the period of vegetative development, the presence/absence of a solid substrate, and the pollutant load of the wastewater inlet.","author":[{"dropping-particle":"","family":"Acero-Oliete","given":"Alejandro","non-dropping-particle":"","parse-names":false,"suffix":""},{"dropping-particle":"","family":"López-Julián","given":"Pedro Luis","non-dropping-particle":"","parse-names":false,"suffix":""},{"dropping-particle":"","family":"Russo","given":"Beniamino","non-dropping-particle":"","parse-names":false,"suffix":""},{"dropping-particle":"","family":"Ruiz-Lozano","given":"Oscar","non-dropping-particle":"","parse-names":false,"suffix":""}],"container-title":"Sustainability (Switzerland)","id":"ITEM-1","issue":"11","issued":{"date-parts":[["2022"]]},"title":"Comparative Efficiency of Two Different Constructed Wetlands for Wastewater Treatment of Small Populations in Mediterranean Continental Climate","type":"article-journal","volume":"14"},"uris":["http://www.mendeley.com/documents/?uuid=ed3dc40c-8091-461d-b26e-6bdd907a8aa3"]}],"mendeley":{"formattedCitation":"(Acero-Oliete et al., 2022)","manualFormatting":"( Acero-Oliete et al., 2022)","plainTextFormattedCitation":"(Acero-Oliete et al., 2022)","previouslyFormattedCitation":"(Acero-Oliete et al., 2022)"},"properties":{"noteIndex":0},"schema":"https://github.com/citation-style-language/schema/raw/master/csl-citation.json"}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 Acero-Oliete et al., 2022)</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394.88</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59</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179.72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54</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2.0</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-52</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28.76</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-33</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21.26</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53"/>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Full-scale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4500</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970 m3/h</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6.5</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0.4</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Combined sewer overflows</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r w:rsidRPr="004B1893">
              <w:rPr>
                <w:rFonts w:asciiTheme="majorBidi" w:hAnsiTheme="majorBidi" w:cstheme="majorBidi"/>
                <w:bCs/>
                <w:i/>
                <w:sz w:val="20"/>
                <w:szCs w:val="20"/>
              </w:rPr>
              <w:t>Mixed plants</w:t>
            </w:r>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186</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83.2</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Italy</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{"citationItems":[{"id":"ITEM-1","itemData":{"DOI":"10.1016/j.ecoleng.2023.107008","ISSN":"09258574","abstract":"Combined sewer overflows (CSOs) constitute nowadays a major environmental concern, representing one of the main untreated sources of pollution for receiving water bodies. Additional, in recent years, the frequency and intensity of CSOs have increased due to the growing urbanisation and climate change. Although there is no single effective strategy, one of the most promising approaches for the control and treatment of CSOs can be found in nature-based solutions (NBS), such as constructed wetlands (CWs). Despite the demonstrated potential of CWs to treat CSOs, the only data reported in the literature refer to CSO-CW systems located along the sewerage network. This research represents, to the best of our knowledge, the first monitoring of a full-scale CSO-CW designed to treat the combined sewer overflow upstream of the WWTP located in Carimate, in the province of Como (Italy). The system is a multistage CW, composed by a 1st vertical subsurface flow (VF) stage (total area of 8500 m2) and a 2nd free water surface (FWS) stage (total area of 4500 m2). The observed removal rates during the 3 years monitoring campaign (mean values equal to 83.2%, 64.6%, 63.8% for COD, TP, and N-NH4+ respectively) confirmed the treatment efficiency of CW system for all the investigated parameters, consistent with literature data for CSO-CWs in line with the sewerage network, despite its large scale and different hydraulic characteristics. Furthermore, the system also provides additional ecosystem services such as flood mitigation (average CSO interception of 82%), enhancement of biodiversity and a low operational and maintenance cost.","author":[{"dropping-particle":"","family":"Masi","given":"F.","non-dropping-particle":"","parse-names":false,"suffix":""},{"dropping-particle":"","family":"Sarti","given":"C.","non-dropping-particle":"","parse-names":false,"suffix":""},{"dropping-particle":"","family":"Cincinelli","given":"A.","non-dropping-particle":"","parse-names":false,"suffix":""},{"dropping-particle":"","family":"Bresciani","given":"R.","non-dropping-particle":"","parse-names":false,"suffix":""},{"dropping-particle":"","family":"Martinuzzi","given":"N.","non-dropping-particle":"","parse-names":false,"suffix":""},{"dropping-particle":"","family":"Bernasconi","given":"M.","non-dropping-particle":"","parse-names":false,"suffix":""},{"dropping-particle":"","family":"Rizzo","given":"A.","non-dropping-particle":"","parse-names":false,"suffix":""}],"container-title":"Ecological Engineering","id":"ITEM-1","issue":"February","issued":{"date-parts":[["2023"]]},"page":"107008","publisher":"Elsevier B.V.","title":"Constructed wetlands for the treatment of combined sewer overflow upstream of centralized wastewater treatment plants","type":"article-journal","volume":"193"},"uris":["http://www.mendeley.com/documents/?uuid=fd390657-295e-40b0-a0c0-03008f9315b2"]}],"mendeley":{"formattedCitation":"(Masi et al., 2023)","plainTextFormattedCitation":"(Masi et al., 2023)","previouslyFormattedCitation":"(Masi et al., 2023)"},"properties":{"noteIndex":0},"schema":"https://github.com/citation-style-language/schema/raw/master/csl-citation.json"}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(Masi et al., 2023)</w:t>
            </w:r>
            <w:r w:rsidRPr="004B1893">
              <w:rPr>
                <w:rFonts w:asciiTheme="majorBidi" w:hAnsiTheme="majorBidi" w:cstheme="majorBidi"/>
                <w:bCs/>
                <w:sz w:val="20"/>
                <w:szCs w:val="20"/>
              </w:rPr>
              <w:fldChar w:fldCharType="end"/>
            </w:r>
          </w:p>
        </w:tc>
      </w:tr>
      <w:tr w:rsidR="00263101" w:rsidRPr="004B1893" w:rsidTr="00264DEF">
        <w:trPr>
          <w:trHeight w:val="177"/>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64.6</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187"/>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 NH</w:t>
            </w:r>
            <w:r w:rsidRPr="004B1893">
              <w:rPr>
                <w:rFonts w:asciiTheme="majorBidi" w:hAnsiTheme="majorBidi" w:cstheme="majorBidi"/>
                <w:bCs/>
                <w:sz w:val="20"/>
                <w:szCs w:val="20"/>
                <w:vertAlign w:val="subscript"/>
              </w:rPr>
              <w:t>4</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63.8</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322"/>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lastRenderedPageBreak/>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0.96</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0.096</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20</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1.45</w:t>
            </w:r>
          </w:p>
        </w:tc>
        <w:tc>
          <w:tcPr>
            <w:tcW w:w="457" w:type="pct"/>
            <w:vMerge w:val="restar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domestic</w:t>
            </w:r>
          </w:p>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wastewater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r w:rsidRPr="004B1893">
              <w:rPr>
                <w:rFonts w:asciiTheme="majorBidi" w:hAnsiTheme="majorBidi" w:cstheme="majorBidi"/>
                <w:bCs/>
                <w:i/>
                <w:sz w:val="20"/>
                <w:szCs w:val="20"/>
              </w:rPr>
              <w:t xml:space="preserve">Cannas </w:t>
            </w:r>
            <w:proofErr w:type="spellStart"/>
            <w:r w:rsidRPr="004B1893">
              <w:rPr>
                <w:rFonts w:asciiTheme="majorBidi" w:hAnsiTheme="majorBidi" w:cstheme="majorBidi"/>
                <w:bCs/>
                <w:i/>
                <w:sz w:val="20"/>
                <w:szCs w:val="20"/>
              </w:rPr>
              <w:t>generalis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20 to 45</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BOD</w:t>
            </w:r>
            <w:r w:rsidRPr="004B1893">
              <w:rPr>
                <w:rFonts w:asciiTheme="majorBidi" w:hAnsiTheme="majorBidi" w:cstheme="majorBidi"/>
                <w:bCs/>
                <w:sz w:val="20"/>
                <w:szCs w:val="20"/>
                <w:vertAlign w:val="subscript"/>
              </w:rPr>
              <w:t>5</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85.0</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89</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Vietnam</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{"citationItems":[{"id":"ITEM-1","itemData":{"DOI":"10.22034/gjesm.2019.03.06","ISSN":"23833866","abstract":"Constructed wetlands have not been commonly used in Vietnam due to the lack of information in the selection of proper types of constructed wetlands, type of reeds, design parameters and performance efficiency, in tropical climates. This paper focuses on Canna generalis, which is a common reed and easy to grow both in water and wet land conditions. Two kinds of hybrid constructed wetlands were employed, including Facultative pond combined with free water sub-surface constructed wetlands system and horizontal subsurface flow combined with Aerobic pond system. It was found that the ponds played an important role in the hybrid system performance and enhanced the performance of constructed wetlands. The pollutant removal efficiencies of the hybrid systems were all higher than the single constructed wetlands. The BOD5, TSS, NH4-N and PO4-P removal efficiencies averaged 81%, 85%, 93% and 77%, respectively for the hybrid horizontal subsurface flow constructed wetlands system operated at a hydraulic loading rate of 0.075 m/day, while they were 89%, 97%, 97%, and 68%, respectively for the hybrid free water sub-surface constructed wetlands system operated at a hydraulic loading rate of 0.1 m/day. The removal rate constants (kBOD5, kNH4-N, kPO4-P) of the experimental hybrid constructed wetlands were similar to those in previous studies. However, these constants were higher for the hybrid free water subsurface constructed wetlands because of the modified structure flow of the free water subsurface constructed wetlands applied in this study, compared to conventional ones, as well as the additional benefits of the ponds in the hybrid systems.","author":[{"dropping-particle":"","family":"Tran","given":"H. D.","non-dropping-particle":"","parse-names":false,"suffix":""},{"dropping-particle":"","family":"Vi","given":"H. M.T.","non-dropping-particle":"","parse-names":false,"suffix":""},{"dropping-particle":"","family":"Dang","given":"H. T.T.","non-dropping-particle":"","parse-names":false,"suffix":""},{"dropping-particle":"","family":"Narbaitz","given":"R. M.","non-dropping-particle":"","parse-names":false,"suffix":""}],"container-title":"Global Journal of Environmental Science and Management","id":"ITEM-1","issue":"3","issued":{"date-parts":[["2019"]]},"page":"331-344","title":"Pollutant removal by Canna Generalis in tropical constructed wetlands for domestic wastewater treatment","type":"article-journal","volume":"5"},"uris":["http://www.mendeley.com/documents/?uuid=c509b5d0-10b9-465b-9a01-03b72eed9dc7"]}],"mendeley":{"formattedCitation":"(Tran et al., 2019)","plainTextFormattedCitation":"(Tran et al., 2019)","previouslyFormattedCitation":"(Tran et al., 2019)"},"properties":{"noteIndex":0},"schema":"https://github.com/citation-style-language/schema/raw/master/csl-citation.json"}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(Tran et al., 2019)</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67.5</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97</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rPr>
              <w: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23.4</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97</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8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PO</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rPr>
              <w:t>-P</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0.64</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68</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0.18</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0.06</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7</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0.35</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Domestic Wastewaters</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proofErr w:type="spellStart"/>
            <w:r w:rsidRPr="004B1893">
              <w:rPr>
                <w:rFonts w:asciiTheme="majorBidi" w:hAnsiTheme="majorBidi" w:cstheme="majorBidi"/>
                <w:bCs/>
                <w:i/>
                <w:sz w:val="20"/>
                <w:szCs w:val="20"/>
              </w:rPr>
              <w:t>Azolla</w:t>
            </w:r>
            <w:proofErr w:type="spellEnd"/>
            <w:r w:rsidRPr="004B1893">
              <w:rPr>
                <w:rFonts w:asciiTheme="majorBidi" w:hAnsiTheme="majorBidi" w:cstheme="majorBidi"/>
                <w:bCs/>
                <w:i/>
                <w:sz w:val="20"/>
                <w:szCs w:val="20"/>
              </w:rPr>
              <w:t xml:space="preserve"> </w:t>
            </w:r>
            <w:proofErr w:type="spellStart"/>
            <w:r w:rsidRPr="004B1893">
              <w:rPr>
                <w:rFonts w:asciiTheme="majorBidi" w:hAnsiTheme="majorBidi" w:cstheme="majorBidi"/>
                <w:bCs/>
                <w:i/>
                <w:sz w:val="20"/>
                <w:szCs w:val="20"/>
              </w:rPr>
              <w:t>pinnata</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dry and wet seasons</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TP</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12.5/7.68</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59.3/16.3</w:t>
            </w:r>
          </w:p>
        </w:tc>
        <w:tc>
          <w:tcPr>
            <w:tcW w:w="398" w:type="pct"/>
            <w:gridSpan w:val="2"/>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Malaysia</w:t>
            </w:r>
          </w:p>
        </w:tc>
        <w:tc>
          <w:tcPr>
            <w:tcW w:w="3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{"citationItems":[{"id":"ITEM-1","itemData":{"DOI":"10.1080/15226514.2015.1058330","ISSN":"15497879","PMID":"26121232","abstract":"Two constructed wetlands, one with Azolla pinnata plant (CW1) and the other without (CW2) for treating domestic wastewaters were developed. Fifteen water parameters which include: Dissolved Oxygen (DO), Biochemical Oxygen Demand (BOD5), Chemical Oxygen Demand (COD), Total Suspended Solid (TSS), Total Phosphorus (TP), Total Nitrogen (TN), Ammoniacal Nitrogen (NH3N), Turbidity, pH, Electrical Conductivity (EC), Iron (Fe), Magnesium (Mg), Manganese (Mn), and heavy metals such as Lead (Pb) and Zinc (Zn) were analyzed using standard laboratory procedures. The experiments were conducted in two (dry and wet) seasons simultaneously. Results showed considerable reductions in all parameters and metals including Zn in CW1 compared with CW2 in the two seasons considered while Pb and Mn were not detected throughout the study. Zn concentration levels reduced significantly in both seasons just as removal efficiencies of 70.03% and 64.51% were recorded for CW1 while 35.17% and 33.45% were recorded for CW2 in both seasons. There were no significant differences in the removal efficiencies of Fe in both seasons as 99.55%, 59.09%, 88.89%, and 53.56% were recorded in CW1 and CW2 respectively. Azolla pinnata has proved effective in domestic wastewater phytoremediation studies.","author":[{"dropping-particle":"","family":"Akinbile","given":"Christopher O.","non-dropping-particle":"","parse-names":false,"suffix":""},{"dropping-particle":"","family":"Ogunrinde","given":"Temitope A.","non-dropping-particle":"","parse-names":false,"suffix":""},{"dropping-particle":"","family":"Che bt Man","given":"Hasfalina","non-dropping-particle":"","parse-names":false,"suffix":""},{"dropping-particle":"","family":"Aziz","given":"Hamidi Abdul","non-dropping-particle":"","parse-names":false,"suffix":""}],"container-title":"International Journal of Phytoremediation","id":"ITEM-1","issue":"1","issued":{"date-parts":[["2016"]]},"page":"54-61","title":"Phytoremediation of domestic wastewaters in free water surface constructed wetlands using Azolla pinnata","type":"article-journal","volume":"18"},"uris":["http://www.mendeley.com/documents/?uuid=be16103c-2243-4268-b431-d7c6c8d06969"]}],"mendeley":{"formattedCitation":"(Akinbile et al., 2016)","plainTextFormattedCitation":"(Akinbile et al., 2016)","previouslyFormattedCitation":"(Akinbile et al., 2016)"},"properties":{"noteIndex":0},"schema":"https://github.com/citation-style-language/schema/raw/master/csl-citation.json"}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(Akinbile et al., 2016)</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900/504.43</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16.7/19.6</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3</w:t>
            </w:r>
            <w:r w:rsidRPr="004B1893">
              <w:rPr>
                <w:rFonts w:asciiTheme="majorBidi" w:hAnsiTheme="majorBidi" w:cstheme="majorBidi"/>
                <w:bCs/>
                <w:sz w:val="20"/>
                <w:szCs w:val="20"/>
              </w:rPr>
              <w:t>-N</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10.56/12.56</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29.5/25.7</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BOD</w:t>
            </w:r>
            <w:r w:rsidRPr="004B1893">
              <w:rPr>
                <w:rFonts w:asciiTheme="majorBidi" w:hAnsiTheme="majorBidi" w:cstheme="majorBidi"/>
                <w:bCs/>
                <w:sz w:val="20"/>
                <w:szCs w:val="20"/>
                <w:vertAlign w:val="subscript"/>
              </w:rPr>
              <w:t>5</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30.45/16.34</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15.5/17.1</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50.65/25.65</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15.3/21.1</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57.6/34.26</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40.3/26.7</w:t>
            </w:r>
          </w:p>
        </w:tc>
        <w:tc>
          <w:tcPr>
            <w:tcW w:w="398" w:type="pct"/>
            <w:gridSpan w:val="2"/>
            <w:vMerge/>
            <w:vAlign w:val="center"/>
          </w:tcPr>
          <w:p w:rsidR="00263101" w:rsidRPr="004B1893" w:rsidRDefault="00263101" w:rsidP="00264DEF">
            <w:pPr>
              <w:jc w:val="center"/>
              <w:rPr>
                <w:rFonts w:asciiTheme="majorBidi" w:hAnsiTheme="majorBidi" w:cstheme="majorBidi"/>
                <w:bCs/>
                <w:sz w:val="20"/>
                <w:szCs w:val="20"/>
              </w:rPr>
            </w:pPr>
          </w:p>
        </w:tc>
        <w:tc>
          <w:tcPr>
            <w:tcW w:w="357" w:type="pct"/>
            <w:vMerge/>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Pilot-scale</w:t>
            </w:r>
          </w:p>
        </w:tc>
        <w:tc>
          <w:tcPr>
            <w:tcW w:w="29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w:t>
            </w:r>
          </w:p>
        </w:tc>
        <w:tc>
          <w:tcPr>
            <w:tcW w:w="340"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0.01</w:t>
            </w:r>
          </w:p>
        </w:tc>
        <w:tc>
          <w:tcPr>
            <w:tcW w:w="333"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4</w:t>
            </w:r>
          </w:p>
        </w:tc>
        <w:tc>
          <w:tcPr>
            <w:tcW w:w="301"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0.45</w:t>
            </w:r>
          </w:p>
        </w:tc>
        <w:tc>
          <w:tcPr>
            <w:tcW w:w="457"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wastewater</w:t>
            </w:r>
          </w:p>
        </w:tc>
        <w:tc>
          <w:tcPr>
            <w:tcW w:w="609" w:type="pct"/>
            <w:vMerge w:val="restart"/>
            <w:vAlign w:val="center"/>
          </w:tcPr>
          <w:p w:rsidR="00263101" w:rsidRPr="004B1893" w:rsidRDefault="00263101" w:rsidP="00264DEF">
            <w:pPr>
              <w:spacing w:before="240"/>
              <w:jc w:val="center"/>
              <w:rPr>
                <w:rFonts w:asciiTheme="majorBidi" w:hAnsiTheme="majorBidi" w:cstheme="majorBidi"/>
                <w:bCs/>
                <w:i/>
                <w:sz w:val="20"/>
                <w:szCs w:val="20"/>
              </w:rPr>
            </w:pPr>
            <w:r w:rsidRPr="004B1893">
              <w:rPr>
                <w:rFonts w:asciiTheme="majorBidi" w:hAnsiTheme="majorBidi" w:cstheme="majorBidi"/>
                <w:bCs/>
                <w:i/>
                <w:sz w:val="20"/>
                <w:szCs w:val="20"/>
              </w:rPr>
              <w:t xml:space="preserve">T. </w:t>
            </w:r>
            <w:proofErr w:type="spellStart"/>
            <w:r w:rsidRPr="004B1893">
              <w:rPr>
                <w:rFonts w:asciiTheme="majorBidi" w:hAnsiTheme="majorBidi" w:cstheme="majorBidi"/>
                <w:bCs/>
                <w:i/>
                <w:sz w:val="20"/>
                <w:szCs w:val="20"/>
              </w:rPr>
              <w:t>domingensis</w:t>
            </w:r>
            <w:proofErr w:type="spellEnd"/>
          </w:p>
        </w:tc>
        <w:tc>
          <w:tcPr>
            <w:tcW w:w="305" w:type="pct"/>
            <w:vMerge w:val="restar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28.4 ±2.3</w:t>
            </w:r>
          </w:p>
        </w:tc>
        <w:tc>
          <w:tcPr>
            <w:tcW w:w="446"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122</w:t>
            </w:r>
          </w:p>
        </w:tc>
        <w:tc>
          <w:tcPr>
            <w:tcW w:w="331" w:type="pct"/>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88.7</w:t>
            </w:r>
          </w:p>
        </w:tc>
        <w:tc>
          <w:tcPr>
            <w:tcW w:w="398" w:type="pct"/>
            <w:gridSpan w:val="2"/>
            <w:vMerge w:val="restart"/>
            <w:tcBorders>
              <w:bottom w:val="single" w:sz="4" w:space="0" w:color="auto"/>
            </w:tcBorders>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Egypt</w:t>
            </w:r>
          </w:p>
        </w:tc>
        <w:tc>
          <w:tcPr>
            <w:tcW w:w="357" w:type="pct"/>
            <w:vMerge w:val="restart"/>
            <w:tcBorders>
              <w:bottom w:val="single" w:sz="4" w:space="0" w:color="auto"/>
            </w:tcBorders>
            <w:vAlign w:val="center"/>
          </w:tcPr>
          <w:p w:rsidR="00263101" w:rsidRPr="004B1893"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fldChar w:fldCharType="begin" w:fldLock="1"/>
            </w:r>
            <w:r w:rsidRPr="004B1893">
              <w:rPr>
                <w:rFonts w:asciiTheme="majorBidi" w:hAnsiTheme="majorBidi" w:cstheme="majorBidi"/>
                <w:bCs/>
                <w:sz w:val="20"/>
                <w:szCs w:val="20"/>
              </w:rPr>
              <w:instrText>ADDIN CSL_CITATION {"citationItems":[{"id":"ITEM-1","itemData":{"DOI":"10.1186/s12302-023-00748-x","ISBN":"1230202300748","ISSN":"21904715","abstract":"Contamination of heavy metals and antibiotics would threaten the water and soil resources. Phytoremediation can be potentially used to remediate metal and antibiotics contaminated sites. The current study was carried out over a period of 12 months to assess the efficiency of the macrophytes Typha domingensis and Cyperus papyrus with different substrate materials to remove heavy metals and two antibiotics, roxithromycin and levofloxacin, from wastewater for reuse in agriculture. The concentrations of seven heavy metals (copper, nickel, iron, cadmium, zinc, lead, and chromium) in water and plant tissues were determined. The results showed that C. papyrus had a greater capacity than T. domingensis to remove biochemical oxygen demand (BOD) (80.69%), chemical oxygen demand (COD) (69.87%), and ammonium (NH4+) (69.69%). Cyperus papyrus was more effective in retaining solid pollutants. The bioaccumulation factors (BCF) roots of C. papyrus were higher levels of most metals than those of T. domingensis. The highest root–rhizome translocation factor (TF) values of C. papyrus were higher than T. domingensis. The bacterial indicators (total and fecal coliforms, as well as Faecal streptococci) and the potential pathogens (Escherichia coli, Staphylococcus aureus, and Pseudomonas aeruginosa) showed removal efficiencies ranging between 96.9% and 99.8%. The results indicated that the two systems could significantly reduce the concentration of antibiotics in wastewater, with roxithromycin showing higher elimination rates than levofloxacin. The results showed maximum removal of the heavy metals in constructed wetlands CWs planted with T. domingensis. The presence of zeolite and C. papyrus in the effluent of CWs significantly improved treatment capacity and increased pollutant removal efficiency.","author":[{"dropping-particle":"","family":"Hamad","given":"Mohammed Taha Moustafa Hussien","non-dropping-particle":"","parse-names":false,"suffix":""}],"container-title":"Environmental Sciences Europe","id":"ITEM-1","issue":"1","issued":{"date-parts":[["2023"]]},"publisher":"Springer Berlin Heidelberg","title":"Comparing the performance of Cyperus papyrus and Typha domingensis for the removal of heavy metals, roxithromycin, levofloxacin and pathogenic bacteria from wastewater","type":"article-journal","volume":"35"},"uris":["http://www.mendeley.com/documents/?uuid=56672867-4e0e-4d1d-8a52-88f5feba5940"]}],"mendeley":{"formattedCitation":"(Hamad, 2023)","plainTextFormattedCitation":"(Hamad, 2023)","previouslyFormattedCitation":"(Hamad, 2023)"},"properties":{"noteIndex":0},"schema":"https://github.com/citation-style-language/schema/raw/master/csl-citation.json"}</w:instrText>
            </w:r>
            <w:r w:rsidRPr="004B1893">
              <w:rPr>
                <w:rFonts w:asciiTheme="majorBidi" w:hAnsiTheme="majorBidi" w:cstheme="majorBidi"/>
                <w:bCs/>
                <w:sz w:val="20"/>
                <w:szCs w:val="20"/>
              </w:rPr>
              <w:fldChar w:fldCharType="separate"/>
            </w:r>
            <w:r w:rsidRPr="004B1893">
              <w:rPr>
                <w:rFonts w:asciiTheme="majorBidi" w:hAnsiTheme="majorBidi" w:cstheme="majorBidi"/>
                <w:bCs/>
                <w:noProof/>
                <w:sz w:val="20"/>
                <w:szCs w:val="20"/>
              </w:rPr>
              <w:t>(Hamad, 2023)</w:t>
            </w:r>
            <w:r w:rsidRPr="004B1893">
              <w:rPr>
                <w:rFonts w:asciiTheme="majorBidi" w:hAnsiTheme="majorBidi" w:cstheme="majorBidi"/>
                <w:bCs/>
                <w:sz w:val="20"/>
                <w:szCs w:val="20"/>
              </w:rPr>
              <w:fldChar w:fldCharType="end"/>
            </w: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13.1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94.8</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129</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65.8</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39"/>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BOD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34-40</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84.6</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restart"/>
            <w:vAlign w:val="center"/>
          </w:tcPr>
          <w:p w:rsidR="00263101" w:rsidRPr="004B1893" w:rsidRDefault="00263101" w:rsidP="00264DEF">
            <w:pPr>
              <w:jc w:val="center"/>
              <w:rPr>
                <w:rFonts w:asciiTheme="majorBidi" w:hAnsiTheme="majorBidi" w:cstheme="majorBidi"/>
                <w:bCs/>
                <w:i/>
                <w:sz w:val="20"/>
                <w:szCs w:val="20"/>
              </w:rPr>
            </w:pPr>
            <w:r w:rsidRPr="004B1893">
              <w:rPr>
                <w:rFonts w:asciiTheme="majorBidi" w:hAnsiTheme="majorBidi" w:cstheme="majorBidi"/>
                <w:bCs/>
                <w:i/>
                <w:sz w:val="20"/>
                <w:szCs w:val="20"/>
              </w:rPr>
              <w:t>C. papyrus</w:t>
            </w: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TSS</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122</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74.1</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NH</w:t>
            </w:r>
            <w:r w:rsidRPr="004B1893">
              <w:rPr>
                <w:rFonts w:asciiTheme="majorBidi" w:hAnsiTheme="majorBidi" w:cstheme="majorBidi"/>
                <w:bCs/>
                <w:sz w:val="20"/>
                <w:szCs w:val="20"/>
                <w:vertAlign w:val="subscript"/>
              </w:rPr>
              <w:t>4</w:t>
            </w:r>
            <w:r w:rsidRPr="004B1893">
              <w:rPr>
                <w:rFonts w:asciiTheme="majorBidi" w:hAnsiTheme="majorBidi" w:cstheme="majorBidi"/>
                <w:bCs/>
                <w:sz w:val="20"/>
                <w:szCs w:val="20"/>
                <w:vertAlign w:val="superscript"/>
              </w:rPr>
              <w:t>+</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13.1</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84.4</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0"/>
        </w:trPr>
        <w:tc>
          <w:tcPr>
            <w:tcW w:w="356" w:type="pct"/>
            <w:vMerge/>
            <w:vAlign w:val="center"/>
          </w:tcPr>
          <w:p w:rsidR="00263101" w:rsidRPr="004B1893" w:rsidRDefault="00263101" w:rsidP="00264DEF">
            <w:pPr>
              <w:jc w:val="center"/>
              <w:rPr>
                <w:rFonts w:asciiTheme="majorBidi" w:hAnsiTheme="majorBidi" w:cstheme="majorBidi"/>
                <w:bCs/>
                <w:sz w:val="20"/>
                <w:szCs w:val="20"/>
              </w:rPr>
            </w:pPr>
          </w:p>
        </w:tc>
        <w:tc>
          <w:tcPr>
            <w:tcW w:w="293" w:type="pct"/>
            <w:vMerge/>
            <w:vAlign w:val="center"/>
          </w:tcPr>
          <w:p w:rsidR="00263101" w:rsidRPr="004B1893" w:rsidRDefault="00263101" w:rsidP="00264DEF">
            <w:pPr>
              <w:jc w:val="center"/>
              <w:rPr>
                <w:rFonts w:asciiTheme="majorBidi" w:hAnsiTheme="majorBidi" w:cstheme="majorBidi"/>
                <w:bCs/>
                <w:sz w:val="20"/>
                <w:szCs w:val="20"/>
              </w:rPr>
            </w:pPr>
          </w:p>
        </w:tc>
        <w:tc>
          <w:tcPr>
            <w:tcW w:w="340" w:type="pct"/>
            <w:vMerge/>
            <w:vAlign w:val="center"/>
          </w:tcPr>
          <w:p w:rsidR="00263101" w:rsidRPr="004B1893" w:rsidRDefault="00263101" w:rsidP="00264DEF">
            <w:pPr>
              <w:jc w:val="center"/>
              <w:rPr>
                <w:rFonts w:asciiTheme="majorBidi" w:hAnsiTheme="majorBidi" w:cstheme="majorBidi"/>
                <w:bCs/>
                <w:sz w:val="20"/>
                <w:szCs w:val="20"/>
              </w:rPr>
            </w:pPr>
          </w:p>
        </w:tc>
        <w:tc>
          <w:tcPr>
            <w:tcW w:w="333" w:type="pct"/>
            <w:vMerge/>
            <w:vAlign w:val="center"/>
          </w:tcPr>
          <w:p w:rsidR="00263101" w:rsidRPr="004B1893" w:rsidRDefault="00263101" w:rsidP="00264DEF">
            <w:pPr>
              <w:jc w:val="center"/>
              <w:rPr>
                <w:rFonts w:asciiTheme="majorBidi" w:hAnsiTheme="majorBidi" w:cstheme="majorBidi"/>
                <w:bCs/>
                <w:sz w:val="20"/>
                <w:szCs w:val="20"/>
              </w:rPr>
            </w:pPr>
          </w:p>
        </w:tc>
        <w:tc>
          <w:tcPr>
            <w:tcW w:w="301" w:type="pct"/>
            <w:vMerge/>
            <w:vAlign w:val="center"/>
          </w:tcPr>
          <w:p w:rsidR="00263101" w:rsidRPr="004B1893" w:rsidRDefault="00263101" w:rsidP="00264DEF">
            <w:pPr>
              <w:jc w:val="center"/>
              <w:rPr>
                <w:rFonts w:asciiTheme="majorBidi" w:hAnsiTheme="majorBidi" w:cstheme="majorBidi"/>
                <w:bCs/>
                <w:sz w:val="20"/>
                <w:szCs w:val="20"/>
              </w:rPr>
            </w:pPr>
          </w:p>
        </w:tc>
        <w:tc>
          <w:tcPr>
            <w:tcW w:w="457" w:type="pct"/>
            <w:vMerge/>
            <w:vAlign w:val="center"/>
          </w:tcPr>
          <w:p w:rsidR="00263101" w:rsidRPr="004B1893" w:rsidRDefault="00263101" w:rsidP="00264DEF">
            <w:pPr>
              <w:jc w:val="center"/>
              <w:rPr>
                <w:rFonts w:asciiTheme="majorBidi" w:hAnsiTheme="majorBidi" w:cstheme="majorBidi"/>
                <w:bCs/>
                <w:sz w:val="20"/>
                <w:szCs w:val="20"/>
              </w:rPr>
            </w:pPr>
          </w:p>
        </w:tc>
        <w:tc>
          <w:tcPr>
            <w:tcW w:w="609" w:type="pct"/>
            <w:vMerge/>
            <w:vAlign w:val="center"/>
          </w:tcPr>
          <w:p w:rsidR="00263101" w:rsidRPr="004B1893" w:rsidRDefault="00263101" w:rsidP="00264DEF">
            <w:pPr>
              <w:jc w:val="center"/>
              <w:rPr>
                <w:rFonts w:asciiTheme="majorBidi" w:hAnsiTheme="majorBidi" w:cstheme="majorBidi"/>
                <w:bCs/>
                <w:i/>
                <w:sz w:val="20"/>
                <w:szCs w:val="20"/>
              </w:rPr>
            </w:pPr>
          </w:p>
        </w:tc>
        <w:tc>
          <w:tcPr>
            <w:tcW w:w="305" w:type="pct"/>
            <w:vMerge/>
            <w:vAlign w:val="center"/>
          </w:tcPr>
          <w:p w:rsidR="00263101" w:rsidRPr="004B1893" w:rsidRDefault="00263101" w:rsidP="00264DEF">
            <w:pPr>
              <w:jc w:val="center"/>
              <w:rPr>
                <w:rFonts w:asciiTheme="majorBidi" w:hAnsiTheme="majorBidi" w:cstheme="majorBidi"/>
                <w:bCs/>
                <w:sz w:val="20"/>
                <w:szCs w:val="20"/>
              </w:rPr>
            </w:pPr>
          </w:p>
        </w:tc>
        <w:tc>
          <w:tcPr>
            <w:tcW w:w="446"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COD</w:t>
            </w:r>
          </w:p>
        </w:tc>
        <w:tc>
          <w:tcPr>
            <w:tcW w:w="472"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129</w:t>
            </w:r>
          </w:p>
        </w:tc>
        <w:tc>
          <w:tcPr>
            <w:tcW w:w="331" w:type="pct"/>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79.0</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r w:rsidR="00263101" w:rsidRPr="004B1893" w:rsidTr="00264DEF">
        <w:trPr>
          <w:trHeight w:val="253"/>
        </w:trPr>
        <w:tc>
          <w:tcPr>
            <w:tcW w:w="356"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293"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40"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33"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01"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4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609" w:type="pct"/>
            <w:vMerge/>
            <w:tcBorders>
              <w:bottom w:val="single" w:sz="4" w:space="0" w:color="auto"/>
            </w:tcBorders>
            <w:vAlign w:val="center"/>
          </w:tcPr>
          <w:p w:rsidR="00263101" w:rsidRPr="004B1893" w:rsidRDefault="00263101" w:rsidP="00264DEF">
            <w:pPr>
              <w:jc w:val="center"/>
              <w:rPr>
                <w:rFonts w:asciiTheme="majorBidi" w:hAnsiTheme="majorBidi" w:cstheme="majorBidi"/>
                <w:bCs/>
                <w:i/>
                <w:sz w:val="20"/>
                <w:szCs w:val="20"/>
              </w:rPr>
            </w:pPr>
          </w:p>
        </w:tc>
        <w:tc>
          <w:tcPr>
            <w:tcW w:w="305"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446" w:type="pct"/>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BOD</w:t>
            </w:r>
          </w:p>
        </w:tc>
        <w:tc>
          <w:tcPr>
            <w:tcW w:w="472" w:type="pct"/>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34-40</w:t>
            </w:r>
          </w:p>
        </w:tc>
        <w:tc>
          <w:tcPr>
            <w:tcW w:w="331" w:type="pct"/>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r w:rsidRPr="004B1893">
              <w:rPr>
                <w:rFonts w:asciiTheme="majorBidi" w:hAnsiTheme="majorBidi" w:cstheme="majorBidi"/>
                <w:bCs/>
                <w:sz w:val="20"/>
                <w:szCs w:val="20"/>
              </w:rPr>
              <w:t>70.2</w:t>
            </w:r>
          </w:p>
        </w:tc>
        <w:tc>
          <w:tcPr>
            <w:tcW w:w="398" w:type="pct"/>
            <w:gridSpan w:val="2"/>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c>
          <w:tcPr>
            <w:tcW w:w="357" w:type="pct"/>
            <w:vMerge/>
            <w:tcBorders>
              <w:bottom w:val="single" w:sz="4" w:space="0" w:color="auto"/>
            </w:tcBorders>
            <w:vAlign w:val="center"/>
          </w:tcPr>
          <w:p w:rsidR="00263101" w:rsidRPr="004B1893" w:rsidRDefault="00263101" w:rsidP="00264DEF">
            <w:pPr>
              <w:jc w:val="center"/>
              <w:rPr>
                <w:rFonts w:asciiTheme="majorBidi" w:hAnsiTheme="majorBidi" w:cstheme="majorBidi"/>
                <w:bCs/>
                <w:sz w:val="20"/>
                <w:szCs w:val="20"/>
              </w:rPr>
            </w:pPr>
          </w:p>
        </w:tc>
      </w:tr>
    </w:tbl>
    <w:p w:rsidR="00263101" w:rsidRDefault="00263101" w:rsidP="00263101"/>
    <w:p w:rsidR="00263101" w:rsidRPr="000777EA" w:rsidRDefault="00263101" w:rsidP="00263101">
      <w:pPr>
        <w:spacing w:after="0" w:line="480" w:lineRule="auto"/>
        <w:rPr>
          <w:rFonts w:asciiTheme="majorBidi" w:hAnsiTheme="majorBidi" w:cstheme="majorBidi"/>
          <w:bCs/>
          <w:sz w:val="24"/>
          <w:szCs w:val="24"/>
        </w:rPr>
      </w:pPr>
      <w:r>
        <w:br w:type="page"/>
      </w:r>
      <w:r>
        <w:rPr>
          <w:rFonts w:asciiTheme="majorBidi" w:hAnsiTheme="majorBidi" w:cstheme="majorBidi"/>
          <w:bCs/>
          <w:sz w:val="24"/>
          <w:szCs w:val="24"/>
        </w:rPr>
        <w:lastRenderedPageBreak/>
        <w:t xml:space="preserve">Table </w:t>
      </w:r>
      <w:r>
        <w:rPr>
          <w:rFonts w:asciiTheme="majorBidi" w:hAnsiTheme="majorBidi" w:cstheme="majorBidi"/>
          <w:bCs/>
          <w:sz w:val="24"/>
          <w:szCs w:val="24"/>
        </w:rPr>
        <w:t xml:space="preserve">SI </w:t>
      </w:r>
      <w:r>
        <w:rPr>
          <w:rFonts w:asciiTheme="majorBidi" w:hAnsiTheme="majorBidi" w:cstheme="majorBidi"/>
          <w:bCs/>
          <w:sz w:val="24"/>
          <w:szCs w:val="24"/>
        </w:rPr>
        <w:t>2.</w:t>
      </w:r>
      <w:r w:rsidRPr="000777EA">
        <w:rPr>
          <w:rFonts w:asciiTheme="majorBidi" w:hAnsiTheme="majorBidi" w:cstheme="majorBidi"/>
          <w:bCs/>
          <w:sz w:val="24"/>
          <w:szCs w:val="24"/>
        </w:rPr>
        <w:t xml:space="preserve"> </w:t>
      </w:r>
      <w:r>
        <w:rPr>
          <w:rFonts w:asciiTheme="majorBidi" w:hAnsiTheme="majorBidi" w:cstheme="majorBidi"/>
          <w:bCs/>
          <w:sz w:val="24"/>
          <w:szCs w:val="24"/>
        </w:rPr>
        <w:t xml:space="preserve">FWSCWs performances for removing heavy metals from different wastewater sources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
        <w:gridCol w:w="815"/>
        <w:gridCol w:w="944"/>
        <w:gridCol w:w="650"/>
        <w:gridCol w:w="1276"/>
        <w:gridCol w:w="1279"/>
        <w:gridCol w:w="1647"/>
        <w:gridCol w:w="918"/>
        <w:gridCol w:w="1033"/>
        <w:gridCol w:w="1276"/>
        <w:gridCol w:w="1036"/>
        <w:gridCol w:w="1044"/>
        <w:gridCol w:w="1050"/>
      </w:tblGrid>
      <w:tr w:rsidR="00263101" w:rsidRPr="00EB3F80" w:rsidTr="00264DEF">
        <w:trPr>
          <w:trHeight w:val="20"/>
        </w:trPr>
        <w:tc>
          <w:tcPr>
            <w:tcW w:w="355"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System Scale</w:t>
            </w:r>
          </w:p>
        </w:tc>
        <w:tc>
          <w:tcPr>
            <w:tcW w:w="292"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Area (m²)</w:t>
            </w:r>
          </w:p>
        </w:tc>
        <w:tc>
          <w:tcPr>
            <w:tcW w:w="338"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Capacity (m³/day)</w:t>
            </w:r>
          </w:p>
        </w:tc>
        <w:tc>
          <w:tcPr>
            <w:tcW w:w="233"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HRT</w:t>
            </w:r>
          </w:p>
        </w:tc>
        <w:tc>
          <w:tcPr>
            <w:tcW w:w="457"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Depth (m)</w:t>
            </w:r>
          </w:p>
        </w:tc>
        <w:tc>
          <w:tcPr>
            <w:tcW w:w="458"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Wastewater type</w:t>
            </w:r>
          </w:p>
        </w:tc>
        <w:tc>
          <w:tcPr>
            <w:tcW w:w="590"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Vegetation</w:t>
            </w:r>
          </w:p>
        </w:tc>
        <w:tc>
          <w:tcPr>
            <w:tcW w:w="329"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Tem</w:t>
            </w:r>
            <w:r>
              <w:rPr>
                <w:rFonts w:asciiTheme="majorBidi" w:hAnsiTheme="majorBidi" w:cstheme="majorBidi"/>
                <w:b/>
                <w:sz w:val="20"/>
                <w:szCs w:val="20"/>
              </w:rPr>
              <w:t>p</w:t>
            </w:r>
            <w:r w:rsidRPr="00F523EB">
              <w:rPr>
                <w:rFonts w:asciiTheme="majorBidi" w:hAnsiTheme="majorBidi" w:cstheme="majorBidi"/>
                <w:b/>
                <w:sz w:val="20"/>
                <w:szCs w:val="20"/>
              </w:rPr>
              <w:t xml:space="preserve"> ( ºC)</w:t>
            </w:r>
          </w:p>
        </w:tc>
        <w:tc>
          <w:tcPr>
            <w:tcW w:w="1198" w:type="pct"/>
            <w:gridSpan w:val="3"/>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Pollutants removal (%)</w:t>
            </w:r>
          </w:p>
        </w:tc>
        <w:tc>
          <w:tcPr>
            <w:tcW w:w="374"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Country</w:t>
            </w:r>
          </w:p>
        </w:tc>
        <w:tc>
          <w:tcPr>
            <w:tcW w:w="376"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 xml:space="preserve">References </w:t>
            </w:r>
          </w:p>
        </w:tc>
      </w:tr>
      <w:tr w:rsidR="00263101" w:rsidRPr="00EB3F80" w:rsidTr="00264DEF">
        <w:trPr>
          <w:trHeight w:val="20"/>
        </w:trPr>
        <w:tc>
          <w:tcPr>
            <w:tcW w:w="35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92"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3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3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57" w:type="pct"/>
            <w:vMerge/>
            <w:tcBorders>
              <w:bottom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p>
        </w:tc>
        <w:tc>
          <w:tcPr>
            <w:tcW w:w="458" w:type="pct"/>
            <w:vMerge/>
            <w:tcBorders>
              <w:bottom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p>
        </w:tc>
        <w:tc>
          <w:tcPr>
            <w:tcW w:w="590" w:type="pct"/>
            <w:vMerge/>
            <w:tcBorders>
              <w:bottom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
        </w:tc>
        <w:tc>
          <w:tcPr>
            <w:tcW w:w="32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70" w:type="pc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Parameter</w:t>
            </w:r>
          </w:p>
        </w:tc>
        <w:tc>
          <w:tcPr>
            <w:tcW w:w="457" w:type="pc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Initial Concentration (</w:t>
            </w:r>
            <w:r>
              <w:rPr>
                <w:rFonts w:asciiTheme="majorBidi" w:hAnsiTheme="majorBidi" w:cstheme="majorBidi"/>
                <w:b/>
                <w:sz w:val="20"/>
                <w:szCs w:val="20"/>
              </w:rPr>
              <w:t>m</w:t>
            </w:r>
            <w:r w:rsidRPr="00F523EB">
              <w:rPr>
                <w:rFonts w:asciiTheme="majorBidi" w:hAnsiTheme="majorBidi" w:cstheme="majorBidi"/>
                <w:b/>
                <w:sz w:val="20"/>
                <w:szCs w:val="20"/>
              </w:rPr>
              <w:t>g/L)</w:t>
            </w:r>
          </w:p>
        </w:tc>
        <w:tc>
          <w:tcPr>
            <w:tcW w:w="371" w:type="pc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Removal%</w:t>
            </w:r>
          </w:p>
        </w:tc>
        <w:tc>
          <w:tcPr>
            <w:tcW w:w="374"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76" w:type="pct"/>
            <w:vMerge/>
            <w:tcBorders>
              <w:bottom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p>
        </w:tc>
      </w:tr>
      <w:tr w:rsidR="00263101" w:rsidRPr="00EB3F80" w:rsidTr="00264DEF">
        <w:trPr>
          <w:trHeight w:val="20"/>
        </w:trPr>
        <w:tc>
          <w:tcPr>
            <w:tcW w:w="355"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0.4</w:t>
            </w:r>
          </w:p>
        </w:tc>
        <w:tc>
          <w:tcPr>
            <w:tcW w:w="338"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0.1</w:t>
            </w:r>
          </w:p>
        </w:tc>
        <w:tc>
          <w:tcPr>
            <w:tcW w:w="233"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w:t>
            </w:r>
          </w:p>
        </w:tc>
        <w:tc>
          <w:tcPr>
            <w:tcW w:w="457"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0.15-0.25-0.35</w:t>
            </w:r>
          </w:p>
        </w:tc>
        <w:tc>
          <w:tcPr>
            <w:tcW w:w="458"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Polluted lake water</w:t>
            </w:r>
          </w:p>
        </w:tc>
        <w:tc>
          <w:tcPr>
            <w:tcW w:w="590"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Pistia</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stratiotes</w:t>
            </w:r>
            <w:proofErr w:type="spellEnd"/>
          </w:p>
        </w:tc>
        <w:tc>
          <w:tcPr>
            <w:tcW w:w="329"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32.0</w:t>
            </w:r>
          </w:p>
        </w:tc>
        <w:tc>
          <w:tcPr>
            <w:tcW w:w="370" w:type="pc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Fe</w:t>
            </w:r>
            <w:r w:rsidRPr="00EB3F80">
              <w:rPr>
                <w:rFonts w:asciiTheme="majorBidi" w:hAnsiTheme="majorBidi" w:cstheme="majorBidi"/>
                <w:bCs/>
                <w:sz w:val="20"/>
                <w:szCs w:val="20"/>
              </w:rPr>
              <w:t xml:space="preserve"> </w:t>
            </w:r>
          </w:p>
        </w:tc>
        <w:tc>
          <w:tcPr>
            <w:tcW w:w="457" w:type="pc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0.0193</w:t>
            </w:r>
          </w:p>
        </w:tc>
        <w:tc>
          <w:tcPr>
            <w:tcW w:w="371" w:type="pc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90.6</w:t>
            </w:r>
            <w:r w:rsidRPr="00EB3F80">
              <w:rPr>
                <w:rFonts w:asciiTheme="majorBidi" w:hAnsiTheme="majorBidi" w:cstheme="majorBidi"/>
                <w:bCs/>
                <w:sz w:val="20"/>
                <w:szCs w:val="20"/>
              </w:rPr>
              <w:t xml:space="preserve"> </w:t>
            </w:r>
          </w:p>
        </w:tc>
        <w:tc>
          <w:tcPr>
            <w:tcW w:w="374"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Egypt</w:t>
            </w:r>
          </w:p>
        </w:tc>
        <w:tc>
          <w:tcPr>
            <w:tcW w:w="376"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{"citationItems":[{"id":"ITEM-1","itemData":{"DOI":"10.3103/s1063455x1903010x","ISSN":"1063-455X","author":[{"dropping-particle":"","family":"Gaballah","given":"Mohamed S.","non-dropping-particle":"","parse-names":false,"suffix":""},{"dropping-particle":"","family":"Ismail","given":"K.","non-dropping-particle":"","parse-names":false,"suffix":""},{"dropping-particle":"","family":"Beltagy","given":"A.","non-dropping-particle":"","parse-names":false,"suffix":""},{"dropping-particle":"","family":"Zein Eldin","given":"A. M.","non-dropping-particle":"","parse-names":false,"suffix":""},{"dropping-particle":"","family":"Ismail","given":"M. M.","non-dropping-particle":"","parse-names":false,"suffix":""}],"container-title":"Journal of Water Chemistry and Technology","id":"ITEM-1","issue":"3","issued":{"date-parts":[["2019"]]},"page":"197-205","title":"Wastewater Treatment Potential of Water Lettuce (Pistia stratiotes) with Modified Engineering Design","type":"article-journal","volume":"41"},"uris":["http://www.mendeley.com/documents/?uuid=b8564e2a-cfad-4caf-8a32-06370d6e05e7"]}],"mendeley":{"formattedCitation":"(Gaballah et al., 2019)","plainTextFormattedCitation":"(Gaballah et al., 2019)","previouslyFormattedCitation":"(Gaballah et al., 2019)"},"properties":{"noteIndex":0},"schema":"https://github.com/citation-style-language/schema/raw/master/csl-citation.json"}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(Gaballah et al., 2019)</w:t>
            </w:r>
            <w:r w:rsidRPr="00EB3F80">
              <w:rPr>
                <w:rFonts w:asciiTheme="majorBidi" w:hAnsiTheme="majorBidi" w:cstheme="majorBidi"/>
                <w:bCs/>
                <w:sz w:val="20"/>
                <w:szCs w:val="20"/>
              </w:rPr>
              <w:fldChar w:fldCharType="end"/>
            </w: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eastAsia="宋体" w:hAnsiTheme="majorBidi" w:cstheme="majorBidi"/>
                <w:bCs/>
                <w:sz w:val="20"/>
                <w:szCs w:val="20"/>
              </w:rPr>
            </w:pPr>
            <w:proofErr w:type="spellStart"/>
            <w:r>
              <w:rPr>
                <w:rFonts w:asciiTheme="majorBidi" w:hAnsiTheme="majorBidi" w:cstheme="majorBidi"/>
                <w:bCs/>
                <w:sz w:val="20"/>
                <w:szCs w:val="20"/>
              </w:rPr>
              <w:t>Pb</w:t>
            </w:r>
            <w:proofErr w:type="spellEnd"/>
            <w:r w:rsidRPr="00EB3F80">
              <w:rPr>
                <w:rFonts w:asciiTheme="majorBidi" w:hAnsiTheme="majorBidi" w:cstheme="majorBidi"/>
                <w:bCs/>
                <w:sz w:val="20"/>
                <w:szCs w:val="20"/>
              </w:rPr>
              <w:t xml:space="preserve"> </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0.0023</w:t>
            </w:r>
          </w:p>
        </w:tc>
        <w:tc>
          <w:tcPr>
            <w:tcW w:w="371" w:type="pct"/>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Pr>
                <w:rFonts w:asciiTheme="majorBidi" w:hAnsiTheme="majorBidi" w:cstheme="majorBidi"/>
                <w:bCs/>
                <w:sz w:val="20"/>
                <w:szCs w:val="20"/>
              </w:rPr>
              <w:t>97.3</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eastAsia="宋体" w:hAnsiTheme="majorBidi" w:cstheme="majorBidi"/>
                <w:bCs/>
                <w:sz w:val="20"/>
                <w:szCs w:val="20"/>
              </w:rPr>
            </w:pPr>
            <w:r w:rsidRPr="00EB3F80">
              <w:rPr>
                <w:rFonts w:asciiTheme="majorBidi" w:hAnsiTheme="majorBidi" w:cstheme="majorBidi"/>
                <w:bCs/>
                <w:sz w:val="20"/>
                <w:szCs w:val="20"/>
              </w:rPr>
              <w:t>Cu</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0.0046</w:t>
            </w:r>
          </w:p>
        </w:tc>
        <w:tc>
          <w:tcPr>
            <w:tcW w:w="371" w:type="pct"/>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hAnsiTheme="majorBidi" w:cstheme="majorBidi"/>
                <w:bCs/>
                <w:sz w:val="20"/>
                <w:szCs w:val="20"/>
              </w:rPr>
              <w:t>90.4</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eastAsia="宋体" w:hAnsiTheme="majorBidi" w:cstheme="majorBidi"/>
                <w:bCs/>
                <w:sz w:val="20"/>
                <w:szCs w:val="20"/>
              </w:rPr>
            </w:pPr>
            <w:r w:rsidRPr="00EB3F80">
              <w:rPr>
                <w:rFonts w:asciiTheme="majorBidi" w:hAnsiTheme="majorBidi" w:cstheme="majorBidi"/>
                <w:bCs/>
                <w:sz w:val="20"/>
                <w:szCs w:val="20"/>
              </w:rPr>
              <w:t>Ni</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0.0053</w:t>
            </w:r>
          </w:p>
        </w:tc>
        <w:tc>
          <w:tcPr>
            <w:tcW w:w="371" w:type="pct"/>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hAnsiTheme="majorBidi" w:cstheme="majorBidi"/>
                <w:bCs/>
                <w:sz w:val="20"/>
                <w:szCs w:val="20"/>
              </w:rPr>
              <w:t>70.2</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51"/>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2000</w:t>
            </w:r>
          </w:p>
        </w:tc>
        <w:tc>
          <w:tcPr>
            <w:tcW w:w="33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w:t>
            </w:r>
          </w:p>
        </w:tc>
        <w:tc>
          <w:tcPr>
            <w:tcW w:w="457" w:type="pct"/>
            <w:vMerge w:val="restart"/>
            <w:vAlign w:val="center"/>
          </w:tcPr>
          <w:p w:rsidR="00263101" w:rsidRPr="00560287"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w:t>
            </w:r>
          </w:p>
        </w:tc>
        <w:tc>
          <w:tcPr>
            <w:tcW w:w="45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560287">
              <w:rPr>
                <w:rFonts w:asciiTheme="majorBidi" w:hAnsiTheme="majorBidi" w:cstheme="majorBidi"/>
                <w:bCs/>
                <w:sz w:val="20"/>
                <w:szCs w:val="20"/>
              </w:rPr>
              <w:t>storm runoff water</w:t>
            </w:r>
          </w:p>
        </w:tc>
        <w:tc>
          <w:tcPr>
            <w:tcW w:w="590"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Pr>
                <w:rFonts w:asciiTheme="majorBidi" w:hAnsiTheme="majorBidi" w:cstheme="majorBidi"/>
                <w:bCs/>
                <w:i/>
                <w:sz w:val="20"/>
                <w:szCs w:val="20"/>
              </w:rPr>
              <w:t>Schoeno</w:t>
            </w:r>
            <w:r w:rsidRPr="00A813A6">
              <w:rPr>
                <w:rFonts w:asciiTheme="majorBidi" w:hAnsiTheme="majorBidi" w:cstheme="majorBidi"/>
                <w:bCs/>
                <w:i/>
                <w:sz w:val="20"/>
                <w:szCs w:val="20"/>
              </w:rPr>
              <w:t>plectus</w:t>
            </w:r>
            <w:proofErr w:type="spellEnd"/>
            <w:r w:rsidRPr="00A813A6">
              <w:rPr>
                <w:rFonts w:asciiTheme="majorBidi" w:hAnsiTheme="majorBidi" w:cstheme="majorBidi"/>
                <w:bCs/>
                <w:i/>
                <w:sz w:val="20"/>
                <w:szCs w:val="20"/>
              </w:rPr>
              <w:t xml:space="preserve"> </w:t>
            </w:r>
            <w:proofErr w:type="spellStart"/>
            <w:r w:rsidRPr="00A813A6">
              <w:rPr>
                <w:rFonts w:asciiTheme="majorBidi" w:hAnsiTheme="majorBidi" w:cstheme="majorBidi"/>
                <w:bCs/>
                <w:i/>
                <w:sz w:val="20"/>
                <w:szCs w:val="20"/>
              </w:rPr>
              <w:t>californicu</w:t>
            </w:r>
            <w:proofErr w:type="spellEnd"/>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t>
            </w:r>
          </w:p>
        </w:tc>
        <w:tc>
          <w:tcPr>
            <w:tcW w:w="370"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Pr>
                <w:rFonts w:asciiTheme="majorBidi" w:hAnsiTheme="majorBidi" w:cstheme="majorBidi"/>
                <w:bCs/>
                <w:sz w:val="20"/>
                <w:szCs w:val="20"/>
              </w:rPr>
              <w:t>TCu</w:t>
            </w:r>
            <w:proofErr w:type="spellEnd"/>
          </w:p>
        </w:tc>
        <w:tc>
          <w:tcPr>
            <w:tcW w:w="457"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0.021</w:t>
            </w:r>
          </w:p>
        </w:tc>
        <w:tc>
          <w:tcPr>
            <w:tcW w:w="371"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63.8</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USA</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fldChar w:fldCharType="begin" w:fldLock="1"/>
            </w:r>
            <w:r>
              <w:rPr>
                <w:rFonts w:asciiTheme="majorBidi" w:hAnsiTheme="majorBidi" w:cstheme="majorBidi"/>
                <w:bCs/>
                <w:sz w:val="20"/>
                <w:szCs w:val="20"/>
              </w:rPr>
              <w:instrText>ADDIN CSL_CITATION {"citationItems":[{"id":"ITEM-1","itemData":{"DOI":"10.1016/j.ecoleng.2019.04.020","ISSN":"09258574","abstract":"The H-02 wetland was constructed on the Savannah River Site (SC, USA) in 2007 to remove Cu and Zn from process and storm runoff water. Water samples were routinely collected from 2008 to 2017 in the primary discharge pipes, influent, effluent, and receiving stream. Water quality parameters were measured in situ, total and dissolved metal (Cu and Zn) concentrations were determined, and metal speciation was calculated with the Biotic Ligand Model. Generally, the H-02 wetland system functioned well during the reporting period. Alkaline waters in the pipe became neutral after running through the wetland. Total metal concentrations in the effluent were lower than the regulatory discharge limit with a removal efficiency of 63.8% (95% CI: 60.8–66.8%) for Cu and 70.5% (95% CI: 67.0–73.9%) for Zn. Reduced metal toxicity was inferred from the observed lower concentrations of free Cu2+ and Zn2+ in the effluent than that in the influent and pipe. As suggested by the higher percentage of Cu-organic matter complexes than Zn-organic matter complexes, Cu had a higher affinity for natural organic ligands than Zn. A three-stage performance pattern of a metal-removing constructed wetland was hypothesized, which includes the plateau stage, the trough stage, and the recovery stage. Further studies were needed to test this hypothesis, monitor the treatment efficiency, improve operation strategies, and ensure the long-term sustainability of H-02 wetland system.","author":[{"dropping-particle":"","family":"Xu","given":"Xiaoyu","non-dropping-particle":"","parse-names":false,"suffix":""},{"dropping-particle":"","family":"Mills","given":"Gary","non-dropping-particle":"","parse-names":false,"suffix":""},{"dropping-particle":"","family":"Lindell","given":"Angela","non-dropping-particle":"","parse-names":false,"suffix":""},{"dropping-particle":"","family":"Peck","given":"Erin","non-dropping-particle":"","parse-names":false,"suffix":""},{"dropping-particle":"","family":"Korotasz","given":"Alexis","non-dropping-particle":"","parse-names":false,"suffix":""},{"dropping-particle":"","family":"Burgess","given":"Elizabeth","non-dropping-particle":"","parse-names":false,"suffix":""}],"container-title":"Ecological Engineering","id":"ITEM-1","issue":"December 2018","issued":{"date-parts":[["2019"]]},"page":"32-38","publisher":"Elsevier","title":"The performance of a free surface and metal-removing constructed wetland: How a young wetland becomes mature","type":"article-journal","volume":"133"},"uris":["http://www.mendeley.com/documents/?uuid=301fa544-38cb-45f9-8fc5-d432362d3911"]}],"mendeley":{"formattedCitation":"(Xu et al., 2019)","plainTextFormattedCitation":"(Xu et al., 2019)","previouslyFormattedCitation":"(Xu et al., 2019)"},"properties":{"noteIndex":0},"schema":"https://github.com/citation-style-language/schema/raw/master/csl-citation.json"}</w:instrText>
            </w:r>
            <w:r>
              <w:rPr>
                <w:rFonts w:asciiTheme="majorBidi" w:hAnsiTheme="majorBidi" w:cstheme="majorBidi"/>
                <w:bCs/>
                <w:sz w:val="20"/>
                <w:szCs w:val="20"/>
              </w:rPr>
              <w:fldChar w:fldCharType="separate"/>
            </w:r>
            <w:r w:rsidRPr="00560287">
              <w:rPr>
                <w:rFonts w:asciiTheme="majorBidi" w:hAnsiTheme="majorBidi" w:cstheme="majorBidi"/>
                <w:bCs/>
                <w:noProof/>
                <w:sz w:val="20"/>
                <w:szCs w:val="20"/>
              </w:rPr>
              <w:t>(Xu et al., 2019)</w:t>
            </w:r>
            <w:r>
              <w:rPr>
                <w:rFonts w:asciiTheme="majorBidi" w:hAnsiTheme="majorBidi" w:cstheme="majorBidi"/>
                <w:bCs/>
                <w:sz w:val="20"/>
                <w:szCs w:val="20"/>
              </w:rPr>
              <w:fldChar w:fldCharType="end"/>
            </w:r>
          </w:p>
        </w:tc>
      </w:tr>
      <w:tr w:rsidR="00263101" w:rsidRPr="00EB3F80" w:rsidTr="00264DEF">
        <w:trPr>
          <w:trHeight w:val="284"/>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proofErr w:type="spellStart"/>
            <w:r>
              <w:rPr>
                <w:rFonts w:asciiTheme="majorBidi" w:hAnsiTheme="majorBidi" w:cstheme="majorBidi"/>
                <w:bCs/>
                <w:sz w:val="20"/>
                <w:szCs w:val="20"/>
              </w:rPr>
              <w:t>TZn</w:t>
            </w:r>
            <w:proofErr w:type="spellEnd"/>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0.0297</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70.5</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34"/>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C54730">
              <w:rPr>
                <w:rFonts w:asciiTheme="majorBidi" w:hAnsiTheme="majorBidi" w:cstheme="majorBidi"/>
                <w:bCs/>
                <w:sz w:val="20"/>
                <w:szCs w:val="20"/>
              </w:rPr>
              <w:t>2000</w:t>
            </w:r>
          </w:p>
        </w:tc>
        <w:tc>
          <w:tcPr>
            <w:tcW w:w="33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100</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7</w:t>
            </w:r>
          </w:p>
        </w:tc>
        <w:tc>
          <w:tcPr>
            <w:tcW w:w="457" w:type="pct"/>
            <w:vMerge w:val="restart"/>
            <w:vAlign w:val="center"/>
          </w:tcPr>
          <w:p w:rsidR="00263101" w:rsidRPr="00C54730" w:rsidRDefault="00263101" w:rsidP="00264DEF">
            <w:pPr>
              <w:spacing w:before="240"/>
              <w:jc w:val="center"/>
              <w:rPr>
                <w:rFonts w:asciiTheme="majorBidi" w:hAnsiTheme="majorBidi" w:cstheme="majorBidi"/>
                <w:bCs/>
                <w:sz w:val="20"/>
                <w:szCs w:val="20"/>
              </w:rPr>
            </w:pPr>
            <w:r w:rsidRPr="00FD3425">
              <w:rPr>
                <w:rFonts w:asciiTheme="majorBidi" w:hAnsiTheme="majorBidi" w:cstheme="majorBidi"/>
                <w:bCs/>
                <w:sz w:val="20"/>
                <w:szCs w:val="20"/>
              </w:rPr>
              <w:t>0.5-0.8</w:t>
            </w:r>
          </w:p>
        </w:tc>
        <w:tc>
          <w:tcPr>
            <w:tcW w:w="45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C54730">
              <w:rPr>
                <w:rFonts w:asciiTheme="majorBidi" w:hAnsiTheme="majorBidi" w:cstheme="majorBidi"/>
                <w:bCs/>
                <w:sz w:val="20"/>
                <w:szCs w:val="20"/>
              </w:rPr>
              <w:t>Industrial wastewater and sewag</w:t>
            </w:r>
            <w:r>
              <w:rPr>
                <w:rFonts w:asciiTheme="majorBidi" w:hAnsiTheme="majorBidi" w:cstheme="majorBidi"/>
                <w:bCs/>
                <w:sz w:val="20"/>
                <w:szCs w:val="20"/>
              </w:rPr>
              <w:t>e</w:t>
            </w:r>
          </w:p>
        </w:tc>
        <w:tc>
          <w:tcPr>
            <w:tcW w:w="590"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r w:rsidRPr="00C54730">
              <w:rPr>
                <w:rFonts w:asciiTheme="majorBidi" w:hAnsiTheme="majorBidi" w:cstheme="majorBidi"/>
                <w:bCs/>
                <w:i/>
                <w:sz w:val="20"/>
                <w:szCs w:val="20"/>
              </w:rPr>
              <w:t xml:space="preserve">T. </w:t>
            </w:r>
            <w:proofErr w:type="spellStart"/>
            <w:r w:rsidRPr="00C54730">
              <w:rPr>
                <w:rFonts w:asciiTheme="majorBidi" w:hAnsiTheme="majorBidi" w:cstheme="majorBidi"/>
                <w:bCs/>
                <w:i/>
                <w:sz w:val="20"/>
                <w:szCs w:val="20"/>
              </w:rPr>
              <w:t>domingensis</w:t>
            </w:r>
            <w:proofErr w:type="spellEnd"/>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20.5</w:t>
            </w:r>
          </w:p>
        </w:tc>
        <w:tc>
          <w:tcPr>
            <w:tcW w:w="370" w:type="pc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Fe</w:t>
            </w:r>
          </w:p>
        </w:tc>
        <w:tc>
          <w:tcPr>
            <w:tcW w:w="457" w:type="pc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8.833</w:t>
            </w:r>
          </w:p>
        </w:tc>
        <w:tc>
          <w:tcPr>
            <w:tcW w:w="371" w:type="pc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97.2</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C54730">
              <w:rPr>
                <w:rFonts w:asciiTheme="majorBidi" w:hAnsiTheme="majorBidi" w:cstheme="majorBidi"/>
                <w:bCs/>
                <w:sz w:val="20"/>
                <w:szCs w:val="20"/>
              </w:rPr>
              <w:t>Argentina</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fldChar w:fldCharType="begin" w:fldLock="1"/>
            </w:r>
            <w:r>
              <w:rPr>
                <w:rFonts w:asciiTheme="majorBidi" w:hAnsiTheme="majorBidi" w:cstheme="majorBidi"/>
                <w:bCs/>
                <w:sz w:val="20"/>
                <w:szCs w:val="20"/>
              </w:rPr>
              <w:instrText>ADDIN CSL_CITATION {"citationItems":[{"id":"ITEM-1","itemData":{"DOI":"10.1016/j.jenvman.2013.04.054","ISSN":"10958630","PMID":"23694854","abstract":"A free water surface constructed wetland (CW) designed for effluent treatment was dominated by the emergent macrophyte Typha domingensis reaching a cover of roughly 80% for 5 years. Highly efficient metal and nutrient removal was reported during this period. In June 2009, a population of approximately 30 capybaras (Hydrochoerus hydrochaeris) caused the complete depredation of the aerial parts of macrophytes. However, plant roots and rhizomes were not damaged. After depredation stopped, T.domingensis showed a luxuriant growth, reaching a cover of 60% in 30 days. The objective of this work was to evaluate the sustainability of the CW subjected to an extreme event. Removal efficiency of the system was compared during normal operation, during the depredation event and over the subsequent recovery period. The CW efficiently retained contaminants during all the periods studied. However, the best efficiencies were registered during the normal operation period. There were no significant differences between the performances of the CW over the last two periods, except for BOD. The mean removal percentages during normal operation/depredation event/recovery period, were: 84.9/73.2/74.7% Cr; 66.7/48.0/51.2% Ni; 97.2/91.0/89.4% Fe; 50.0/46.8/49.5% Zn; 81.0/84.0/80.4% NO3-; 98.4/93.4/84.1% NO2-; 73.9/28.2/53.2% BOD and 75.4/40.9/44.6% COD. SRP and TP presented low removal efficiencies. Despite the anoxic conditions, contaminants were not released from sediment, accumulating in fractions that proved to be stable faced with changes in the operating conditions of the CW. T.domingensis showed an excellent growth response, consequently the period without aerial parts lasted a few months and the CW could recover its normal operation. Plants continued retaining contaminants in their roots and the sediment increased its retention capacity, balancing the operating capacity of the system. This was probably due to the fact that the CW had reached its maturity, with a complete root-rhizome development. These results demonstrated that faced with an incidental problem, this mature CW was capable of maintaining its efficiency and recovering its vegetation, demonstrating the robustness of these treatment systems. © 2013 Elsevier Ltd.","author":[{"dropping-particle":"","family":"Maine","given":"M. A.","non-dropping-particle":"","parse-names":false,"suffix":""},{"dropping-particle":"","family":"Hadad","given":"H. R.","non-dropping-particle":"","parse-names":false,"suffix":""},{"dropping-particle":"","family":"Sánchez","given":"G. C.","non-dropping-particle":"","parse-names":false,"suffix":""},{"dropping-particle":"","family":"Mufarrege","given":"M. M.","non-dropping-particle":"","parse-names":false,"suffix":""},{"dropping-particle":"","family":"Luca","given":"G. A.","non-dropping-particle":"Di","parse-names":false,"suffix":""},{"dropping-particle":"","family":"Caffaratti","given":"S. E.","non-dropping-particle":"","parse-names":false,"suffix":""},{"dropping-particle":"","family":"Pedro","given":"M. C.","non-dropping-particle":"","parse-names":false,"suffix":""}],"container-title":"Journal of Environmental Management","id":"ITEM-1","issued":{"date-parts":[["2013"]]},"page":"1-6","publisher":"Elsevier","title":"Sustainability of a constructed wetland faced with a depredation event","type":"article-journal","volume":"128"},"uris":["http://www.mendeley.com/documents/?uuid=4da13e99-f711-456d-98ce-59507aa8daf9"]}],"mendeley":{"formattedCitation":"(Maine et al., 2013)","plainTextFormattedCitation":"(Maine et al., 2013)","previouslyFormattedCitation":"(Maine et al., 2013)"},"properties":{"noteIndex":0},"schema":"https://github.com/citation-style-language/schema/raw/master/csl-citation.json"}</w:instrText>
            </w:r>
            <w:r>
              <w:rPr>
                <w:rFonts w:asciiTheme="majorBidi" w:hAnsiTheme="majorBidi" w:cstheme="majorBidi"/>
                <w:bCs/>
                <w:sz w:val="20"/>
                <w:szCs w:val="20"/>
              </w:rPr>
              <w:fldChar w:fldCharType="separate"/>
            </w:r>
            <w:r w:rsidRPr="00C54730">
              <w:rPr>
                <w:rFonts w:asciiTheme="majorBidi" w:hAnsiTheme="majorBidi" w:cstheme="majorBidi"/>
                <w:bCs/>
                <w:noProof/>
                <w:sz w:val="20"/>
                <w:szCs w:val="20"/>
              </w:rPr>
              <w:t>(Maine et al., 2013)</w:t>
            </w:r>
            <w:r>
              <w:rPr>
                <w:rFonts w:asciiTheme="majorBidi" w:hAnsiTheme="majorBidi" w:cstheme="majorBidi"/>
                <w:bCs/>
                <w:sz w:val="20"/>
                <w:szCs w:val="20"/>
              </w:rPr>
              <w:fldChar w:fldCharType="end"/>
            </w:r>
          </w:p>
        </w:tc>
      </w:tr>
      <w:tr w:rsidR="00263101" w:rsidRPr="00EB3F80" w:rsidTr="00264DEF">
        <w:trPr>
          <w:trHeight w:val="34"/>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Cr</w:t>
            </w:r>
          </w:p>
        </w:tc>
        <w:tc>
          <w:tcPr>
            <w:tcW w:w="457"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0.053</w:t>
            </w:r>
          </w:p>
        </w:tc>
        <w:tc>
          <w:tcPr>
            <w:tcW w:w="371"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84.9</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34"/>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Ni</w:t>
            </w:r>
          </w:p>
        </w:tc>
        <w:tc>
          <w:tcPr>
            <w:tcW w:w="457"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0.054</w:t>
            </w:r>
          </w:p>
        </w:tc>
        <w:tc>
          <w:tcPr>
            <w:tcW w:w="371"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66.7</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34"/>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Zn</w:t>
            </w:r>
          </w:p>
        </w:tc>
        <w:tc>
          <w:tcPr>
            <w:tcW w:w="457"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0.04</w:t>
            </w:r>
          </w:p>
        </w:tc>
        <w:tc>
          <w:tcPr>
            <w:tcW w:w="371"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50.0</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34"/>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2000</w:t>
            </w:r>
          </w:p>
        </w:tc>
        <w:tc>
          <w:tcPr>
            <w:tcW w:w="33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w:t>
            </w:r>
          </w:p>
        </w:tc>
        <w:tc>
          <w:tcPr>
            <w:tcW w:w="457" w:type="pct"/>
            <w:vMerge w:val="restart"/>
            <w:vAlign w:val="center"/>
          </w:tcPr>
          <w:p w:rsidR="00263101" w:rsidRPr="00560287"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w:t>
            </w:r>
          </w:p>
        </w:tc>
        <w:tc>
          <w:tcPr>
            <w:tcW w:w="45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560287">
              <w:rPr>
                <w:rFonts w:asciiTheme="majorBidi" w:hAnsiTheme="majorBidi" w:cstheme="majorBidi"/>
                <w:bCs/>
                <w:sz w:val="20"/>
                <w:szCs w:val="20"/>
              </w:rPr>
              <w:t>storm runoff water</w:t>
            </w:r>
          </w:p>
        </w:tc>
        <w:tc>
          <w:tcPr>
            <w:tcW w:w="590"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Pr>
                <w:rFonts w:asciiTheme="majorBidi" w:hAnsiTheme="majorBidi" w:cstheme="majorBidi"/>
                <w:bCs/>
                <w:i/>
                <w:sz w:val="20"/>
                <w:szCs w:val="20"/>
              </w:rPr>
              <w:t>Schoeno</w:t>
            </w:r>
            <w:r w:rsidRPr="00A813A6">
              <w:rPr>
                <w:rFonts w:asciiTheme="majorBidi" w:hAnsiTheme="majorBidi" w:cstheme="majorBidi"/>
                <w:bCs/>
                <w:i/>
                <w:sz w:val="20"/>
                <w:szCs w:val="20"/>
              </w:rPr>
              <w:t>plectus</w:t>
            </w:r>
            <w:proofErr w:type="spellEnd"/>
            <w:r w:rsidRPr="00A813A6">
              <w:rPr>
                <w:rFonts w:asciiTheme="majorBidi" w:hAnsiTheme="majorBidi" w:cstheme="majorBidi"/>
                <w:bCs/>
                <w:i/>
                <w:sz w:val="20"/>
                <w:szCs w:val="20"/>
              </w:rPr>
              <w:t xml:space="preserve"> </w:t>
            </w:r>
            <w:proofErr w:type="spellStart"/>
            <w:r w:rsidRPr="00A813A6">
              <w:rPr>
                <w:rFonts w:asciiTheme="majorBidi" w:hAnsiTheme="majorBidi" w:cstheme="majorBidi"/>
                <w:bCs/>
                <w:i/>
                <w:sz w:val="20"/>
                <w:szCs w:val="20"/>
              </w:rPr>
              <w:t>californicu</w:t>
            </w:r>
            <w:proofErr w:type="spellEnd"/>
          </w:p>
        </w:tc>
        <w:tc>
          <w:tcPr>
            <w:tcW w:w="329" w:type="pct"/>
            <w:vMerge w:val="restar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t>
            </w:r>
          </w:p>
        </w:tc>
        <w:tc>
          <w:tcPr>
            <w:tcW w:w="370"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Cu</w:t>
            </w:r>
          </w:p>
        </w:tc>
        <w:tc>
          <w:tcPr>
            <w:tcW w:w="457"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0.021</w:t>
            </w:r>
          </w:p>
        </w:tc>
        <w:tc>
          <w:tcPr>
            <w:tcW w:w="371"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65.9</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USA</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fldChar w:fldCharType="begin" w:fldLock="1"/>
            </w:r>
            <w:r>
              <w:rPr>
                <w:rFonts w:asciiTheme="majorBidi" w:hAnsiTheme="majorBidi" w:cstheme="majorBidi"/>
                <w:bCs/>
                <w:sz w:val="20"/>
                <w:szCs w:val="20"/>
              </w:rPr>
              <w:instrText>ADDIN CSL_CITATION {"citationItems":[{"id":"ITEM-1","itemData":{"DOI":"10.1016/j.jenvman.2018.04.014","ISSN":"10958630","PMID":"29680756","abstract":"The H-02 wetland was constructed to treat building process water and storm runoff water from the Tritium Processing Facility on the Department of Energy's Savannah River Site (Aiken, SC). Monthly monitoring of copper (Cu) and zinc (Zn) concentrations and water quality parameters in surface waters continued from 2014 to 2016. Metal speciation was modeled at each sampling occasion. Total Cu and Zn concentrations released to the effluent stream were below the NPDES limit, and the average removal efficiency was 65.9% for Cu and 71.1% for Zn. The metal-removal processes were found out to be seasonally regulated by sulfur cycling indicated by laboratory and model results. High temperature, adequate labile organic matter, and anaerobic conditions during the warm months (February to August) favored sulfate reduction that produced sulfide minerals to significantly remove metals. However, the dominant reaction in sulfur cycling shifted to sulfide oxidation during the cool months (September to next March). High concentrations of metal-organic complexes were observed, especially colloidal complexes of metal and fulvic acid (FA), demonstrating adsorption to organic matter became the primary process for metal removal. Meanwhile, the accumulation of metal-FA complexes in the wetland system will cause negative effects to the surrounding environment as they are biologically reactive, highly bioavailable, and can be easily taken up and transferred to ecosystems by trophic exchange.","author":[{"dropping-particle":"","family":"Xu","given":"Xiaoyu","non-dropping-particle":"","parse-names":false,"suffix":""},{"dropping-particle":"","family":"Mills","given":"Gary L.","non-dropping-particle":"","parse-names":false,"suffix":""}],"container-title":"Journal of Environmental Management","id":"ITEM-1","issued":{"date-parts":[["2018"]]},"page":"245-255","publisher":"Elsevier Ltd","title":"Do constructed wetlands remove metals or increase metal bioavailability?","type":"article-journal","volume":"218"},"uris":["http://www.mendeley.com/documents/?uuid=f2d5eaa4-65c7-4227-a4e6-07cd26cf9f1a"]}],"mendeley":{"formattedCitation":"(Xu and Mills, 2018)","plainTextFormattedCitation":"(Xu and Mills, 2018)","previouslyFormattedCitation":"(Xu and Mills, 2018)"},"properties":{"noteIndex":0},"schema":"https://github.com/citation-style-language/schema/raw/master/csl-citation.json"}</w:instrText>
            </w:r>
            <w:r>
              <w:rPr>
                <w:rFonts w:asciiTheme="majorBidi" w:hAnsiTheme="majorBidi" w:cstheme="majorBidi"/>
                <w:bCs/>
                <w:sz w:val="20"/>
                <w:szCs w:val="20"/>
              </w:rPr>
              <w:fldChar w:fldCharType="separate"/>
            </w:r>
            <w:r w:rsidRPr="00A813A6">
              <w:rPr>
                <w:rFonts w:asciiTheme="majorBidi" w:hAnsiTheme="majorBidi" w:cstheme="majorBidi"/>
                <w:bCs/>
                <w:noProof/>
                <w:sz w:val="20"/>
                <w:szCs w:val="20"/>
              </w:rPr>
              <w:t>(Xu and Mills, 2018)</w:t>
            </w:r>
            <w:r>
              <w:rPr>
                <w:rFonts w:asciiTheme="majorBidi" w:hAnsiTheme="majorBidi" w:cstheme="majorBidi"/>
                <w:bCs/>
                <w:sz w:val="20"/>
                <w:szCs w:val="20"/>
              </w:rPr>
              <w:fldChar w:fldCharType="end"/>
            </w:r>
          </w:p>
        </w:tc>
      </w:tr>
      <w:tr w:rsidR="00263101" w:rsidRPr="00EB3F80" w:rsidTr="00264DEF">
        <w:trPr>
          <w:trHeight w:val="34"/>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Default="00263101" w:rsidP="00264DEF">
            <w:pPr>
              <w:jc w:val="center"/>
              <w:rPr>
                <w:rFonts w:asciiTheme="majorBidi" w:hAnsiTheme="majorBidi" w:cstheme="majorBidi"/>
                <w:bCs/>
                <w:sz w:val="20"/>
                <w:szCs w:val="20"/>
              </w:rPr>
            </w:pPr>
          </w:p>
        </w:tc>
        <w:tc>
          <w:tcPr>
            <w:tcW w:w="370"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Zn</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0.0297</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71.1</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w:t>
            </w:r>
          </w:p>
        </w:tc>
        <w:tc>
          <w:tcPr>
            <w:tcW w:w="338"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0.01</w:t>
            </w:r>
          </w:p>
        </w:tc>
        <w:tc>
          <w:tcPr>
            <w:tcW w:w="233"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4</w:t>
            </w:r>
          </w:p>
        </w:tc>
        <w:tc>
          <w:tcPr>
            <w:tcW w:w="457" w:type="pct"/>
            <w:vMerge w:val="restar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0.45</w:t>
            </w:r>
          </w:p>
        </w:tc>
        <w:tc>
          <w:tcPr>
            <w:tcW w:w="458"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590" w:type="pct"/>
            <w:vMerge w:val="restart"/>
            <w:vAlign w:val="center"/>
          </w:tcPr>
          <w:p w:rsidR="00263101" w:rsidRPr="00EB3F80" w:rsidRDefault="00263101" w:rsidP="00264DEF">
            <w:pPr>
              <w:jc w:val="center"/>
              <w:rPr>
                <w:rFonts w:asciiTheme="majorBidi" w:hAnsiTheme="majorBidi" w:cstheme="majorBidi"/>
                <w:bCs/>
                <w:i/>
                <w:sz w:val="20"/>
                <w:szCs w:val="20"/>
              </w:rPr>
            </w:pPr>
            <w:r w:rsidRPr="00EB3F80">
              <w:rPr>
                <w:rFonts w:asciiTheme="majorBidi" w:hAnsiTheme="majorBidi" w:cstheme="majorBidi"/>
                <w:bCs/>
                <w:i/>
                <w:sz w:val="20"/>
                <w:szCs w:val="20"/>
              </w:rPr>
              <w:t xml:space="preserve">T. </w:t>
            </w:r>
            <w:proofErr w:type="spellStart"/>
            <w:r w:rsidRPr="00EB3F80">
              <w:rPr>
                <w:rFonts w:asciiTheme="majorBidi" w:hAnsiTheme="majorBidi" w:cstheme="majorBidi"/>
                <w:bCs/>
                <w:i/>
                <w:sz w:val="20"/>
                <w:szCs w:val="20"/>
              </w:rPr>
              <w:t>domingensis</w:t>
            </w:r>
            <w:proofErr w:type="spellEnd"/>
          </w:p>
        </w:tc>
        <w:tc>
          <w:tcPr>
            <w:tcW w:w="329"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28.4 ±2.3</w:t>
            </w: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Cr</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 xml:space="preserve">0.61 </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88.5</w:t>
            </w:r>
          </w:p>
        </w:tc>
        <w:tc>
          <w:tcPr>
            <w:tcW w:w="374"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Egypt</w:t>
            </w:r>
          </w:p>
        </w:tc>
        <w:tc>
          <w:tcPr>
            <w:tcW w:w="37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{"citationItems":[{"id":"ITEM-1","itemData":{"DOI":"10.1186/s12302-023-00748-x","ISBN":"1230202300748","ISSN":"21904715","abstract":"Contamination of heavy metals and antibiotics would threaten the water and soil resources. Phytoremediation can be potentially used to remediate metal and antibiotics contaminated sites. The current study was carried out over a period of 12 months to assess the efficiency of the macrophytes Typha domingensis and Cyperus papyrus with different substrate materials to remove heavy metals and two antibiotics, roxithromycin and levofloxacin, from wastewater for reuse in agriculture. The concentrations of seven heavy metals (copper, nickel, iron, cadmium, zinc, lead, and chromium) in water and plant tissues were determined. The results showed that C. papyrus had a greater capacity than T. domingensis to remove biochemical oxygen demand (BOD) (80.69%), chemical oxygen demand (COD) (69.87%), and ammonium (NH4+) (69.69%). Cyperus papyrus was more effective in retaining solid pollutants. The bioaccumulation factors (BCF) roots of C. papyrus were higher levels of most metals than those of T. domingensis. The highest root–rhizome translocation factor (TF) values of C. papyrus were higher than T. domingensis. The bacterial indicators (total and fecal coliforms, as well as Faecal streptococci) and the potential pathogens (Escherichia coli, Staphylococcus aureus, and Pseudomonas aeruginosa) showed removal efficiencies ranging between 96.9% and 99.8%. The results indicated that the two systems could significantly reduce the concentration of antibiotics in wastewater, with roxithromycin showing higher elimination rates than levofloxacin. The results showed maximum removal of the heavy metals in constructed wetlands CWs planted with T. domingensis. The presence of zeolite and C. papyrus in the effluent of CWs significantly improved treatment capacity and increased pollutant removal efficiency.","author":[{"dropping-particle":"","family":"Hamad","given":"Mohammed Taha Moustafa Hussien","non-dropping-particle":"","parse-names":false,"suffix":""}],"container-title":"Environmental Sciences Europe","id":"ITEM-1","issue":"1","issued":{"date-parts":[["2023"]]},"publisher":"Springer Berlin Heidelberg","title":"Comparing the performance of Cyperus papyrus and Typha domingensis for the removal of heavy metals, roxithromycin, levofloxacin and pathogenic bacteria from wastewater","type":"article-journal","volume":"35"},"uris":["http://www.mendeley.com/documents/?uuid=56672867-4e0e-4d1d-8a52-88f5feba5940"]}],"mendeley":{"formattedCitation":"(Hamad, 2023)","plainTextFormattedCitation":"(Hamad, 2023)","previouslyFormattedCitation":"(Hamad, 2023)"},"properties":{"noteIndex":0},"schema":"https://github.com/citation-style-language/schema/raw/master/csl-citation.json"}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(Hamad, 2023)</w:t>
            </w:r>
            <w:r w:rsidRPr="00EB3F80">
              <w:rPr>
                <w:rFonts w:asciiTheme="majorBidi" w:hAnsiTheme="majorBidi" w:cstheme="majorBidi"/>
                <w:bCs/>
                <w:sz w:val="20"/>
                <w:szCs w:val="20"/>
              </w:rPr>
              <w:fldChar w:fldCharType="end"/>
            </w: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Cu</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0.73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88.2</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Zn</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0.58</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91.4</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Cd</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0.046</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91.3</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Ni</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0.278</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83.1</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Fe</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3.23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75.2</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6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Pb</w:t>
            </w:r>
            <w:proofErr w:type="spellEnd"/>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80.0</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restart"/>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Cr</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 xml:space="preserve">0.61 </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 xml:space="preserve">18.8 </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Cu</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0.73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84.9</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Zn</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0.58</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87.9</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Cd</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0.046</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91.3</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Ni</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0.278</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94.6</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Fe</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3.23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67.8</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Pb</w:t>
            </w:r>
            <w:proofErr w:type="spellEnd"/>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83.3</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301"/>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0.4</w:t>
            </w:r>
          </w:p>
        </w:tc>
        <w:tc>
          <w:tcPr>
            <w:tcW w:w="33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0.1</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7</w:t>
            </w:r>
          </w:p>
        </w:tc>
        <w:tc>
          <w:tcPr>
            <w:tcW w:w="457"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0.15-0.25-0.35</w:t>
            </w:r>
          </w:p>
        </w:tc>
        <w:tc>
          <w:tcPr>
            <w:tcW w:w="45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Polluted lake water</w:t>
            </w:r>
          </w:p>
        </w:tc>
        <w:tc>
          <w:tcPr>
            <w:tcW w:w="590"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Eichhornia</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Crassipes</w:t>
            </w:r>
            <w:proofErr w:type="spellEnd"/>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32.0</w:t>
            </w:r>
          </w:p>
        </w:tc>
        <w:tc>
          <w:tcPr>
            <w:tcW w:w="370"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Fe</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0.0193</w:t>
            </w:r>
          </w:p>
        </w:tc>
        <w:tc>
          <w:tcPr>
            <w:tcW w:w="371"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62.5</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Egypt</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{"citationItems":[{"id":"ITEM-1","itemData":{"DOI":"https://doi.org/10.1007/s11356-021-12442-7","author":[{"dropping-particle":"","family":"Gaballah","given":"Mohamed S.","non-dropping-particle":"","parse-names":false,"suffix":""},{"dropping-particle":"","family":"K.Ismail","given":"","non-dropping-particle":"","parse-names":false,"suffix":""},{"dropping-particle":"","family":"Aboauge","given":"Domenic","non-dropping-particle":"","parse-names":false,"suffix":""},{"dropping-particle":"","family":"Ismail","given":"Mona","non-dropping-particle":"","parse-names":false,"suffix":""},{"dropping-particle":"","family":"Sobhi","given":"Mostafa","non-dropping-particle":"","parse-names":false,"suffix":""},{"dropping-particle":"","family":"Stefanakis","given":"Alexandros I.","non-dropping-particle":"","parse-names":false,"suffix":""}],"container-title":"Environmental Science and Pollution Research","id":"ITEM-1","issue":"15","issued":{"date-parts":[["2021"]]},"publisher":"Environmental Science and Pollution Research","title":"Effect of design and operational parameters on nutrients and heavy metal removal in pilot floating treatment wetlands with Eichhornia Crassipes treating polluted lake water","type":"article-journal","volume":"1"},"uris":["http://www.mendeley.com/documents/?uuid=2626055c-1be3-4735-9b16-c92415ccaef8"]}],"mendeley":{"formattedCitation":"(Gaballah et al., 2021)","plainTextFormattedCitation":"(Gaballah et al., 2021)","previouslyFormattedCitation":"(Gaballah et al., 2021)"},"properties":{"noteIndex":0},"schema":"https://github.com/citation-style-language/schema/raw/master/csl-citation.json"}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(Gaballah et al., 2021)</w:t>
            </w:r>
            <w:r w:rsidRPr="00EB3F80">
              <w:rPr>
                <w:rFonts w:asciiTheme="majorBidi" w:hAnsiTheme="majorBidi" w:cstheme="majorBidi"/>
                <w:bCs/>
                <w:sz w:val="20"/>
                <w:szCs w:val="20"/>
              </w:rPr>
              <w:fldChar w:fldCharType="end"/>
            </w: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Pb</w:t>
            </w:r>
            <w:proofErr w:type="spellEnd"/>
            <w:r>
              <w:rPr>
                <w:rFonts w:asciiTheme="majorBidi" w:hAnsiTheme="majorBidi" w:cstheme="majorBidi"/>
                <w:bCs/>
                <w:sz w:val="20"/>
                <w:szCs w:val="20"/>
              </w:rPr>
              <w:t xml:space="preserve"> </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0.0023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88.9</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Cu</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0.0046</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81.7</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14"/>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Ni</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0.0053</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80.4</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Full-scale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2000</w:t>
            </w:r>
          </w:p>
        </w:tc>
        <w:tc>
          <w:tcPr>
            <w:tcW w:w="33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100</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7-12</w:t>
            </w:r>
          </w:p>
        </w:tc>
        <w:tc>
          <w:tcPr>
            <w:tcW w:w="457"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4B1893">
              <w:rPr>
                <w:rFonts w:asciiTheme="majorBidi" w:hAnsiTheme="majorBidi" w:cstheme="majorBidi"/>
                <w:bCs/>
                <w:sz w:val="20"/>
                <w:szCs w:val="20"/>
              </w:rPr>
              <w:t>0.4-0.5</w:t>
            </w:r>
          </w:p>
        </w:tc>
        <w:tc>
          <w:tcPr>
            <w:tcW w:w="45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590"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Typha</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domingensis</w:t>
            </w:r>
            <w:proofErr w:type="spellEnd"/>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t>
            </w:r>
          </w:p>
        </w:tc>
        <w:tc>
          <w:tcPr>
            <w:tcW w:w="370"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 xml:space="preserve">Cr </w:t>
            </w:r>
          </w:p>
        </w:tc>
        <w:tc>
          <w:tcPr>
            <w:tcW w:w="457"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 xml:space="preserve">0.092 </w:t>
            </w:r>
          </w:p>
        </w:tc>
        <w:tc>
          <w:tcPr>
            <w:tcW w:w="371"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 xml:space="preserve">85 </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Argentina</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{"citationItems":[{"id":"ITEM-1","itemData":{"DOI":"10.1007/s11356-018-2039-6","ISSN":"16147499","PMID":"29691750","abstract":"The aim of this work was to study Cr, Ni, Zn, and P bioaccumulation in different compartments of Typha domingensis plants and sediment in a free-water surface constructed wetland for the treatment of a metallurgical effluent for 5 years. Removal efficiencies were satisfactory. To increase metal tolerance, its transport from belowground to aboveground tissues is reduced, being metal concentrations in the roots and rhizomes significantly higher than in the aerial and submerged parts of leaves. Regarding belowground tissues, metals were retained in the roots, while P was mainly accumulated in rhizomes. Bioaccumulation factors (BAFs) of Cr and Ni showed values near 1, and BAF of Zn and P were above 1 in several samplings, indicating bioaccumulation in the roots. Translocation factors (TFs) of Cr, Ni, and Zn were below 1, showing a scarce translocation from the roots to the aerial parts of the leaves, while the TF of P were above 1 in many samplings, indicating that this element is necessary for plant metabolism. The study of plant tissues where contaminants are accumulated allows gaining insight into the constructed wetland operation. The high translocation of P in T. domingensis makes this species suitable for its phytoextraction, while the low metal translocation makes T. domingensis suitable for phytostabilization.","author":[{"dropping-particle":"","family":"Hadad","given":"Hernán Ricardo","non-dropping-particle":"","parse-names":false,"suffix":""},{"dropping-particle":"","family":"Mufarrege","given":"María de las Mercedes","non-dropping-particle":"","parse-names":false,"suffix":""},{"dropping-particle":"","family":"Luca","given":"Gisela Alfonsina","non-dropping-particle":"Di","parse-names":false,"suffix":""},{"dropping-particle":"","family":"Maine","given":"María Alejandra","non-dropping-particle":"","parse-names":false,"suffix":""}],"container-title":"Environmental Science and Pollution Research","id":"ITEM-1","issue":"18","issued":{"date-parts":[["2018"]]},"page":"18130-18137","publisher":"Environmental Science and Pollution Research","title":"Long-term study of Cr, Ni, Zn, and P distribution in Typha domingensis growing in a constructed wetland","type":"article-journal","volume":"25"},"uris":["http://www.mendeley.com/documents/?uuid=38b916d2-93c9-44c9-81a1-029fdd735a2e"]}],"mendeley":{"formattedCitation":"(Hadad et al., 2018)","plainTextFormattedCitation":"(Hadad et al., 2018)","previouslyFormattedCitation":"(Hadad et al., 2018)"},"properties":{"noteIndex":0},"schema":"https://github.com/citation-style-language/schema/raw/master/csl-citation.json"}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(Hadad et al., 2018)</w:t>
            </w:r>
            <w:r w:rsidRPr="00EB3F80">
              <w:rPr>
                <w:rFonts w:asciiTheme="majorBidi" w:hAnsiTheme="majorBidi" w:cstheme="majorBidi"/>
                <w:bCs/>
                <w:sz w:val="20"/>
                <w:szCs w:val="20"/>
              </w:rPr>
              <w:fldChar w:fldCharType="end"/>
            </w: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Zn</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0.041</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51</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Ni</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0.068</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70</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12"/>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Fe</w:t>
            </w:r>
          </w:p>
        </w:tc>
        <w:tc>
          <w:tcPr>
            <w:tcW w:w="457"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0.824</w:t>
            </w:r>
          </w:p>
        </w:tc>
        <w:tc>
          <w:tcPr>
            <w:tcW w:w="37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89</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20, 13, 10, 3</w:t>
            </w:r>
          </w:p>
        </w:tc>
        <w:tc>
          <w:tcPr>
            <w:tcW w:w="338" w:type="pct"/>
            <w:vMerge w:val="restar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0.39/0.57 m/h</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193/163 min</w:t>
            </w:r>
          </w:p>
        </w:tc>
        <w:tc>
          <w:tcPr>
            <w:tcW w:w="457" w:type="pct"/>
            <w:vMerge w:val="restar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w:t>
            </w:r>
          </w:p>
        </w:tc>
        <w:tc>
          <w:tcPr>
            <w:tcW w:w="458" w:type="pct"/>
            <w:vMerge w:val="restart"/>
            <w:vAlign w:val="center"/>
          </w:tcPr>
          <w:p w:rsidR="00263101" w:rsidRPr="00EB3F80" w:rsidRDefault="00263101" w:rsidP="00264DEF">
            <w:pPr>
              <w:spacing w:before="240"/>
              <w:rPr>
                <w:rFonts w:asciiTheme="majorBidi" w:hAnsiTheme="majorBidi" w:cstheme="majorBidi"/>
                <w:bCs/>
                <w:sz w:val="20"/>
                <w:szCs w:val="20"/>
              </w:rPr>
            </w:pPr>
            <w:r>
              <w:rPr>
                <w:rFonts w:asciiTheme="majorBidi" w:hAnsiTheme="majorBidi" w:cstheme="majorBidi"/>
                <w:bCs/>
                <w:sz w:val="20"/>
                <w:szCs w:val="20"/>
              </w:rPr>
              <w:t>A</w:t>
            </w:r>
            <w:r w:rsidRPr="00EB137A">
              <w:rPr>
                <w:rFonts w:asciiTheme="majorBidi" w:hAnsiTheme="majorBidi" w:cstheme="majorBidi"/>
                <w:bCs/>
                <w:sz w:val="20"/>
                <w:szCs w:val="20"/>
              </w:rPr>
              <w:t xml:space="preserve">quaculture and </w:t>
            </w:r>
            <w:proofErr w:type="spellStart"/>
            <w:r w:rsidRPr="00EB137A">
              <w:rPr>
                <w:rFonts w:asciiTheme="majorBidi" w:hAnsiTheme="majorBidi" w:cstheme="majorBidi"/>
                <w:bCs/>
                <w:sz w:val="20"/>
                <w:szCs w:val="20"/>
              </w:rPr>
              <w:t>upflow</w:t>
            </w:r>
            <w:proofErr w:type="spellEnd"/>
            <w:r w:rsidRPr="00EB137A">
              <w:rPr>
                <w:rFonts w:asciiTheme="majorBidi" w:hAnsiTheme="majorBidi" w:cstheme="majorBidi"/>
                <w:bCs/>
                <w:sz w:val="20"/>
                <w:szCs w:val="20"/>
              </w:rPr>
              <w:t xml:space="preserve"> anaerobic sludge blanket</w:t>
            </w:r>
            <w:r>
              <w:rPr>
                <w:rFonts w:asciiTheme="majorBidi" w:hAnsiTheme="majorBidi" w:cstheme="majorBidi"/>
                <w:bCs/>
                <w:sz w:val="20"/>
                <w:szCs w:val="20"/>
              </w:rPr>
              <w:t xml:space="preserve"> </w:t>
            </w:r>
            <w:r w:rsidRPr="00EB137A">
              <w:rPr>
                <w:rFonts w:asciiTheme="majorBidi" w:hAnsiTheme="majorBidi" w:cstheme="majorBidi"/>
                <w:bCs/>
                <w:sz w:val="20"/>
                <w:szCs w:val="20"/>
              </w:rPr>
              <w:t>reactors</w:t>
            </w:r>
          </w:p>
        </w:tc>
        <w:tc>
          <w:tcPr>
            <w:tcW w:w="590" w:type="pct"/>
            <w:vMerge w:val="restart"/>
            <w:vAlign w:val="center"/>
          </w:tcPr>
          <w:p w:rsidR="00263101" w:rsidRPr="00EB3F80" w:rsidRDefault="00263101" w:rsidP="00264DEF">
            <w:pPr>
              <w:spacing w:before="240"/>
              <w:rPr>
                <w:rFonts w:asciiTheme="majorBidi" w:hAnsiTheme="majorBidi" w:cstheme="majorBidi"/>
                <w:bCs/>
                <w:i/>
                <w:sz w:val="20"/>
                <w:szCs w:val="20"/>
              </w:rPr>
            </w:pPr>
            <w:proofErr w:type="spellStart"/>
            <w:r>
              <w:rPr>
                <w:rFonts w:asciiTheme="majorBidi" w:hAnsiTheme="majorBidi" w:cstheme="majorBidi"/>
                <w:bCs/>
                <w:i/>
                <w:sz w:val="20"/>
                <w:szCs w:val="20"/>
              </w:rPr>
              <w:t>Cyperus</w:t>
            </w:r>
            <w:proofErr w:type="spellEnd"/>
            <w:r>
              <w:rPr>
                <w:rFonts w:asciiTheme="majorBidi" w:hAnsiTheme="majorBidi" w:cstheme="majorBidi"/>
                <w:bCs/>
                <w:i/>
                <w:sz w:val="20"/>
                <w:szCs w:val="20"/>
              </w:rPr>
              <w:t xml:space="preserve"> </w:t>
            </w:r>
            <w:proofErr w:type="spellStart"/>
            <w:r>
              <w:rPr>
                <w:rFonts w:asciiTheme="majorBidi" w:hAnsiTheme="majorBidi" w:cstheme="majorBidi"/>
                <w:bCs/>
                <w:i/>
                <w:sz w:val="20"/>
                <w:szCs w:val="20"/>
              </w:rPr>
              <w:t>giganteus</w:t>
            </w:r>
            <w:proofErr w:type="spellEnd"/>
            <w:r>
              <w:rPr>
                <w:rFonts w:asciiTheme="majorBidi" w:hAnsiTheme="majorBidi" w:cstheme="majorBidi"/>
                <w:bCs/>
                <w:i/>
                <w:sz w:val="20"/>
                <w:szCs w:val="20"/>
              </w:rPr>
              <w:t xml:space="preserve">, </w:t>
            </w:r>
            <w:proofErr w:type="spellStart"/>
            <w:r>
              <w:rPr>
                <w:rFonts w:asciiTheme="majorBidi" w:hAnsiTheme="majorBidi" w:cstheme="majorBidi"/>
                <w:bCs/>
                <w:i/>
                <w:sz w:val="20"/>
                <w:szCs w:val="20"/>
              </w:rPr>
              <w:t>Typha</w:t>
            </w:r>
            <w:proofErr w:type="spellEnd"/>
            <w:r>
              <w:rPr>
                <w:rFonts w:asciiTheme="majorBidi" w:hAnsiTheme="majorBidi" w:cstheme="majorBidi"/>
                <w:bCs/>
                <w:i/>
                <w:sz w:val="20"/>
                <w:szCs w:val="20"/>
              </w:rPr>
              <w:t xml:space="preserve"> </w:t>
            </w:r>
            <w:proofErr w:type="spellStart"/>
            <w:r>
              <w:rPr>
                <w:rFonts w:asciiTheme="majorBidi" w:hAnsiTheme="majorBidi" w:cstheme="majorBidi"/>
                <w:bCs/>
                <w:i/>
                <w:sz w:val="20"/>
                <w:szCs w:val="20"/>
              </w:rPr>
              <w:t>domingensis</w:t>
            </w:r>
            <w:proofErr w:type="spellEnd"/>
            <w:r>
              <w:rPr>
                <w:rFonts w:asciiTheme="majorBidi" w:hAnsiTheme="majorBidi" w:cstheme="majorBidi"/>
                <w:bCs/>
                <w:i/>
                <w:sz w:val="20"/>
                <w:szCs w:val="20"/>
              </w:rPr>
              <w:t xml:space="preserve">, </w:t>
            </w:r>
            <w:proofErr w:type="spellStart"/>
            <w:r w:rsidRPr="00F4604D">
              <w:rPr>
                <w:rFonts w:asciiTheme="majorBidi" w:hAnsiTheme="majorBidi" w:cstheme="majorBidi"/>
                <w:bCs/>
                <w:i/>
                <w:sz w:val="20"/>
                <w:szCs w:val="20"/>
              </w:rPr>
              <w:t>Eichh</w:t>
            </w:r>
            <w:r>
              <w:rPr>
                <w:rFonts w:asciiTheme="majorBidi" w:hAnsiTheme="majorBidi" w:cstheme="majorBidi"/>
                <w:bCs/>
                <w:i/>
                <w:sz w:val="20"/>
                <w:szCs w:val="20"/>
              </w:rPr>
              <w:t>ornia</w:t>
            </w:r>
            <w:proofErr w:type="spellEnd"/>
            <w:r>
              <w:rPr>
                <w:rFonts w:asciiTheme="majorBidi" w:hAnsiTheme="majorBidi" w:cstheme="majorBidi"/>
                <w:bCs/>
                <w:i/>
                <w:sz w:val="20"/>
                <w:szCs w:val="20"/>
              </w:rPr>
              <w:t xml:space="preserve"> </w:t>
            </w:r>
            <w:proofErr w:type="spellStart"/>
            <w:r>
              <w:rPr>
                <w:rFonts w:asciiTheme="majorBidi" w:hAnsiTheme="majorBidi" w:cstheme="majorBidi"/>
                <w:bCs/>
                <w:i/>
                <w:sz w:val="20"/>
                <w:szCs w:val="20"/>
              </w:rPr>
              <w:t>crassipes</w:t>
            </w:r>
            <w:proofErr w:type="spellEnd"/>
            <w:r>
              <w:rPr>
                <w:rFonts w:asciiTheme="majorBidi" w:hAnsiTheme="majorBidi" w:cstheme="majorBidi"/>
                <w:bCs/>
                <w:i/>
                <w:sz w:val="20"/>
                <w:szCs w:val="20"/>
              </w:rPr>
              <w:t xml:space="preserve">, and </w:t>
            </w:r>
            <w:proofErr w:type="spellStart"/>
            <w:r>
              <w:rPr>
                <w:rFonts w:asciiTheme="majorBidi" w:hAnsiTheme="majorBidi" w:cstheme="majorBidi"/>
                <w:bCs/>
                <w:i/>
                <w:sz w:val="20"/>
                <w:szCs w:val="20"/>
              </w:rPr>
              <w:t>Pontederia</w:t>
            </w:r>
            <w:proofErr w:type="spellEnd"/>
            <w:r>
              <w:rPr>
                <w:rFonts w:asciiTheme="majorBidi" w:hAnsiTheme="majorBidi" w:cstheme="majorBidi"/>
                <w:bCs/>
                <w:i/>
                <w:sz w:val="20"/>
                <w:szCs w:val="20"/>
              </w:rPr>
              <w:t xml:space="preserve"> </w:t>
            </w:r>
            <w:proofErr w:type="spellStart"/>
            <w:r w:rsidRPr="00F4604D">
              <w:rPr>
                <w:rFonts w:asciiTheme="majorBidi" w:hAnsiTheme="majorBidi" w:cstheme="majorBidi"/>
                <w:bCs/>
                <w:i/>
                <w:sz w:val="20"/>
                <w:szCs w:val="20"/>
              </w:rPr>
              <w:t>cordata</w:t>
            </w:r>
            <w:proofErr w:type="spellEnd"/>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Winter/summer</w:t>
            </w:r>
          </w:p>
        </w:tc>
        <w:tc>
          <w:tcPr>
            <w:tcW w:w="370" w:type="pc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 xml:space="preserve">Al </w:t>
            </w:r>
          </w:p>
        </w:tc>
        <w:tc>
          <w:tcPr>
            <w:tcW w:w="457" w:type="pc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0.441/0.588</w:t>
            </w:r>
          </w:p>
        </w:tc>
        <w:tc>
          <w:tcPr>
            <w:tcW w:w="371" w:type="pc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 xml:space="preserve">75.7/68.3 </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137A">
              <w:rPr>
                <w:rFonts w:asciiTheme="majorBidi" w:hAnsiTheme="majorBidi" w:cstheme="majorBidi"/>
                <w:bCs/>
                <w:sz w:val="20"/>
                <w:szCs w:val="20"/>
              </w:rPr>
              <w:t>Brazil</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fldChar w:fldCharType="begin" w:fldLock="1"/>
            </w:r>
            <w:r>
              <w:rPr>
                <w:rFonts w:asciiTheme="majorBidi" w:hAnsiTheme="majorBidi" w:cstheme="majorBidi"/>
                <w:bCs/>
                <w:sz w:val="20"/>
                <w:szCs w:val="20"/>
              </w:rPr>
              <w:instrText>ADDIN CSL_CITATION {"citationItems":[{"id":"ITEM-1","itemData":{"DOI":"10.1007/s11270-015-2322-9","ISBN":"1127001523","ISSN":"15732932","abstract":"A free water surface flow constructed wetland (CW) was designed to evaluate the capacity of this biological treatment system, which receives wastewater from aquaculture and upflow anaerobic sludge blanket (UASB) reactors, to retain heavy metal. The purpose of this study was to determine the role of the sediment and the macrophytes Cyperus giganteus, Typha domingensis, Eichhornia crassipes, and Pontederia cordata in accumulating Al, Cd, Cr, Cu, Fe, Ni, Mn, Pb, and Zn, during the dry (winter) and rainy (summer) seasons. In general, the concentrations and mass loading of heavy metals in the outlet water were lower than in the inlet water. The highest removal efficiency rates of water (mainly mass removal) occurred in the dry season. In the rainy season, the probable low oxygen level in the upper layer of sediment resulted in a release of reduced metals into the water because of organic matter mineralization and an increase in depth. This, coupled with an increase in the hydraulic loading rate (HLR), affected the efficiency removal in this season. The metals were especially immobilized as a result of the sedimentation process and could be removed weakly via macrophyte uptake, with the exception of Mn. In addition to the sediment, which is the main compartment for heavy metal retention in the CW system, the macrophytes have the advantage of being harvested. Therefore, E. crassipes and T. domingensis, which are good metal accumulators, can be recommended for the removal of heavy metals from agricultural wastewaters.","author":[{"dropping-particle":"","family":"Travaini-Lima","given":"Fernanda","non-dropping-particle":"","parse-names":false,"suffix":""},{"dropping-particle":"","family":"Veiga","given":"Márcia Andreia Mesquita Silva","non-dropping-particle":"Da","parse-names":false,"suffix":""},{"dropping-particle":"","family":"Sipaúba-Tavares","given":"Lúcia Helena","non-dropping-particle":"","parse-names":false,"suffix":""}],"container-title":"Water, Air, and Soil Pollution","id":"ITEM-1","issue":"3","issued":{"date-parts":[["2015"]]},"title":"Constructed wetland for treating effluent from subtropical aquaculture farm","type":"article-journal","volume":"226"},"uris":["http://www.mendeley.com/documents/?uuid=5dd02cc2-6f9f-4349-884c-d2423a9ca267"]}],"mendeley":{"formattedCitation":"(Travaini-Lima et al., 2015)","plainTextFormattedCitation":"(Travaini-Lima et al., 2015)","previouslyFormattedCitation":"(Travaini-Lima et al., 2015)"},"properties":{"noteIndex":0},"schema":"https://github.com/citation-style-language/schema/raw/master/csl-citation.json"}</w:instrText>
            </w:r>
            <w:r>
              <w:rPr>
                <w:rFonts w:asciiTheme="majorBidi" w:hAnsiTheme="majorBidi" w:cstheme="majorBidi"/>
                <w:bCs/>
                <w:sz w:val="20"/>
                <w:szCs w:val="20"/>
              </w:rPr>
              <w:fldChar w:fldCharType="separate"/>
            </w:r>
            <w:r w:rsidRPr="00F4604D">
              <w:rPr>
                <w:rFonts w:asciiTheme="majorBidi" w:hAnsiTheme="majorBidi" w:cstheme="majorBidi"/>
                <w:bCs/>
                <w:noProof/>
                <w:sz w:val="20"/>
                <w:szCs w:val="20"/>
              </w:rPr>
              <w:t>(Travaini-Lima et al., 2015)</w:t>
            </w:r>
            <w:r>
              <w:rPr>
                <w:rFonts w:asciiTheme="majorBidi" w:hAnsiTheme="majorBidi" w:cstheme="majorBidi"/>
                <w:bCs/>
                <w:sz w:val="20"/>
                <w:szCs w:val="20"/>
              </w:rPr>
              <w:fldChar w:fldCharType="end"/>
            </w: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Cd</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0.0002/0.0002</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33.0/85.0</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Cr</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0.0032/0.0275</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58.3/57.6</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Cu</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0.00157/0.007</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85.9/0.0</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Fe</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2.208/3.439</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96.9/68.1</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Ni</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0.197/0.277</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77.1/72.3</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proofErr w:type="spellStart"/>
            <w:r>
              <w:rPr>
                <w:rFonts w:asciiTheme="majorBidi" w:hAnsiTheme="majorBidi" w:cstheme="majorBidi"/>
                <w:bCs/>
                <w:sz w:val="20"/>
                <w:szCs w:val="20"/>
              </w:rPr>
              <w:t>Mn</w:t>
            </w:r>
            <w:proofErr w:type="spellEnd"/>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0.0063/0.062</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74.5/64.2</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proofErr w:type="spellStart"/>
            <w:r>
              <w:rPr>
                <w:rFonts w:asciiTheme="majorBidi" w:hAnsiTheme="majorBidi" w:cstheme="majorBidi"/>
                <w:bCs/>
                <w:sz w:val="20"/>
                <w:szCs w:val="20"/>
              </w:rPr>
              <w:t>Pb</w:t>
            </w:r>
            <w:proofErr w:type="spellEnd"/>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0.0061/0.059</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55.1/82.1</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68"/>
        </w:trPr>
        <w:tc>
          <w:tcPr>
            <w:tcW w:w="355" w:type="pct"/>
            <w:vMerge/>
            <w:vAlign w:val="center"/>
          </w:tcPr>
          <w:p w:rsidR="00263101" w:rsidRPr="00EB3F80" w:rsidRDefault="00263101" w:rsidP="00264DEF">
            <w:pPr>
              <w:jc w:val="center"/>
              <w:rPr>
                <w:rFonts w:asciiTheme="majorBidi" w:hAnsiTheme="majorBidi" w:cstheme="majorBidi"/>
                <w:bCs/>
                <w:sz w:val="20"/>
                <w:szCs w:val="20"/>
              </w:rPr>
            </w:pPr>
          </w:p>
        </w:tc>
        <w:tc>
          <w:tcPr>
            <w:tcW w:w="292" w:type="pct"/>
            <w:vMerge/>
            <w:vAlign w:val="center"/>
          </w:tcPr>
          <w:p w:rsidR="00263101" w:rsidRPr="00EB3F80" w:rsidRDefault="00263101" w:rsidP="00264DEF">
            <w:pPr>
              <w:jc w:val="center"/>
              <w:rPr>
                <w:rFonts w:asciiTheme="majorBidi" w:hAnsiTheme="majorBidi" w:cstheme="majorBidi"/>
                <w:bCs/>
                <w:sz w:val="20"/>
                <w:szCs w:val="20"/>
              </w:rPr>
            </w:pPr>
          </w:p>
        </w:tc>
        <w:tc>
          <w:tcPr>
            <w:tcW w:w="338" w:type="pct"/>
            <w:vMerge/>
            <w:vAlign w:val="center"/>
          </w:tcPr>
          <w:p w:rsidR="00263101" w:rsidRPr="00EB3F80" w:rsidRDefault="00263101" w:rsidP="00264DEF">
            <w:pPr>
              <w:jc w:val="center"/>
              <w:rPr>
                <w:rFonts w:asciiTheme="majorBidi" w:hAnsiTheme="majorBidi" w:cstheme="majorBidi"/>
                <w:bCs/>
                <w:sz w:val="20"/>
                <w:szCs w:val="20"/>
              </w:rPr>
            </w:pPr>
          </w:p>
        </w:tc>
        <w:tc>
          <w:tcPr>
            <w:tcW w:w="233" w:type="pct"/>
            <w:vMerge/>
            <w:vAlign w:val="center"/>
          </w:tcPr>
          <w:p w:rsidR="00263101" w:rsidRPr="00EB3F80" w:rsidRDefault="00263101" w:rsidP="00264DEF">
            <w:pPr>
              <w:jc w:val="center"/>
              <w:rPr>
                <w:rFonts w:asciiTheme="majorBidi" w:hAnsiTheme="majorBidi" w:cstheme="majorBidi"/>
                <w:bCs/>
                <w:sz w:val="20"/>
                <w:szCs w:val="20"/>
              </w:rPr>
            </w:pPr>
          </w:p>
        </w:tc>
        <w:tc>
          <w:tcPr>
            <w:tcW w:w="457" w:type="pct"/>
            <w:vMerge/>
            <w:vAlign w:val="center"/>
          </w:tcPr>
          <w:p w:rsidR="00263101" w:rsidRPr="00EB3F80" w:rsidRDefault="00263101" w:rsidP="00264DEF">
            <w:pPr>
              <w:jc w:val="center"/>
              <w:rPr>
                <w:rFonts w:asciiTheme="majorBidi" w:hAnsiTheme="majorBidi" w:cstheme="majorBidi"/>
                <w:bCs/>
                <w:sz w:val="20"/>
                <w:szCs w:val="20"/>
              </w:rPr>
            </w:pPr>
          </w:p>
        </w:tc>
        <w:tc>
          <w:tcPr>
            <w:tcW w:w="458" w:type="pct"/>
            <w:vMerge/>
            <w:vAlign w:val="center"/>
          </w:tcPr>
          <w:p w:rsidR="00263101" w:rsidRPr="00EB3F80" w:rsidRDefault="00263101" w:rsidP="00264DEF">
            <w:pPr>
              <w:jc w:val="center"/>
              <w:rPr>
                <w:rFonts w:asciiTheme="majorBidi" w:hAnsiTheme="majorBidi" w:cstheme="majorBidi"/>
                <w:bCs/>
                <w:sz w:val="20"/>
                <w:szCs w:val="20"/>
              </w:rPr>
            </w:pPr>
          </w:p>
        </w:tc>
        <w:tc>
          <w:tcPr>
            <w:tcW w:w="590" w:type="pct"/>
            <w:vMerge/>
            <w:vAlign w:val="center"/>
          </w:tcPr>
          <w:p w:rsidR="00263101" w:rsidRPr="00EB3F80" w:rsidRDefault="00263101" w:rsidP="00264DEF">
            <w:pPr>
              <w:jc w:val="center"/>
              <w:rPr>
                <w:rFonts w:asciiTheme="majorBidi" w:hAnsiTheme="majorBidi" w:cstheme="majorBidi"/>
                <w:bCs/>
                <w:i/>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70"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Zn</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0.053/0.07</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53.4/70.9</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684"/>
        </w:trPr>
        <w:tc>
          <w:tcPr>
            <w:tcW w:w="35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Full-scale</w:t>
            </w:r>
          </w:p>
        </w:tc>
        <w:tc>
          <w:tcPr>
            <w:tcW w:w="292"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43200</w:t>
            </w:r>
          </w:p>
        </w:tc>
        <w:tc>
          <w:tcPr>
            <w:tcW w:w="33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49.5-122.4 m</w:t>
            </w:r>
            <w:r w:rsidRPr="00F522F5">
              <w:rPr>
                <w:rFonts w:asciiTheme="majorBidi" w:hAnsiTheme="majorBidi" w:cstheme="majorBidi"/>
                <w:bCs/>
                <w:sz w:val="20"/>
                <w:szCs w:val="20"/>
                <w:vertAlign w:val="superscript"/>
              </w:rPr>
              <w:t>3</w:t>
            </w:r>
            <w:r>
              <w:rPr>
                <w:rFonts w:asciiTheme="majorBidi" w:hAnsiTheme="majorBidi" w:cstheme="majorBidi"/>
                <w:bCs/>
                <w:sz w:val="20"/>
                <w:szCs w:val="20"/>
              </w:rPr>
              <w:t>/h</w:t>
            </w:r>
          </w:p>
        </w:tc>
        <w:tc>
          <w:tcPr>
            <w:tcW w:w="2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0.9</w:t>
            </w:r>
          </w:p>
        </w:tc>
        <w:tc>
          <w:tcPr>
            <w:tcW w:w="457" w:type="pct"/>
            <w:vMerge w:val="restart"/>
            <w:vAlign w:val="center"/>
          </w:tcPr>
          <w:p w:rsidR="00263101" w:rsidRPr="000148D7"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1.0</w:t>
            </w:r>
          </w:p>
        </w:tc>
        <w:tc>
          <w:tcPr>
            <w:tcW w:w="45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0148D7">
              <w:rPr>
                <w:rFonts w:asciiTheme="majorBidi" w:hAnsiTheme="majorBidi" w:cstheme="majorBidi"/>
                <w:bCs/>
                <w:sz w:val="20"/>
                <w:szCs w:val="20"/>
              </w:rPr>
              <w:t>steel industry wastewater</w:t>
            </w:r>
          </w:p>
        </w:tc>
        <w:tc>
          <w:tcPr>
            <w:tcW w:w="590"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0148D7">
              <w:rPr>
                <w:rFonts w:asciiTheme="majorBidi" w:hAnsiTheme="majorBidi" w:cstheme="majorBidi"/>
                <w:bCs/>
                <w:i/>
                <w:sz w:val="20"/>
                <w:szCs w:val="20"/>
              </w:rPr>
              <w:t>Phragmites</w:t>
            </w:r>
            <w:proofErr w:type="spellEnd"/>
            <w:r w:rsidRPr="000148D7">
              <w:rPr>
                <w:rFonts w:asciiTheme="majorBidi" w:hAnsiTheme="majorBidi" w:cstheme="majorBidi"/>
                <w:bCs/>
                <w:i/>
                <w:sz w:val="20"/>
                <w:szCs w:val="20"/>
              </w:rPr>
              <w:t xml:space="preserve"> </w:t>
            </w:r>
            <w:proofErr w:type="spellStart"/>
            <w:r w:rsidRPr="000148D7">
              <w:rPr>
                <w:rFonts w:asciiTheme="majorBidi" w:hAnsiTheme="majorBidi" w:cstheme="majorBidi"/>
                <w:bCs/>
                <w:i/>
                <w:sz w:val="20"/>
                <w:szCs w:val="20"/>
              </w:rPr>
              <w:t>australis</w:t>
            </w:r>
            <w:proofErr w:type="spellEnd"/>
            <w:r w:rsidRPr="000148D7">
              <w:rPr>
                <w:rFonts w:asciiTheme="majorBidi" w:hAnsiTheme="majorBidi" w:cstheme="majorBidi"/>
                <w:bCs/>
                <w:i/>
                <w:sz w:val="20"/>
                <w:szCs w:val="20"/>
              </w:rPr>
              <w:t xml:space="preserve"> Cav., </w:t>
            </w:r>
            <w:proofErr w:type="spellStart"/>
            <w:r w:rsidRPr="000148D7">
              <w:rPr>
                <w:rFonts w:asciiTheme="majorBidi" w:hAnsiTheme="majorBidi" w:cstheme="majorBidi"/>
                <w:bCs/>
                <w:i/>
                <w:sz w:val="20"/>
                <w:szCs w:val="20"/>
              </w:rPr>
              <w:t>Typha</w:t>
            </w:r>
            <w:proofErr w:type="spellEnd"/>
            <w:r w:rsidRPr="000148D7">
              <w:rPr>
                <w:rFonts w:asciiTheme="majorBidi" w:hAnsiTheme="majorBidi" w:cstheme="majorBidi"/>
                <w:bCs/>
                <w:i/>
                <w:sz w:val="20"/>
                <w:szCs w:val="20"/>
              </w:rPr>
              <w:t xml:space="preserve"> </w:t>
            </w:r>
            <w:proofErr w:type="spellStart"/>
            <w:r w:rsidRPr="000148D7">
              <w:rPr>
                <w:rFonts w:asciiTheme="majorBidi" w:hAnsiTheme="majorBidi" w:cstheme="majorBidi"/>
                <w:bCs/>
                <w:i/>
                <w:sz w:val="20"/>
                <w:szCs w:val="20"/>
              </w:rPr>
              <w:t>angustifolia</w:t>
            </w:r>
            <w:proofErr w:type="spellEnd"/>
            <w:r w:rsidRPr="000148D7">
              <w:rPr>
                <w:rFonts w:asciiTheme="majorBidi" w:hAnsiTheme="majorBidi" w:cstheme="majorBidi"/>
                <w:bCs/>
                <w:i/>
                <w:sz w:val="20"/>
                <w:szCs w:val="20"/>
              </w:rPr>
              <w:t xml:space="preserve"> L</w:t>
            </w:r>
            <w:r>
              <w:rPr>
                <w:rFonts w:asciiTheme="majorBidi" w:hAnsiTheme="majorBidi" w:cstheme="majorBidi"/>
                <w:bCs/>
                <w:i/>
                <w:sz w:val="20"/>
                <w:szCs w:val="20"/>
              </w:rPr>
              <w:t xml:space="preserve">, </w:t>
            </w:r>
            <w:proofErr w:type="spellStart"/>
            <w:r w:rsidRPr="000148D7">
              <w:rPr>
                <w:rFonts w:asciiTheme="majorBidi" w:hAnsiTheme="majorBidi" w:cstheme="majorBidi"/>
                <w:bCs/>
                <w:i/>
                <w:sz w:val="20"/>
                <w:szCs w:val="20"/>
              </w:rPr>
              <w:t>Cyperus</w:t>
            </w:r>
            <w:proofErr w:type="spellEnd"/>
            <w:r w:rsidRPr="000148D7">
              <w:rPr>
                <w:rFonts w:asciiTheme="majorBidi" w:hAnsiTheme="majorBidi" w:cstheme="majorBidi"/>
                <w:bCs/>
                <w:i/>
                <w:sz w:val="20"/>
                <w:szCs w:val="20"/>
              </w:rPr>
              <w:t xml:space="preserve"> </w:t>
            </w:r>
            <w:proofErr w:type="spellStart"/>
            <w:r w:rsidRPr="000148D7">
              <w:rPr>
                <w:rFonts w:asciiTheme="majorBidi" w:hAnsiTheme="majorBidi" w:cstheme="majorBidi"/>
                <w:bCs/>
                <w:i/>
                <w:sz w:val="20"/>
                <w:szCs w:val="20"/>
              </w:rPr>
              <w:t>tegetiformis</w:t>
            </w:r>
            <w:proofErr w:type="spellEnd"/>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
        </w:tc>
        <w:tc>
          <w:tcPr>
            <w:tcW w:w="370" w:type="pct"/>
            <w:vAlign w:val="center"/>
          </w:tcPr>
          <w:p w:rsidR="00263101" w:rsidRPr="008D2830" w:rsidRDefault="00263101" w:rsidP="00264DEF">
            <w:pPr>
              <w:jc w:val="center"/>
              <w:rPr>
                <w:rFonts w:asciiTheme="majorBidi" w:hAnsiTheme="majorBidi" w:cstheme="majorBidi"/>
                <w:bCs/>
                <w:sz w:val="20"/>
                <w:szCs w:val="20"/>
              </w:rPr>
            </w:pPr>
            <w:proofErr w:type="spellStart"/>
            <w:r w:rsidRPr="008D2830">
              <w:rPr>
                <w:rFonts w:asciiTheme="majorBidi" w:hAnsiTheme="majorBidi" w:cstheme="majorBidi"/>
                <w:bCs/>
                <w:sz w:val="20"/>
                <w:szCs w:val="20"/>
              </w:rPr>
              <w:t>Mn</w:t>
            </w:r>
            <w:proofErr w:type="spellEnd"/>
          </w:p>
        </w:tc>
        <w:tc>
          <w:tcPr>
            <w:tcW w:w="457" w:type="pct"/>
            <w:vAlign w:val="center"/>
          </w:tcPr>
          <w:p w:rsidR="00263101" w:rsidRPr="008D2830" w:rsidRDefault="00263101" w:rsidP="00264DEF">
            <w:pPr>
              <w:jc w:val="center"/>
              <w:rPr>
                <w:rFonts w:asciiTheme="majorBidi" w:hAnsiTheme="majorBidi" w:cstheme="majorBidi"/>
                <w:bCs/>
                <w:sz w:val="20"/>
                <w:szCs w:val="20"/>
              </w:rPr>
            </w:pPr>
            <w:r w:rsidRPr="008D2830">
              <w:rPr>
                <w:rFonts w:asciiTheme="majorBidi" w:hAnsiTheme="majorBidi" w:cstheme="majorBidi"/>
                <w:bCs/>
                <w:sz w:val="20"/>
                <w:szCs w:val="20"/>
              </w:rPr>
              <w:t>0.43</w:t>
            </w:r>
          </w:p>
        </w:tc>
        <w:tc>
          <w:tcPr>
            <w:tcW w:w="371" w:type="pct"/>
            <w:vAlign w:val="center"/>
          </w:tcPr>
          <w:p w:rsidR="00263101" w:rsidRPr="008D2830" w:rsidRDefault="00263101" w:rsidP="00264DEF">
            <w:pPr>
              <w:jc w:val="center"/>
              <w:rPr>
                <w:rFonts w:asciiTheme="majorBidi" w:hAnsiTheme="majorBidi" w:cstheme="majorBidi"/>
                <w:bCs/>
                <w:sz w:val="20"/>
                <w:szCs w:val="20"/>
              </w:rPr>
            </w:pPr>
            <w:r w:rsidRPr="008D2830">
              <w:rPr>
                <w:rFonts w:asciiTheme="majorBidi" w:hAnsiTheme="majorBidi" w:cstheme="majorBidi"/>
                <w:bCs/>
                <w:sz w:val="20"/>
                <w:szCs w:val="20"/>
              </w:rPr>
              <w:t>&gt;60</w:t>
            </w:r>
          </w:p>
        </w:tc>
        <w:tc>
          <w:tcPr>
            <w:tcW w:w="37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B06686">
              <w:rPr>
                <w:rFonts w:asciiTheme="majorBidi" w:hAnsiTheme="majorBidi" w:cstheme="majorBidi"/>
                <w:bCs/>
                <w:sz w:val="20"/>
                <w:szCs w:val="20"/>
              </w:rPr>
              <w:t>Vietnam</w:t>
            </w:r>
          </w:p>
        </w:tc>
        <w:tc>
          <w:tcPr>
            <w:tcW w:w="37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fldChar w:fldCharType="begin" w:fldLock="1"/>
            </w:r>
            <w:r>
              <w:rPr>
                <w:rFonts w:asciiTheme="majorBidi" w:hAnsiTheme="majorBidi" w:cstheme="majorBidi"/>
                <w:bCs/>
                <w:sz w:val="20"/>
                <w:szCs w:val="20"/>
              </w:rPr>
              <w:instrText>ADDIN CSL_CITATION {"citationItems":[{"id":"ITEM-1","itemData":{"DOI":"10.2166/wst.2019.244","ISSN":"19969732","PMID":"31461422","abstract":"This paper presents the design of a constructed wetland (CW) system in an area with limited land availability, resulting in high hydraulic loads. The CW was constructed to act as a buffering/ polishing step after stabilization ponds for steel industry wastewater post-treatment. A pilot test with two different filter media (50–100 mm vs 40–60 mm diameter) indicated that a flow rate increase from 49.5 m3/h to 122.4 m3/h would lead to a head loss increase from 2.9 cm to 8.7 cm, and more than double that for the finer gravel. This was substantially higher than the calculated theoretical values, though the relation with flow rate was similar. Four full scale wetland cells (CW1, CW2, CW3 and CW4) were constructed using the coarser gravel. A design value of total head loss of 1.01 m over the total system length, with a design flow of 36,000 m3/day, was expected based on pilot test results. During the first operation year (September 2017 to July 2018), the pond-CW system has received wastewater already meeting required discharge standards. The effluent from the CWs had consistently lower concentrations of all measured variables, and met the predicted values for biochemical oxygen demand (BOD5), total nitrogen (TN) and NH4þ-N. Highest removal efficiencies were achieved for NH4þ-N (&gt;90%), Mn (&gt;60%) and Fe (45%) with removal efficiencies for TN (14%), BOD5 and chemical oxygen demand (COD) (around 30%). Concentrations of phenol, CN− and Cr6þ were below 10, 4 and 3 μg/l, respectively, in in- and outflows. An appreciated benefit of the wetland was the ‘green element’ in the industrial landscape.","author":[{"dropping-particle":"","family":"Nguyen","given":"Viet Anh","non-dropping-particle":"","parse-names":false,"suffix":""},{"dropping-particle":"","family":"Nguyen","given":"Minh Phuong","non-dropping-particle":"","parse-names":false,"suffix":""},{"dropping-particle":"","family":"Tonderski","given":"Karin","non-dropping-particle":"","parse-names":false,"suffix":""},{"dropping-particle":"Do","family":"Thi","given":"Hai","non-dropping-particle":"","parse-names":false,"suffix":""},{"dropping-particle":"","family":"Kim Bui","given":"Anh Thi","non-dropping-particle":"","parse-names":false,"suffix":""}],"container-title":"Water Science and Technology","id":"ITEM-1","issue":"1","issued":{"date-parts":[["2019"]]},"page":"59-66","title":"Design and performance of a coarse media, high hydraulic load polishing wetland for steel industry wastewater","type":"article-journal","volume":"80"},"uris":["http://www.mendeley.com/documents/?uuid=f2aa717d-485d-4100-9a9a-c711fcd20ea2"]}],"mendeley":{"formattedCitation":"(Nguyen et al., 2019)","plainTextFormattedCitation":"(Nguyen et al., 2019)","previouslyFormattedCitation":"(Nguyen et al., 2019)"},"properties":{"noteIndex":0},"schema":"https://github.com/citation-style-language/schema/raw/master/csl-citation.json"}</w:instrText>
            </w:r>
            <w:r>
              <w:rPr>
                <w:rFonts w:asciiTheme="majorBidi" w:hAnsiTheme="majorBidi" w:cstheme="majorBidi"/>
                <w:bCs/>
                <w:sz w:val="20"/>
                <w:szCs w:val="20"/>
              </w:rPr>
              <w:fldChar w:fldCharType="separate"/>
            </w:r>
            <w:r w:rsidRPr="00B06686">
              <w:rPr>
                <w:rFonts w:asciiTheme="majorBidi" w:hAnsiTheme="majorBidi" w:cstheme="majorBidi"/>
                <w:bCs/>
                <w:noProof/>
                <w:sz w:val="20"/>
                <w:szCs w:val="20"/>
              </w:rPr>
              <w:t>(Nguyen et al., 2019)</w:t>
            </w:r>
            <w:r>
              <w:rPr>
                <w:rFonts w:asciiTheme="majorBidi" w:hAnsiTheme="majorBidi" w:cstheme="majorBidi"/>
                <w:bCs/>
                <w:sz w:val="20"/>
                <w:szCs w:val="20"/>
              </w:rPr>
              <w:fldChar w:fldCharType="end"/>
            </w:r>
          </w:p>
        </w:tc>
      </w:tr>
      <w:tr w:rsidR="00263101" w:rsidRPr="00EB3F80" w:rsidTr="00264DEF">
        <w:trPr>
          <w:trHeight w:val="888"/>
        </w:trPr>
        <w:tc>
          <w:tcPr>
            <w:tcW w:w="355" w:type="pct"/>
            <w:vMerge/>
            <w:vAlign w:val="center"/>
          </w:tcPr>
          <w:p w:rsidR="00263101" w:rsidRPr="00EB3F80" w:rsidRDefault="00263101" w:rsidP="00264DEF">
            <w:pPr>
              <w:spacing w:before="240"/>
              <w:jc w:val="center"/>
              <w:rPr>
                <w:rFonts w:asciiTheme="majorBidi" w:hAnsiTheme="majorBidi" w:cstheme="majorBidi"/>
                <w:bCs/>
                <w:sz w:val="20"/>
                <w:szCs w:val="20"/>
              </w:rPr>
            </w:pPr>
          </w:p>
        </w:tc>
        <w:tc>
          <w:tcPr>
            <w:tcW w:w="292" w:type="pct"/>
            <w:vMerge/>
            <w:vAlign w:val="center"/>
          </w:tcPr>
          <w:p w:rsidR="00263101" w:rsidRDefault="00263101" w:rsidP="00264DEF">
            <w:pPr>
              <w:spacing w:before="240"/>
              <w:jc w:val="center"/>
              <w:rPr>
                <w:rFonts w:asciiTheme="majorBidi" w:hAnsiTheme="majorBidi" w:cstheme="majorBidi"/>
                <w:bCs/>
                <w:sz w:val="20"/>
                <w:szCs w:val="20"/>
              </w:rPr>
            </w:pPr>
          </w:p>
        </w:tc>
        <w:tc>
          <w:tcPr>
            <w:tcW w:w="338" w:type="pct"/>
            <w:vMerge/>
            <w:vAlign w:val="center"/>
          </w:tcPr>
          <w:p w:rsidR="00263101" w:rsidRDefault="00263101" w:rsidP="00264DEF">
            <w:pPr>
              <w:spacing w:before="240"/>
              <w:jc w:val="center"/>
              <w:rPr>
                <w:rFonts w:asciiTheme="majorBidi" w:hAnsiTheme="majorBidi" w:cstheme="majorBidi"/>
                <w:bCs/>
                <w:sz w:val="20"/>
                <w:szCs w:val="20"/>
              </w:rPr>
            </w:pPr>
          </w:p>
        </w:tc>
        <w:tc>
          <w:tcPr>
            <w:tcW w:w="233" w:type="pct"/>
            <w:vMerge/>
            <w:vAlign w:val="center"/>
          </w:tcPr>
          <w:p w:rsidR="00263101" w:rsidRDefault="00263101" w:rsidP="00264DEF">
            <w:pPr>
              <w:spacing w:before="240"/>
              <w:jc w:val="center"/>
              <w:rPr>
                <w:rFonts w:asciiTheme="majorBidi" w:hAnsiTheme="majorBidi" w:cstheme="majorBidi"/>
                <w:bCs/>
                <w:sz w:val="20"/>
                <w:szCs w:val="20"/>
              </w:rPr>
            </w:pPr>
          </w:p>
        </w:tc>
        <w:tc>
          <w:tcPr>
            <w:tcW w:w="457" w:type="pct"/>
            <w:vMerge/>
            <w:vAlign w:val="center"/>
          </w:tcPr>
          <w:p w:rsidR="00263101" w:rsidRPr="000148D7" w:rsidRDefault="00263101" w:rsidP="00264DEF">
            <w:pPr>
              <w:spacing w:before="240"/>
              <w:jc w:val="center"/>
              <w:rPr>
                <w:rFonts w:asciiTheme="majorBidi" w:hAnsiTheme="majorBidi" w:cstheme="majorBidi"/>
                <w:bCs/>
                <w:sz w:val="20"/>
                <w:szCs w:val="20"/>
              </w:rPr>
            </w:pPr>
          </w:p>
        </w:tc>
        <w:tc>
          <w:tcPr>
            <w:tcW w:w="458" w:type="pct"/>
            <w:vMerge/>
            <w:vAlign w:val="center"/>
          </w:tcPr>
          <w:p w:rsidR="00263101" w:rsidRPr="000148D7" w:rsidRDefault="00263101" w:rsidP="00264DEF">
            <w:pPr>
              <w:spacing w:before="240"/>
              <w:jc w:val="center"/>
              <w:rPr>
                <w:rFonts w:asciiTheme="majorBidi" w:hAnsiTheme="majorBidi" w:cstheme="majorBidi"/>
                <w:bCs/>
                <w:sz w:val="20"/>
                <w:szCs w:val="20"/>
              </w:rPr>
            </w:pPr>
          </w:p>
        </w:tc>
        <w:tc>
          <w:tcPr>
            <w:tcW w:w="590" w:type="pct"/>
            <w:vMerge/>
            <w:vAlign w:val="center"/>
          </w:tcPr>
          <w:p w:rsidR="00263101" w:rsidRPr="000148D7" w:rsidRDefault="00263101" w:rsidP="00264DEF">
            <w:pPr>
              <w:spacing w:before="240"/>
              <w:jc w:val="center"/>
              <w:rPr>
                <w:rFonts w:asciiTheme="majorBidi" w:hAnsiTheme="majorBidi" w:cstheme="majorBidi"/>
                <w:bCs/>
                <w:i/>
                <w:sz w:val="20"/>
                <w:szCs w:val="20"/>
              </w:rPr>
            </w:pPr>
          </w:p>
        </w:tc>
        <w:tc>
          <w:tcPr>
            <w:tcW w:w="329" w:type="pct"/>
            <w:vMerge/>
            <w:vAlign w:val="center"/>
          </w:tcPr>
          <w:p w:rsidR="00263101" w:rsidRPr="00EB3F80" w:rsidRDefault="00263101" w:rsidP="00264DEF">
            <w:pPr>
              <w:spacing w:before="240"/>
              <w:jc w:val="center"/>
              <w:rPr>
                <w:rFonts w:asciiTheme="majorBidi" w:hAnsiTheme="majorBidi" w:cstheme="majorBidi"/>
                <w:bCs/>
                <w:sz w:val="20"/>
                <w:szCs w:val="20"/>
              </w:rPr>
            </w:pPr>
          </w:p>
        </w:tc>
        <w:tc>
          <w:tcPr>
            <w:tcW w:w="370" w:type="pct"/>
            <w:vAlign w:val="center"/>
          </w:tcPr>
          <w:p w:rsidR="00263101" w:rsidRPr="008D2830" w:rsidRDefault="00263101" w:rsidP="00264DEF">
            <w:pPr>
              <w:jc w:val="center"/>
              <w:rPr>
                <w:rFonts w:asciiTheme="majorBidi" w:hAnsiTheme="majorBidi" w:cstheme="majorBidi"/>
                <w:bCs/>
                <w:sz w:val="20"/>
                <w:szCs w:val="20"/>
              </w:rPr>
            </w:pPr>
            <w:r w:rsidRPr="008D2830">
              <w:rPr>
                <w:rFonts w:asciiTheme="majorBidi" w:hAnsiTheme="majorBidi" w:cstheme="majorBidi"/>
                <w:bCs/>
                <w:sz w:val="20"/>
                <w:szCs w:val="20"/>
              </w:rPr>
              <w:t>Fe</w:t>
            </w:r>
          </w:p>
        </w:tc>
        <w:tc>
          <w:tcPr>
            <w:tcW w:w="457" w:type="pct"/>
            <w:vAlign w:val="center"/>
          </w:tcPr>
          <w:p w:rsidR="00263101" w:rsidRPr="008D2830" w:rsidRDefault="00263101" w:rsidP="00264DEF">
            <w:pPr>
              <w:jc w:val="center"/>
              <w:rPr>
                <w:rFonts w:asciiTheme="majorBidi" w:hAnsiTheme="majorBidi" w:cstheme="majorBidi"/>
                <w:bCs/>
                <w:sz w:val="20"/>
                <w:szCs w:val="20"/>
              </w:rPr>
            </w:pPr>
            <w:r w:rsidRPr="008D2830">
              <w:rPr>
                <w:rFonts w:asciiTheme="majorBidi" w:hAnsiTheme="majorBidi" w:cstheme="majorBidi"/>
                <w:bCs/>
                <w:sz w:val="20"/>
                <w:szCs w:val="20"/>
              </w:rPr>
              <w:t>0.33</w:t>
            </w:r>
          </w:p>
        </w:tc>
        <w:tc>
          <w:tcPr>
            <w:tcW w:w="371" w:type="pct"/>
            <w:vAlign w:val="center"/>
          </w:tcPr>
          <w:p w:rsidR="00263101" w:rsidRPr="008D2830" w:rsidRDefault="00263101" w:rsidP="00264DEF">
            <w:pPr>
              <w:jc w:val="center"/>
              <w:rPr>
                <w:rFonts w:asciiTheme="majorBidi" w:hAnsiTheme="majorBidi" w:cstheme="majorBidi"/>
                <w:bCs/>
                <w:sz w:val="20"/>
                <w:szCs w:val="20"/>
              </w:rPr>
            </w:pPr>
            <w:r w:rsidRPr="008D2830">
              <w:rPr>
                <w:rFonts w:asciiTheme="majorBidi" w:hAnsiTheme="majorBidi" w:cstheme="majorBidi"/>
                <w:bCs/>
                <w:sz w:val="20"/>
                <w:szCs w:val="20"/>
              </w:rPr>
              <w:t>&gt;45</w:t>
            </w:r>
          </w:p>
        </w:tc>
        <w:tc>
          <w:tcPr>
            <w:tcW w:w="374" w:type="pct"/>
            <w:vMerge/>
            <w:vAlign w:val="center"/>
          </w:tcPr>
          <w:p w:rsidR="00263101" w:rsidRPr="00EB3F80" w:rsidRDefault="00263101" w:rsidP="00264DEF">
            <w:pPr>
              <w:jc w:val="center"/>
              <w:rPr>
                <w:rFonts w:asciiTheme="majorBidi" w:hAnsiTheme="majorBidi" w:cstheme="majorBidi"/>
                <w:bCs/>
                <w:sz w:val="20"/>
                <w:szCs w:val="20"/>
              </w:rPr>
            </w:pPr>
          </w:p>
        </w:tc>
        <w:tc>
          <w:tcPr>
            <w:tcW w:w="37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92"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0.18</w:t>
            </w:r>
          </w:p>
        </w:tc>
        <w:tc>
          <w:tcPr>
            <w:tcW w:w="338"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933168">
              <w:rPr>
                <w:rFonts w:asciiTheme="majorBidi" w:hAnsiTheme="majorBidi" w:cstheme="majorBidi"/>
                <w:bCs/>
                <w:sz w:val="20"/>
                <w:szCs w:val="20"/>
              </w:rPr>
              <w:t>0.06</w:t>
            </w:r>
          </w:p>
        </w:tc>
        <w:tc>
          <w:tcPr>
            <w:tcW w:w="233"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7</w:t>
            </w:r>
          </w:p>
        </w:tc>
        <w:tc>
          <w:tcPr>
            <w:tcW w:w="457" w:type="pct"/>
            <w:vMerge w:val="restart"/>
            <w:tcBorders>
              <w:bottom w:val="single" w:sz="4" w:space="0" w:color="auto"/>
            </w:tcBorders>
            <w:vAlign w:val="center"/>
          </w:tcPr>
          <w:p w:rsidR="00263101" w:rsidRPr="00F5774D"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0.35</w:t>
            </w:r>
          </w:p>
        </w:tc>
        <w:tc>
          <w:tcPr>
            <w:tcW w:w="458"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F5774D">
              <w:rPr>
                <w:rFonts w:asciiTheme="majorBidi" w:hAnsiTheme="majorBidi" w:cstheme="majorBidi"/>
                <w:bCs/>
                <w:sz w:val="20"/>
                <w:szCs w:val="20"/>
              </w:rPr>
              <w:t>Domestic Wastewaters</w:t>
            </w:r>
          </w:p>
        </w:tc>
        <w:tc>
          <w:tcPr>
            <w:tcW w:w="590"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roofErr w:type="spellStart"/>
            <w:r w:rsidRPr="00394223">
              <w:rPr>
                <w:rFonts w:asciiTheme="majorBidi" w:hAnsiTheme="majorBidi" w:cstheme="majorBidi"/>
                <w:bCs/>
                <w:i/>
                <w:sz w:val="20"/>
                <w:szCs w:val="20"/>
              </w:rPr>
              <w:t>Azolla</w:t>
            </w:r>
            <w:proofErr w:type="spellEnd"/>
            <w:r w:rsidRPr="00394223">
              <w:rPr>
                <w:rFonts w:asciiTheme="majorBidi" w:hAnsiTheme="majorBidi" w:cstheme="majorBidi"/>
                <w:bCs/>
                <w:i/>
                <w:sz w:val="20"/>
                <w:szCs w:val="20"/>
              </w:rPr>
              <w:t xml:space="preserve"> </w:t>
            </w:r>
            <w:proofErr w:type="spellStart"/>
            <w:r w:rsidRPr="00394223">
              <w:rPr>
                <w:rFonts w:asciiTheme="majorBidi" w:hAnsiTheme="majorBidi" w:cstheme="majorBidi"/>
                <w:bCs/>
                <w:i/>
                <w:sz w:val="20"/>
                <w:szCs w:val="20"/>
              </w:rPr>
              <w:t>pinnata</w:t>
            </w:r>
            <w:proofErr w:type="spellEnd"/>
          </w:p>
        </w:tc>
        <w:tc>
          <w:tcPr>
            <w:tcW w:w="329"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394223">
              <w:rPr>
                <w:rFonts w:asciiTheme="majorBidi" w:hAnsiTheme="majorBidi" w:cstheme="majorBidi"/>
                <w:bCs/>
                <w:sz w:val="20"/>
                <w:szCs w:val="20"/>
              </w:rPr>
              <w:t>dry and wet</w:t>
            </w:r>
            <w:r>
              <w:rPr>
                <w:rFonts w:asciiTheme="majorBidi" w:hAnsiTheme="majorBidi" w:cstheme="majorBidi"/>
                <w:bCs/>
                <w:sz w:val="20"/>
                <w:szCs w:val="20"/>
              </w:rPr>
              <w:t xml:space="preserve"> seasons</w:t>
            </w:r>
          </w:p>
        </w:tc>
        <w:tc>
          <w:tcPr>
            <w:tcW w:w="370" w:type="pct"/>
            <w:vAlign w:val="center"/>
          </w:tcPr>
          <w:p w:rsidR="00263101" w:rsidRPr="00EB3F80" w:rsidRDefault="00263101" w:rsidP="00264DEF">
            <w:pPr>
              <w:jc w:val="center"/>
              <w:rPr>
                <w:rFonts w:asciiTheme="majorBidi" w:hAnsiTheme="majorBidi" w:cstheme="majorBidi"/>
                <w:bCs/>
                <w:sz w:val="20"/>
                <w:szCs w:val="20"/>
              </w:rPr>
            </w:pPr>
            <w:r w:rsidRPr="00394223">
              <w:rPr>
                <w:rFonts w:asciiTheme="majorBidi" w:hAnsiTheme="majorBidi" w:cstheme="majorBidi"/>
                <w:bCs/>
                <w:sz w:val="20"/>
                <w:szCs w:val="20"/>
              </w:rPr>
              <w:t>Zn</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11.276.34</w:t>
            </w:r>
          </w:p>
        </w:tc>
        <w:tc>
          <w:tcPr>
            <w:tcW w:w="371"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17.5/20.8</w:t>
            </w:r>
          </w:p>
        </w:tc>
        <w:tc>
          <w:tcPr>
            <w:tcW w:w="374"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F5774D">
              <w:rPr>
                <w:rFonts w:asciiTheme="majorBidi" w:hAnsiTheme="majorBidi" w:cstheme="majorBidi"/>
                <w:bCs/>
                <w:sz w:val="20"/>
                <w:szCs w:val="20"/>
              </w:rPr>
              <w:t>Malaysia</w:t>
            </w:r>
          </w:p>
        </w:tc>
        <w:tc>
          <w:tcPr>
            <w:tcW w:w="376" w:type="pct"/>
            <w:vMerge w:val="restar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fldChar w:fldCharType="begin" w:fldLock="1"/>
            </w:r>
            <w:r>
              <w:rPr>
                <w:rFonts w:asciiTheme="majorBidi" w:hAnsiTheme="majorBidi" w:cstheme="majorBidi"/>
                <w:bCs/>
                <w:sz w:val="20"/>
                <w:szCs w:val="20"/>
              </w:rPr>
              <w:instrText>ADDIN CSL_CITATION {"citationItems":[{"id":"ITEM-1","itemData":{"DOI":"10.1080/15226514.2015.1058330","ISSN":"15497879","PMID":"26121232","abstract":"Two constructed wetlands, one with Azolla pinnata plant (CW1) and the other without (CW2) for treating domestic wastewaters were developed. Fifteen water parameters which include: Dissolved Oxygen (DO), Biochemical Oxygen Demand (BOD5), Chemical Oxygen Demand (COD), Total Suspended Solid (TSS), Total Phosphorus (TP), Total Nitrogen (TN), Ammoniacal Nitrogen (NH3N), Turbidity, pH, Electrical Conductivity (EC), Iron (Fe), Magnesium (Mg), Manganese (Mn), and heavy metals such as Lead (Pb) and Zinc (Zn) were analyzed using standard laboratory procedures. The experiments were conducted in two (dry and wet) seasons simultaneously. Results showed considerable reductions in all parameters and metals including Zn in CW1 compared with CW2 in the two seasons considered while Pb and Mn were not detected throughout the study. Zn concentration levels reduced significantly in both seasons just as removal efficiencies of 70.03% and 64.51% were recorded for CW1 while 35.17% and 33.45% were recorded for CW2 in both seasons. There were no significant differences in the removal efficiencies of Fe in both seasons as 99.55%, 59.09%, 88.89%, and 53.56% were recorded in CW1 and CW2 respectively. Azolla pinnata has proved effective in domestic wastewater phytoremediation studies.","author":[{"dropping-particle":"","family":"Akinbile","given":"Christopher O.","non-dropping-particle":"","parse-names":false,"suffix":""},{"dropping-particle":"","family":"Ogunrinde","given":"Temitope A.","non-dropping-particle":"","parse-names":false,"suffix":""},{"dropping-particle":"","family":"Che bt Man","given":"Hasfalina","non-dropping-particle":"","parse-names":false,"suffix":""},{"dropping-particle":"","family":"Aziz","given":"Hamidi Abdul","non-dropping-particle":"","parse-names":false,"suffix":""}],"container-title":"International Journal of Phytoremediation","id":"ITEM-1","issue":"1","issued":{"date-parts":[["2016"]]},"page":"54-61","title":"Phytoremediation of domestic wastewaters in free water surface constructed wetlands using Azolla pinnata","type":"article-journal","volume":"18"},"uris":["http://www.mendeley.com/documents/?uuid=be16103c-2243-4268-b431-d7c6c8d06969"]}],"mendeley":{"formattedCitation":"(Akinbile et al., 2016)","plainTextFormattedCitation":"(Akinbile et al., 2016)","previouslyFormattedCitation":"(Akinbile et al., 2016)"},"properties":{"noteIndex":0},"schema":"https://github.com/citation-style-language/schema/raw/master/csl-citation.json"}</w:instrText>
            </w:r>
            <w:r>
              <w:rPr>
                <w:rFonts w:asciiTheme="majorBidi" w:hAnsiTheme="majorBidi" w:cstheme="majorBidi"/>
                <w:bCs/>
                <w:sz w:val="20"/>
                <w:szCs w:val="20"/>
              </w:rPr>
              <w:fldChar w:fldCharType="separate"/>
            </w:r>
            <w:r w:rsidRPr="00F5774D">
              <w:rPr>
                <w:rFonts w:asciiTheme="majorBidi" w:hAnsiTheme="majorBidi" w:cstheme="majorBidi"/>
                <w:bCs/>
                <w:noProof/>
                <w:sz w:val="20"/>
                <w:szCs w:val="20"/>
              </w:rPr>
              <w:t>(Akinbile et al., 2016)</w:t>
            </w:r>
            <w:r>
              <w:rPr>
                <w:rFonts w:asciiTheme="majorBidi" w:hAnsiTheme="majorBidi" w:cstheme="majorBidi"/>
                <w:bCs/>
                <w:sz w:val="20"/>
                <w:szCs w:val="20"/>
              </w:rPr>
              <w:fldChar w:fldCharType="end"/>
            </w:r>
          </w:p>
        </w:tc>
      </w:tr>
      <w:tr w:rsidR="00263101" w:rsidRPr="00EB3F80" w:rsidTr="00264DEF">
        <w:trPr>
          <w:trHeight w:val="20"/>
        </w:trPr>
        <w:tc>
          <w:tcPr>
            <w:tcW w:w="35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92"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3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3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57"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5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90" w:type="pct"/>
            <w:vMerge/>
            <w:tcBorders>
              <w:bottom w:val="single" w:sz="4" w:space="0" w:color="auto"/>
            </w:tcBorders>
            <w:vAlign w:val="center"/>
          </w:tcPr>
          <w:p w:rsidR="00263101" w:rsidRPr="00394223" w:rsidRDefault="00263101" w:rsidP="00264DEF">
            <w:pPr>
              <w:jc w:val="center"/>
              <w:rPr>
                <w:rFonts w:asciiTheme="majorBidi" w:hAnsiTheme="majorBidi" w:cstheme="majorBidi"/>
                <w:bCs/>
                <w:i/>
                <w:sz w:val="20"/>
                <w:szCs w:val="20"/>
              </w:rPr>
            </w:pPr>
          </w:p>
        </w:tc>
        <w:tc>
          <w:tcPr>
            <w:tcW w:w="329" w:type="pct"/>
            <w:vMerge/>
            <w:tcBorders>
              <w:top w:val="single" w:sz="4" w:space="0" w:color="auto"/>
            </w:tcBorders>
            <w:vAlign w:val="center"/>
          </w:tcPr>
          <w:p w:rsidR="00263101" w:rsidRPr="00394223" w:rsidRDefault="00263101" w:rsidP="00264DEF">
            <w:pPr>
              <w:jc w:val="center"/>
              <w:rPr>
                <w:rFonts w:asciiTheme="majorBidi" w:hAnsiTheme="majorBidi" w:cstheme="majorBidi"/>
                <w:bCs/>
                <w:sz w:val="20"/>
                <w:szCs w:val="20"/>
              </w:rPr>
            </w:pPr>
          </w:p>
        </w:tc>
        <w:tc>
          <w:tcPr>
            <w:tcW w:w="370" w:type="pct"/>
            <w:vAlign w:val="center"/>
          </w:tcPr>
          <w:p w:rsidR="00263101" w:rsidRPr="00394223"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Fe</w:t>
            </w:r>
          </w:p>
        </w:tc>
        <w:tc>
          <w:tcPr>
            <w:tcW w:w="457"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2.2/4.3</w:t>
            </w:r>
          </w:p>
        </w:tc>
        <w:tc>
          <w:tcPr>
            <w:tcW w:w="371" w:type="pct"/>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54.1/20.0</w:t>
            </w:r>
          </w:p>
        </w:tc>
        <w:tc>
          <w:tcPr>
            <w:tcW w:w="374"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7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5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92"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3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3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57"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5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90" w:type="pct"/>
            <w:vMerge/>
            <w:tcBorders>
              <w:bottom w:val="single" w:sz="4" w:space="0" w:color="auto"/>
            </w:tcBorders>
            <w:vAlign w:val="center"/>
          </w:tcPr>
          <w:p w:rsidR="00263101" w:rsidRPr="00394223" w:rsidRDefault="00263101" w:rsidP="00264DEF">
            <w:pPr>
              <w:jc w:val="center"/>
              <w:rPr>
                <w:rFonts w:asciiTheme="majorBidi" w:hAnsiTheme="majorBidi" w:cstheme="majorBidi"/>
                <w:bCs/>
                <w:i/>
                <w:sz w:val="20"/>
                <w:szCs w:val="20"/>
              </w:rPr>
            </w:pPr>
          </w:p>
        </w:tc>
        <w:tc>
          <w:tcPr>
            <w:tcW w:w="329" w:type="pct"/>
            <w:vMerge/>
            <w:tcBorders>
              <w:bottom w:val="single" w:sz="4" w:space="0" w:color="auto"/>
            </w:tcBorders>
            <w:vAlign w:val="center"/>
          </w:tcPr>
          <w:p w:rsidR="00263101" w:rsidRPr="00394223" w:rsidRDefault="00263101" w:rsidP="00264DEF">
            <w:pPr>
              <w:jc w:val="center"/>
              <w:rPr>
                <w:rFonts w:asciiTheme="majorBidi" w:hAnsiTheme="majorBidi" w:cstheme="majorBidi"/>
                <w:bCs/>
                <w:sz w:val="20"/>
                <w:szCs w:val="20"/>
              </w:rPr>
            </w:pPr>
          </w:p>
        </w:tc>
        <w:tc>
          <w:tcPr>
            <w:tcW w:w="370" w:type="pct"/>
            <w:tcBorders>
              <w:bottom w:val="single" w:sz="4" w:space="0" w:color="auto"/>
            </w:tcBorders>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Mg</w:t>
            </w:r>
          </w:p>
        </w:tc>
        <w:tc>
          <w:tcPr>
            <w:tcW w:w="457" w:type="pct"/>
            <w:tcBorders>
              <w:bottom w:val="single" w:sz="4" w:space="0" w:color="auto"/>
            </w:tcBorders>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26.5/6.15</w:t>
            </w:r>
          </w:p>
        </w:tc>
        <w:tc>
          <w:tcPr>
            <w:tcW w:w="371" w:type="pct"/>
            <w:tcBorders>
              <w:bottom w:val="single" w:sz="4" w:space="0" w:color="auto"/>
            </w:tcBorders>
            <w:vAlign w:val="center"/>
          </w:tcPr>
          <w:p w:rsidR="00263101"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11.6/7.05</w:t>
            </w:r>
          </w:p>
        </w:tc>
        <w:tc>
          <w:tcPr>
            <w:tcW w:w="374"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7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r>
    </w:tbl>
    <w:p w:rsidR="00263101" w:rsidRPr="00A249D9" w:rsidRDefault="00263101" w:rsidP="00263101">
      <w:pPr>
        <w:rPr>
          <w:rFonts w:asciiTheme="majorBidi" w:hAnsiTheme="majorBidi" w:cstheme="majorBidi"/>
        </w:rPr>
      </w:pPr>
      <w:r>
        <w:rPr>
          <w:rFonts w:asciiTheme="majorBidi" w:hAnsiTheme="majorBidi" w:cstheme="majorBidi"/>
          <w:sz w:val="20"/>
          <w:szCs w:val="20"/>
        </w:rPr>
        <w:t xml:space="preserve">Note: </w:t>
      </w:r>
      <w:proofErr w:type="spellStart"/>
      <w:r>
        <w:rPr>
          <w:rFonts w:asciiTheme="majorBidi" w:hAnsiTheme="majorBidi" w:cstheme="majorBidi"/>
          <w:sz w:val="20"/>
          <w:szCs w:val="20"/>
        </w:rPr>
        <w:t>TC</w:t>
      </w:r>
      <w:r w:rsidRPr="00A249D9">
        <w:rPr>
          <w:rFonts w:asciiTheme="majorBidi" w:hAnsiTheme="majorBidi" w:cstheme="majorBidi"/>
          <w:sz w:val="20"/>
          <w:szCs w:val="20"/>
        </w:rPr>
        <w:t>u</w:t>
      </w:r>
      <w:proofErr w:type="spellEnd"/>
      <w:r w:rsidRPr="00A249D9">
        <w:rPr>
          <w:rFonts w:asciiTheme="majorBidi" w:hAnsiTheme="majorBidi" w:cstheme="majorBidi"/>
          <w:sz w:val="20"/>
          <w:szCs w:val="20"/>
        </w:rPr>
        <w:t xml:space="preserve">: means total Cu; </w:t>
      </w:r>
      <w:proofErr w:type="spellStart"/>
      <w:r w:rsidRPr="00A249D9">
        <w:rPr>
          <w:rFonts w:asciiTheme="majorBidi" w:hAnsiTheme="majorBidi" w:cstheme="majorBidi"/>
          <w:sz w:val="20"/>
          <w:szCs w:val="20"/>
        </w:rPr>
        <w:t>Tzn</w:t>
      </w:r>
      <w:proofErr w:type="spellEnd"/>
      <w:r w:rsidRPr="00A249D9">
        <w:rPr>
          <w:rFonts w:asciiTheme="majorBidi" w:hAnsiTheme="majorBidi" w:cstheme="majorBidi"/>
          <w:sz w:val="20"/>
          <w:szCs w:val="20"/>
        </w:rPr>
        <w:t xml:space="preserve"> means Total Zn</w:t>
      </w:r>
    </w:p>
    <w:p w:rsidR="00263101" w:rsidRPr="00E46013" w:rsidRDefault="00263101" w:rsidP="00263101">
      <w:pPr>
        <w:spacing w:after="0" w:line="480" w:lineRule="auto"/>
        <w:rPr>
          <w:rFonts w:asciiTheme="majorBidi" w:hAnsiTheme="majorBidi" w:cstheme="majorBidi"/>
          <w:bCs/>
          <w:sz w:val="24"/>
          <w:szCs w:val="24"/>
        </w:rPr>
      </w:pPr>
      <w:r>
        <w:rPr>
          <w:rFonts w:asciiTheme="majorBidi" w:hAnsiTheme="majorBidi" w:cstheme="majorBidi"/>
          <w:bCs/>
          <w:sz w:val="24"/>
          <w:szCs w:val="24"/>
        </w:rPr>
        <w:lastRenderedPageBreak/>
        <w:t xml:space="preserve">Table </w:t>
      </w:r>
      <w:r>
        <w:rPr>
          <w:rFonts w:asciiTheme="majorBidi" w:hAnsiTheme="majorBidi" w:cstheme="majorBidi"/>
          <w:bCs/>
          <w:sz w:val="24"/>
          <w:szCs w:val="24"/>
        </w:rPr>
        <w:t xml:space="preserve">SI </w:t>
      </w:r>
      <w:r>
        <w:rPr>
          <w:rFonts w:asciiTheme="majorBidi" w:hAnsiTheme="majorBidi" w:cstheme="majorBidi"/>
          <w:bCs/>
          <w:sz w:val="24"/>
          <w:szCs w:val="24"/>
        </w:rPr>
        <w:t>3.</w:t>
      </w:r>
      <w:r w:rsidRPr="000777EA">
        <w:rPr>
          <w:rFonts w:asciiTheme="majorBidi" w:hAnsiTheme="majorBidi" w:cstheme="majorBidi"/>
          <w:bCs/>
          <w:sz w:val="24"/>
          <w:szCs w:val="24"/>
        </w:rPr>
        <w:t xml:space="preserve"> </w:t>
      </w:r>
      <w:r>
        <w:rPr>
          <w:rFonts w:asciiTheme="majorBidi" w:hAnsiTheme="majorBidi" w:cstheme="majorBidi"/>
          <w:bCs/>
          <w:sz w:val="24"/>
          <w:szCs w:val="24"/>
        </w:rPr>
        <w:t>FWSCWs performances for removing a</w:t>
      </w:r>
      <w:r w:rsidRPr="00E46013">
        <w:rPr>
          <w:rFonts w:asciiTheme="majorBidi" w:hAnsiTheme="majorBidi" w:cstheme="majorBidi"/>
          <w:bCs/>
          <w:sz w:val="24"/>
          <w:szCs w:val="24"/>
        </w:rPr>
        <w:t>ntibiotics</w:t>
      </w:r>
      <w:r>
        <w:rPr>
          <w:rFonts w:asciiTheme="majorBidi" w:hAnsiTheme="majorBidi" w:cstheme="majorBidi"/>
          <w:bCs/>
          <w:sz w:val="24"/>
          <w:szCs w:val="24"/>
        </w:rPr>
        <w:t xml:space="preserve"> from different wastewater sources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5"/>
        <w:gridCol w:w="796"/>
        <w:gridCol w:w="918"/>
        <w:gridCol w:w="902"/>
        <w:gridCol w:w="1393"/>
        <w:gridCol w:w="1393"/>
        <w:gridCol w:w="1147"/>
        <w:gridCol w:w="768"/>
        <w:gridCol w:w="1533"/>
        <w:gridCol w:w="1245"/>
        <w:gridCol w:w="860"/>
        <w:gridCol w:w="1016"/>
        <w:gridCol w:w="1022"/>
      </w:tblGrid>
      <w:tr w:rsidR="00263101" w:rsidRPr="00EB3F80" w:rsidTr="00264DEF">
        <w:trPr>
          <w:trHeight w:val="20"/>
        </w:trPr>
        <w:tc>
          <w:tcPr>
            <w:tcW w:w="346"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System Scale</w:t>
            </w:r>
          </w:p>
        </w:tc>
        <w:tc>
          <w:tcPr>
            <w:tcW w:w="285"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Area (m²)</w:t>
            </w:r>
          </w:p>
        </w:tc>
        <w:tc>
          <w:tcPr>
            <w:tcW w:w="329"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Capacity (m³/day)</w:t>
            </w:r>
          </w:p>
        </w:tc>
        <w:tc>
          <w:tcPr>
            <w:tcW w:w="323"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HRT</w:t>
            </w:r>
          </w:p>
        </w:tc>
        <w:tc>
          <w:tcPr>
            <w:tcW w:w="499" w:type="pct"/>
            <w:vMerge w:val="restart"/>
            <w:tcBorders>
              <w:top w:val="single" w:sz="4" w:space="0" w:color="auto"/>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Depth (m)</w:t>
            </w:r>
          </w:p>
        </w:tc>
        <w:tc>
          <w:tcPr>
            <w:tcW w:w="499" w:type="pct"/>
            <w:vMerge w:val="restart"/>
            <w:tcBorders>
              <w:top w:val="single" w:sz="4" w:space="0" w:color="auto"/>
              <w:bottom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Wastewater type</w:t>
            </w:r>
          </w:p>
        </w:tc>
        <w:tc>
          <w:tcPr>
            <w:tcW w:w="411"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Vegetation</w:t>
            </w:r>
          </w:p>
        </w:tc>
        <w:tc>
          <w:tcPr>
            <w:tcW w:w="275"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Tem</w:t>
            </w:r>
            <w:r>
              <w:rPr>
                <w:rFonts w:asciiTheme="majorBidi" w:hAnsiTheme="majorBidi" w:cstheme="majorBidi"/>
                <w:b/>
                <w:sz w:val="20"/>
                <w:szCs w:val="20"/>
              </w:rPr>
              <w:t>p</w:t>
            </w:r>
            <w:r w:rsidRPr="00F523EB">
              <w:rPr>
                <w:rFonts w:asciiTheme="majorBidi" w:hAnsiTheme="majorBidi" w:cstheme="majorBidi"/>
                <w:b/>
                <w:sz w:val="20"/>
                <w:szCs w:val="20"/>
              </w:rPr>
              <w:t xml:space="preserve"> ( ºC)</w:t>
            </w:r>
          </w:p>
        </w:tc>
        <w:tc>
          <w:tcPr>
            <w:tcW w:w="1303" w:type="pct"/>
            <w:gridSpan w:val="3"/>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Pollutants removal (%)</w:t>
            </w:r>
          </w:p>
        </w:tc>
        <w:tc>
          <w:tcPr>
            <w:tcW w:w="364"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Country</w:t>
            </w:r>
          </w:p>
        </w:tc>
        <w:tc>
          <w:tcPr>
            <w:tcW w:w="366" w:type="pct"/>
            <w:vMerge w:val="restar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 xml:space="preserve">References </w:t>
            </w:r>
          </w:p>
        </w:tc>
      </w:tr>
      <w:tr w:rsidR="00263101" w:rsidRPr="00EB3F80" w:rsidTr="00264DEF">
        <w:trPr>
          <w:trHeight w:val="20"/>
        </w:trPr>
        <w:tc>
          <w:tcPr>
            <w:tcW w:w="34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8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2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2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99" w:type="pct"/>
            <w:vMerge/>
            <w:tcBorders>
              <w:bottom w:val="single" w:sz="4" w:space="0" w:color="auto"/>
            </w:tcBorders>
          </w:tcPr>
          <w:p w:rsidR="00263101" w:rsidRPr="00EB3F80" w:rsidRDefault="00263101" w:rsidP="00264DEF">
            <w:pPr>
              <w:jc w:val="center"/>
              <w:rPr>
                <w:rFonts w:asciiTheme="majorBidi" w:eastAsia="宋体" w:hAnsiTheme="majorBidi" w:cstheme="majorBidi"/>
                <w:bCs/>
                <w:color w:val="000000" w:themeColor="text1"/>
                <w:sz w:val="20"/>
                <w:szCs w:val="20"/>
              </w:rPr>
            </w:pPr>
          </w:p>
        </w:tc>
        <w:tc>
          <w:tcPr>
            <w:tcW w:w="499" w:type="pct"/>
            <w:vMerge/>
            <w:tcBorders>
              <w:bottom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p>
        </w:tc>
        <w:tc>
          <w:tcPr>
            <w:tcW w:w="411" w:type="pct"/>
            <w:vMerge/>
            <w:tcBorders>
              <w:bottom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
        </w:tc>
        <w:tc>
          <w:tcPr>
            <w:tcW w:w="27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49" w:type="pc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Parameter</w:t>
            </w:r>
          </w:p>
        </w:tc>
        <w:tc>
          <w:tcPr>
            <w:tcW w:w="446" w:type="pc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Initial Concentration (</w:t>
            </w:r>
            <w:r>
              <w:rPr>
                <w:rFonts w:asciiTheme="majorBidi" w:hAnsiTheme="majorBidi" w:cstheme="majorBidi"/>
                <w:b/>
                <w:sz w:val="20"/>
                <w:szCs w:val="20"/>
              </w:rPr>
              <w:t>µ</w:t>
            </w:r>
            <w:r w:rsidRPr="00F523EB">
              <w:rPr>
                <w:rFonts w:asciiTheme="majorBidi" w:hAnsiTheme="majorBidi" w:cstheme="majorBidi"/>
                <w:b/>
                <w:sz w:val="20"/>
                <w:szCs w:val="20"/>
              </w:rPr>
              <w:t>g/L)</w:t>
            </w:r>
          </w:p>
        </w:tc>
        <w:tc>
          <w:tcPr>
            <w:tcW w:w="308" w:type="pct"/>
            <w:tcBorders>
              <w:top w:val="single" w:sz="4" w:space="0" w:color="auto"/>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Removal%</w:t>
            </w:r>
          </w:p>
        </w:tc>
        <w:tc>
          <w:tcPr>
            <w:tcW w:w="364" w:type="pct"/>
            <w:vMerge/>
            <w:tcBorders>
              <w:top w:val="single" w:sz="4" w:space="0" w:color="auto"/>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66" w:type="pct"/>
            <w:vMerge/>
            <w:tcBorders>
              <w:top w:val="single" w:sz="4" w:space="0" w:color="auto"/>
              <w:bottom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p>
        </w:tc>
      </w:tr>
      <w:tr w:rsidR="00263101" w:rsidRPr="00EB3F80" w:rsidTr="00264DEF">
        <w:trPr>
          <w:trHeight w:val="20"/>
        </w:trPr>
        <w:tc>
          <w:tcPr>
            <w:tcW w:w="346"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85"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w:t>
            </w:r>
          </w:p>
        </w:tc>
        <w:tc>
          <w:tcPr>
            <w:tcW w:w="329"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2cm/d</w:t>
            </w:r>
          </w:p>
        </w:tc>
        <w:tc>
          <w:tcPr>
            <w:tcW w:w="323"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14</w:t>
            </w:r>
          </w:p>
        </w:tc>
        <w:tc>
          <w:tcPr>
            <w:tcW w:w="499" w:type="pct"/>
            <w:vMerge w:val="restart"/>
            <w:tcBorders>
              <w:top w:val="single" w:sz="4" w:space="0" w:color="auto"/>
            </w:tcBorders>
          </w:tcPr>
          <w:p w:rsidR="00263101" w:rsidRPr="00EB3F80" w:rsidRDefault="00263101" w:rsidP="00264DEF">
            <w:pPr>
              <w:jc w:val="center"/>
              <w:rPr>
                <w:rFonts w:asciiTheme="majorBidi" w:eastAsia="宋体" w:hAnsiTheme="majorBidi" w:cstheme="majorBidi"/>
                <w:bCs/>
                <w:color w:val="000000" w:themeColor="text1"/>
                <w:sz w:val="20"/>
                <w:szCs w:val="20"/>
              </w:rPr>
            </w:pPr>
            <w:r>
              <w:rPr>
                <w:rFonts w:asciiTheme="majorBidi" w:eastAsia="宋体" w:hAnsiTheme="majorBidi" w:cstheme="majorBidi"/>
                <w:bCs/>
                <w:color w:val="000000" w:themeColor="text1"/>
                <w:sz w:val="20"/>
                <w:szCs w:val="20"/>
              </w:rPr>
              <w:t>0.3</w:t>
            </w:r>
          </w:p>
        </w:tc>
        <w:tc>
          <w:tcPr>
            <w:tcW w:w="499" w:type="pct"/>
            <w:vMerge w:val="restart"/>
            <w:tcBorders>
              <w:top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eastAsia="宋体" w:hAnsiTheme="majorBidi" w:cstheme="majorBidi"/>
                <w:bCs/>
                <w:color w:val="000000" w:themeColor="text1"/>
                <w:sz w:val="20"/>
                <w:szCs w:val="20"/>
              </w:rPr>
              <w:t>Swine</w:t>
            </w:r>
          </w:p>
          <w:p w:rsidR="00263101" w:rsidRPr="00EB3F80" w:rsidRDefault="00263101" w:rsidP="00264DEF">
            <w:pPr>
              <w:jc w:val="center"/>
              <w:rPr>
                <w:rFonts w:asciiTheme="majorBidi" w:hAnsiTheme="majorBidi" w:cstheme="majorBidi"/>
                <w:bCs/>
                <w:sz w:val="20"/>
                <w:szCs w:val="20"/>
              </w:rPr>
            </w:pPr>
            <w:r w:rsidRPr="00EB3F80">
              <w:rPr>
                <w:rFonts w:asciiTheme="majorBidi" w:eastAsia="宋体" w:hAnsiTheme="majorBidi" w:cstheme="majorBidi"/>
                <w:bCs/>
                <w:color w:val="000000" w:themeColor="text1"/>
                <w:sz w:val="20"/>
                <w:szCs w:val="20"/>
              </w:rPr>
              <w:t>Wastewater</w:t>
            </w:r>
          </w:p>
        </w:tc>
        <w:tc>
          <w:tcPr>
            <w:tcW w:w="411"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p>
        </w:tc>
        <w:tc>
          <w:tcPr>
            <w:tcW w:w="275"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w:t>
            </w:r>
          </w:p>
        </w:tc>
        <w:tc>
          <w:tcPr>
            <w:tcW w:w="549" w:type="pct"/>
            <w:tcBorders>
              <w:top w:val="single" w:sz="4" w:space="0" w:color="auto"/>
            </w:tcBorders>
            <w:vAlign w:val="center"/>
          </w:tcPr>
          <w:p w:rsidR="00263101" w:rsidRPr="00EB3F80" w:rsidRDefault="00263101" w:rsidP="00264DEF">
            <w:pPr>
              <w:jc w:val="center"/>
              <w:rPr>
                <w:rFonts w:asciiTheme="majorBidi" w:eastAsia="宋体" w:hAnsiTheme="majorBidi" w:cstheme="majorBidi"/>
                <w:bCs/>
                <w:sz w:val="20"/>
                <w:szCs w:val="20"/>
              </w:rPr>
            </w:pPr>
            <w:proofErr w:type="spellStart"/>
            <w:r w:rsidRPr="00EB3F80">
              <w:rPr>
                <w:rFonts w:asciiTheme="majorBidi" w:eastAsia="宋体" w:hAnsiTheme="majorBidi" w:cstheme="majorBidi"/>
                <w:bCs/>
                <w:sz w:val="20"/>
                <w:szCs w:val="20"/>
              </w:rPr>
              <w:t>Oxytetracycline</w:t>
            </w:r>
            <w:proofErr w:type="spellEnd"/>
          </w:p>
        </w:tc>
        <w:tc>
          <w:tcPr>
            <w:tcW w:w="446"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30</w:t>
            </w:r>
          </w:p>
        </w:tc>
        <w:tc>
          <w:tcPr>
            <w:tcW w:w="308" w:type="pct"/>
            <w:tcBorders>
              <w:top w:val="single" w:sz="4" w:space="0" w:color="auto"/>
            </w:tcBorders>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eastAsia="宋体" w:hAnsiTheme="majorBidi" w:cstheme="majorBidi"/>
                <w:bCs/>
                <w:color w:val="000000" w:themeColor="text1"/>
                <w:sz w:val="20"/>
                <w:szCs w:val="20"/>
              </w:rPr>
              <w:t>87.6</w:t>
            </w:r>
          </w:p>
        </w:tc>
        <w:tc>
          <w:tcPr>
            <w:tcW w:w="364"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China</w:t>
            </w:r>
          </w:p>
        </w:tc>
        <w:tc>
          <w:tcPr>
            <w:tcW w:w="366"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eastAsia="宋体" w:hAnsiTheme="majorBidi" w:cstheme="majorBidi"/>
                <w:bCs/>
                <w:color w:val="000000" w:themeColor="text1"/>
                <w:sz w:val="20"/>
                <w:szCs w:val="20"/>
              </w:rPr>
              <w:fldChar w:fldCharType="begin" w:fldLock="1"/>
            </w:r>
            <w:r w:rsidRPr="00EB3F80">
              <w:rPr>
                <w:rFonts w:asciiTheme="majorBidi" w:eastAsia="宋体" w:hAnsiTheme="majorBidi" w:cstheme="majorBidi"/>
                <w:bCs/>
                <w:color w:val="000000" w:themeColor="text1"/>
                <w:sz w:val="20"/>
                <w:szCs w:val="20"/>
              </w:rPr>
              <w:instrText>ADDIN CSL_CITATION {"citationItems":[{"id":"ITEM-1","itemData":{"DOI":"10.1016/j.ibiod.2019.04.002","ISSN":"09648305","abstract":"The removal efficiencies and accumulated concentrations of oxytetracycline and ciprofloxacin in three pilot-scale constructed wetlands (CWs) with different flow configurations (surface, horizontal subsurface, and vertical subsurface flow) were investigated. The results indicated that the average mass removal efficiencies of the CWs for the target antibiotics in one year of treatment ranged from 85 to 99%, and the vertical subsurface flow constructed wetlands exhibited the highest and most stable removal efficiencies for oxytetracycline (99 ± 0.27%) and ciprofloxacin (97 ± 0.26%). The influence of seasonal changes on the removal efficiencies of oxytetracycline and ciprofloxacin in CWs was insignificant. The higher accumulated antibiotic concentrations and antibiotic-degrading bacteria abundances indicated that substrate adsorption and biodegradation were the predominant pathways affecting the antibiotic removal efficiency of wetlands. The concentration of accumulated ciprofloxacin in soil and oyster shell (84–124 and 83–115 μg kg−1) was significantly higher than that of oxytetracycline (37–81 and 3–17 μg kg−1). In addition, analysis results based on pilot-scale CWs also indicated that the influence of the type of CW on the bacterial community was more significant than the wetland substrate and residual concentration of antibiotics.","author":[{"dropping-particle":"","family":"Liu","given":"Lin","non-dropping-particle":"","parse-names":false,"suffix":""},{"dropping-particle":"","family":"Li","given":"Jie","non-dropping-particle":"","parse-names":false,"suffix":""},{"dropping-particle":"","family":"Fan","given":"Hongyong","non-dropping-particle":"","parse-names":false,"suffix":""},{"dropping-particle":"","family":"Huang","given":"Xu","non-dropping-particle":"","parse-names":false,"suffix":""},{"dropping-particle":"","family":"Wei","given":"Lili","non-dropping-particle":"","parse-names":false,"suffix":""},{"dropping-particle":"","family":"Liu","given":"Chaoxiang","non-dropping-particle":"","parse-names":false,"suffix":""}],"container-title":"International Biodeterioration and Biodegradation","id":"ITEM-1","issue":"April","issued":{"date-parts":[["2019"]]},"page":"119-125","publisher":"Elsevier Ltd","title":"Fate of antibiotics from swine wastewater in constructed wetlands with different flow configurations","type":"article-journal","volume":"140"},"uris":["http://www.mendeley.com/documents/?uuid=071adbce-af40-42c3-b26f-e4ffe29a70ed"]}],"mendeley":{"formattedCitation":"(Liu et al., 2019)","plainTextFormattedCitation":"(Liu et al., 2019)","previouslyFormattedCitation":"(Liu et al., 2019)"},"properties":{"noteIndex":0},"schema":"https://github.com/citation-style-language/schema/raw/master/csl-citation.json"}</w:instrText>
            </w:r>
            <w:r w:rsidRPr="00EB3F80">
              <w:rPr>
                <w:rFonts w:asciiTheme="majorBidi" w:eastAsia="宋体" w:hAnsiTheme="majorBidi" w:cstheme="majorBidi"/>
                <w:bCs/>
                <w:color w:val="000000" w:themeColor="text1"/>
                <w:sz w:val="20"/>
                <w:szCs w:val="20"/>
              </w:rPr>
              <w:fldChar w:fldCharType="separate"/>
            </w:r>
            <w:r w:rsidRPr="00EB3F80">
              <w:rPr>
                <w:rFonts w:asciiTheme="majorBidi" w:eastAsia="宋体" w:hAnsiTheme="majorBidi" w:cstheme="majorBidi"/>
                <w:bCs/>
                <w:noProof/>
                <w:color w:val="000000" w:themeColor="text1"/>
                <w:sz w:val="20"/>
                <w:szCs w:val="20"/>
              </w:rPr>
              <w:t>(Liu et al., 2019)</w:t>
            </w:r>
            <w:r w:rsidRPr="00EB3F80">
              <w:rPr>
                <w:rFonts w:asciiTheme="majorBidi" w:eastAsia="宋体" w:hAnsiTheme="majorBidi" w:cstheme="majorBidi"/>
                <w:bCs/>
                <w:color w:val="000000" w:themeColor="text1"/>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eastAsia="宋体" w:hAnsiTheme="majorBidi" w:cstheme="majorBidi"/>
                <w:bCs/>
                <w:sz w:val="20"/>
                <w:szCs w:val="20"/>
              </w:rPr>
            </w:pPr>
            <w:r w:rsidRPr="00EB3F80">
              <w:rPr>
                <w:rFonts w:asciiTheme="majorBidi" w:eastAsia="宋体" w:hAnsiTheme="majorBidi" w:cstheme="majorBidi"/>
                <w:bCs/>
                <w:sz w:val="20"/>
                <w:szCs w:val="20"/>
              </w:rPr>
              <w:t>ciprofloxacin</w:t>
            </w:r>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eastAsia="宋体" w:hAnsiTheme="majorBidi" w:cstheme="majorBidi"/>
                <w:bCs/>
                <w:color w:val="000000" w:themeColor="text1"/>
                <w:sz w:val="20"/>
                <w:szCs w:val="20"/>
              </w:rPr>
              <w:t>83.5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20</w:t>
            </w:r>
          </w:p>
        </w:tc>
        <w:tc>
          <w:tcPr>
            <w:tcW w:w="549" w:type="pct"/>
            <w:vAlign w:val="center"/>
          </w:tcPr>
          <w:p w:rsidR="00263101" w:rsidRPr="00EB3F80" w:rsidRDefault="00263101" w:rsidP="00264DEF">
            <w:pPr>
              <w:jc w:val="center"/>
              <w:rPr>
                <w:rFonts w:asciiTheme="majorBidi" w:eastAsia="宋体" w:hAnsiTheme="majorBidi" w:cstheme="majorBidi"/>
                <w:bCs/>
                <w:sz w:val="20"/>
                <w:szCs w:val="20"/>
              </w:rPr>
            </w:pPr>
            <w:proofErr w:type="spellStart"/>
            <w:r w:rsidRPr="00EB3F80">
              <w:rPr>
                <w:rFonts w:asciiTheme="majorBidi" w:eastAsia="宋体" w:hAnsiTheme="majorBidi" w:cstheme="majorBidi"/>
                <w:bCs/>
                <w:sz w:val="20"/>
                <w:szCs w:val="20"/>
              </w:rPr>
              <w:t>oxytetracycline</w:t>
            </w:r>
            <w:proofErr w:type="spellEnd"/>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eastAsia="宋体" w:hAnsiTheme="majorBidi" w:cstheme="majorBidi"/>
                <w:bCs/>
                <w:color w:val="000000" w:themeColor="text1"/>
                <w:sz w:val="20"/>
                <w:szCs w:val="20"/>
              </w:rPr>
              <w:t>90.3</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eastAsia="宋体" w:hAnsiTheme="majorBidi" w:cstheme="majorBidi"/>
                <w:bCs/>
                <w:sz w:val="20"/>
                <w:szCs w:val="20"/>
              </w:rPr>
            </w:pPr>
            <w:r w:rsidRPr="00EB3F80">
              <w:rPr>
                <w:rFonts w:asciiTheme="majorBidi" w:eastAsia="宋体" w:hAnsiTheme="majorBidi" w:cstheme="majorBidi"/>
                <w:bCs/>
                <w:sz w:val="20"/>
                <w:szCs w:val="20"/>
              </w:rPr>
              <w:t>ciprofloxacin</w:t>
            </w:r>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eastAsia="宋体" w:hAnsiTheme="majorBidi" w:cstheme="majorBidi"/>
                <w:bCs/>
                <w:color w:val="000000" w:themeColor="text1"/>
                <w:sz w:val="20"/>
                <w:szCs w:val="20"/>
              </w:rPr>
            </w:pPr>
            <w:r w:rsidRPr="00EB3F80">
              <w:rPr>
                <w:rFonts w:asciiTheme="majorBidi" w:eastAsia="宋体" w:hAnsiTheme="majorBidi" w:cstheme="majorBidi"/>
                <w:bCs/>
                <w:color w:val="000000" w:themeColor="text1"/>
                <w:sz w:val="20"/>
                <w:szCs w:val="20"/>
              </w:rPr>
              <w:t>86.8</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8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2</w:t>
            </w:r>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0.01</w:t>
            </w:r>
          </w:p>
        </w:tc>
        <w:tc>
          <w:tcPr>
            <w:tcW w:w="32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4</w:t>
            </w:r>
          </w:p>
        </w:tc>
        <w:tc>
          <w:tcPr>
            <w:tcW w:w="499" w:type="pct"/>
            <w:vMerge w:val="restart"/>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0.45</w:t>
            </w:r>
          </w:p>
        </w:tc>
        <w:tc>
          <w:tcPr>
            <w:tcW w:w="49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411"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r w:rsidRPr="00EB3F80">
              <w:rPr>
                <w:rFonts w:asciiTheme="majorBidi" w:hAnsiTheme="majorBidi" w:cstheme="majorBidi"/>
                <w:bCs/>
                <w:i/>
                <w:sz w:val="20"/>
                <w:szCs w:val="20"/>
              </w:rPr>
              <w:t xml:space="preserve">T. </w:t>
            </w:r>
            <w:proofErr w:type="spellStart"/>
            <w:r w:rsidRPr="00EB3F80">
              <w:rPr>
                <w:rFonts w:asciiTheme="majorBidi" w:hAnsiTheme="majorBidi" w:cstheme="majorBidi"/>
                <w:bCs/>
                <w:i/>
                <w:sz w:val="20"/>
                <w:szCs w:val="20"/>
              </w:rPr>
              <w:t>domingensis</w:t>
            </w:r>
            <w:proofErr w:type="spellEnd"/>
          </w:p>
        </w:tc>
        <w:tc>
          <w:tcPr>
            <w:tcW w:w="27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Summer</w:t>
            </w:r>
          </w:p>
        </w:tc>
        <w:tc>
          <w:tcPr>
            <w:tcW w:w="549"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Roxithromycin</w:t>
            </w:r>
            <w:proofErr w:type="spellEnd"/>
          </w:p>
        </w:tc>
        <w:tc>
          <w:tcPr>
            <w:tcW w:w="44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100</w:t>
            </w:r>
            <w:r>
              <w:rPr>
                <w:rFonts w:asciiTheme="majorBidi" w:hAnsiTheme="majorBidi" w:cstheme="majorBidi"/>
                <w:bCs/>
                <w:sz w:val="20"/>
                <w:szCs w:val="20"/>
              </w:rPr>
              <w:t>000</w:t>
            </w:r>
          </w:p>
        </w:tc>
        <w:tc>
          <w:tcPr>
            <w:tcW w:w="308"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91.4</w:t>
            </w:r>
          </w:p>
        </w:tc>
        <w:tc>
          <w:tcPr>
            <w:tcW w:w="36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Egypt</w:t>
            </w:r>
          </w:p>
        </w:tc>
        <w:tc>
          <w:tcPr>
            <w:tcW w:w="36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{"citationItems":[{"id":"ITEM-1","itemData":{"DOI":"10.1186/s12302-023-00748-x","ISBN":"1230202300748","ISSN":"21904715","abstract":"Contamination of heavy metals and antibiotics would threaten the water and soil resources. Phytoremediation can be potentially used to remediate metal and antibiotics contaminated sites. The current study was carried out over a period of 12 months to assess the efficiency of the macrophytes Typha domingensis and Cyperus papyrus with different substrate materials to remove heavy metals and two antibiotics, roxithromycin and levofloxacin, from wastewater for reuse in agriculture. The concentrations of seven heavy metals (copper, nickel, iron, cadmium, zinc, lead, and chromium) in water and plant tissues were determined. The results showed that C. papyrus had a greater capacity than T. domingensis to remove biochemical oxygen demand (BOD) (80.69%), chemical oxygen demand (COD) (69.87%), and ammonium (NH4+) (69.69%). Cyperus papyrus was more effective in retaining solid pollutants. The bioaccumulation factors (BCF) roots of C. papyrus were higher levels of most metals than those of T. domingensis. The highest root–rhizome translocation factor (TF) values of C. papyrus were higher than T. domingensis. The bacterial indicators (total and fecal coliforms, as well as Faecal streptococci) and the potential pathogens (Escherichia coli, Staphylococcus aureus, and Pseudomonas aeruginosa) showed removal efficiencies ranging between 96.9% and 99.8%. The results indicated that the two systems could significantly reduce the concentration of antibiotics in wastewater, with roxithromycin showing higher elimination rates than levofloxacin. The results showed maximum removal of the heavy metals in constructed wetlands CWs planted with T. domingensis. The presence of zeolite and C. papyrus in the effluent of CWs significantly improved treatment capacity and increased pollutant removal efficiency.","author":[{"dropping-particle":"","family":"Hamad","given":"Mohammed Taha Moustafa Hussien","non-dropping-particle":"","parse-names":false,"suffix":""}],"container-title":"Environmental Sciences Europe","id":"ITEM-1","issue":"1","issued":{"date-parts":[["2023"]]},"publisher":"Springer Berlin Heidelberg","title":"Comparing the performance of Cyperus papyrus and Typha domingensis for the removal of heavy metals, roxithromycin, levofloxacin and pathogenic bacteria from wastewater","type":"article-journal","volume":"35"},"uris":["http://www.mendeley.com/documents/?uuid=56672867-4e0e-4d1d-8a52-88f5feba5940"]}],"mendeley":{"formattedCitation":"(Hamad, 2023)","plainTextFormattedCitation":"(Hamad, 2023)","previouslyFormattedCitation":"(Hamad, 2023)"},"properties":{"noteIndex":0},"schema":"https://github.com/citation-style-language/schema/raw/master/csl-citation.json"}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(Hamad, 2023)</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Levofloxacin</w:t>
            </w:r>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89.3</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Winter</w:t>
            </w: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Roxithromycin</w:t>
            </w:r>
            <w:proofErr w:type="spellEnd"/>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78.7</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Levofloxacin</w:t>
            </w:r>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76.25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restart"/>
            <w:vAlign w:val="center"/>
          </w:tcPr>
          <w:p w:rsidR="00263101" w:rsidRPr="00EB3F80" w:rsidRDefault="00263101" w:rsidP="00264DEF">
            <w:pPr>
              <w:jc w:val="center"/>
              <w:rPr>
                <w:rFonts w:asciiTheme="majorBidi" w:hAnsiTheme="majorBidi" w:cstheme="majorBidi"/>
                <w:bCs/>
                <w:i/>
                <w:sz w:val="20"/>
                <w:szCs w:val="20"/>
              </w:rPr>
            </w:pPr>
            <w:r w:rsidRPr="00EB3F80">
              <w:rPr>
                <w:rFonts w:asciiTheme="majorBidi" w:hAnsiTheme="majorBidi" w:cstheme="majorBidi"/>
                <w:bCs/>
                <w:i/>
                <w:sz w:val="20"/>
                <w:szCs w:val="20"/>
              </w:rPr>
              <w:t>C. papyrus</w:t>
            </w:r>
          </w:p>
        </w:tc>
        <w:tc>
          <w:tcPr>
            <w:tcW w:w="27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Summer</w:t>
            </w: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Roxithromycin</w:t>
            </w:r>
            <w:proofErr w:type="spellEnd"/>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93.8</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Levofloxacin</w:t>
            </w:r>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91.5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Winter</w:t>
            </w: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Roxithromycin</w:t>
            </w:r>
            <w:proofErr w:type="spellEnd"/>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83.2</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Levofloxacin</w:t>
            </w:r>
          </w:p>
        </w:tc>
        <w:tc>
          <w:tcPr>
            <w:tcW w:w="446" w:type="pct"/>
            <w:vMerge/>
            <w:vAlign w:val="center"/>
          </w:tcPr>
          <w:p w:rsidR="00263101" w:rsidRPr="00EB3F80" w:rsidRDefault="00263101" w:rsidP="00264DEF">
            <w:pPr>
              <w:jc w:val="center"/>
              <w:rPr>
                <w:rFonts w:asciiTheme="majorBidi" w:hAnsiTheme="majorBidi" w:cstheme="majorBidi"/>
                <w:bCs/>
                <w:sz w:val="20"/>
                <w:szCs w:val="20"/>
              </w:rPr>
            </w:pP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80.3</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8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1.04</w:t>
            </w:r>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50L/d</w:t>
            </w:r>
          </w:p>
        </w:tc>
        <w:tc>
          <w:tcPr>
            <w:tcW w:w="32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3.3</w:t>
            </w:r>
          </w:p>
        </w:tc>
        <w:tc>
          <w:tcPr>
            <w:tcW w:w="499" w:type="pct"/>
            <w:vMerge w:val="restart"/>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w:t>
            </w:r>
          </w:p>
        </w:tc>
        <w:tc>
          <w:tcPr>
            <w:tcW w:w="49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WWTP primary</w:t>
            </w:r>
          </w:p>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effluent</w:t>
            </w:r>
          </w:p>
        </w:tc>
        <w:tc>
          <w:tcPr>
            <w:tcW w:w="411"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sz w:val="20"/>
                <w:szCs w:val="20"/>
              </w:rPr>
              <w:t>Typha</w:t>
            </w:r>
            <w:proofErr w:type="spellEnd"/>
            <w:r w:rsidRPr="00EB3F80">
              <w:rPr>
                <w:rFonts w:asciiTheme="majorBidi" w:hAnsiTheme="majorBidi" w:cstheme="majorBidi"/>
                <w:bCs/>
                <w:sz w:val="20"/>
                <w:szCs w:val="20"/>
              </w:rPr>
              <w:t xml:space="preserve"> </w:t>
            </w:r>
            <w:proofErr w:type="spellStart"/>
            <w:r w:rsidRPr="00EB3F80">
              <w:rPr>
                <w:rFonts w:asciiTheme="majorBidi" w:hAnsiTheme="majorBidi" w:cstheme="majorBidi"/>
                <w:bCs/>
                <w:sz w:val="20"/>
                <w:szCs w:val="20"/>
              </w:rPr>
              <w:t>angustifolia</w:t>
            </w:r>
            <w:proofErr w:type="spellEnd"/>
          </w:p>
        </w:tc>
        <w:tc>
          <w:tcPr>
            <w:tcW w:w="27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
        </w:tc>
        <w:tc>
          <w:tcPr>
            <w:tcW w:w="549"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Doxycycline</w:t>
            </w:r>
          </w:p>
        </w:tc>
        <w:tc>
          <w:tcPr>
            <w:tcW w:w="446"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w:t>
            </w:r>
            <w:r w:rsidRPr="00EB3F80">
              <w:rPr>
                <w:rFonts w:asciiTheme="majorBidi" w:hAnsiTheme="majorBidi" w:cstheme="majorBidi"/>
                <w:bCs/>
                <w:sz w:val="20"/>
                <w:szCs w:val="20"/>
              </w:rPr>
              <w:t>18</w:t>
            </w:r>
          </w:p>
        </w:tc>
        <w:tc>
          <w:tcPr>
            <w:tcW w:w="308"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65</w:t>
            </w:r>
          </w:p>
        </w:tc>
        <w:tc>
          <w:tcPr>
            <w:tcW w:w="36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Spain</w:t>
            </w:r>
          </w:p>
        </w:tc>
        <w:tc>
          <w:tcPr>
            <w:tcW w:w="36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{"citationItems":[{"id":"ITEM-1","itemData":{"DOI":"10.1016/j.chemosphere.2011.02.004","ISSN":"00456535","PMID":"21356542","abstract":"Seven mesocosm-scale constructed wetlands (CWs), differing in their design characteristics, were set up in the open air to assess their efficiency to remove antibiotics from urban raw wastewater. A conventional wastewater treatment plant (WWTP) was simultaneously monitored. The experiment took place in autumn. An analytical methodology including HPLC-MS/MS was developed to measure antibiotic concentrations in the soluble water fraction, in the suspended solids fraction and in the WWTP sludge. Considering the soluble water fraction, the only easily eliminated antibiotics in the WWTP were doxycycline (61. ±. 38%) and sulfamethoxazole (60. ±. 26%). All the studied types of CWs were efficient for the removal of sulfamethoxazole (59. ±. 30-87. ±. 41%), as found in the WWTP, and, in addition, they removed trimethoprim (65. ±. 21-96. ±. 29%). The elimination of other antibiotics in CWs was limited by the specific system-configuration: amoxicillin (45. ±. 15%) was only eliminated by a free-water (FW) subsurface flow (SSF) CW planted with Typha angustifolia; doxycycline was removed in FW systems planted with T. angustifolia (65. ±. 34-75. ±. 40%), in a Phragmites australis-floating macrophytes system (62. ±. 31%) and in conventional horizontal SSF-systems (71. ±. 39%); clarithromycin was partially eliminated by an unplanted FW-SSF system (50. ±. 18%); erythromycin could only be removed by a P. australis-horizontal SSF system (64. ±. 30%); and ampicillin was eliminated by a T. angustifolia-floating macrophytes system (29. ±. 4%). Lincomycin was not removed by any of the systems (WWTP or CWs). The presence or absence of plants, the vegetal species (T. angustifolia or P. australis), the flow type and the CW design characteristics regulated the specific removal mechanisms. Therefore, CWs are not an overall solution to remove antibiotics from urban wastewater during cold seasons. However, more studies are needed to assess their ability in warmer periods and to determine the behaviour of full-scale systems. © 2011 Elsevier Ltd.","author":[{"dropping-particle":"","family":"Hijosa-Valsero","given":"María","non-dropping-particle":"","parse-names":false,"suffix":""},{"dropping-particle":"","family":"Fink","given":"Guido","non-dropping-particle":"","parse-names":false,"suffix":""},{"dropping-particle":"","family":"Schlüsener","given":"Michael P.","non-dropping-particle":"","parse-names":false,"suffix":""},{"dropping-particle":"","family":"Sidrach-Cardona","given":"Ricardo","non-dropping-particle":"","parse-names":false,"suffix":""},{"dropping-particle":"","family":"Martín-Villacorta","given":"Javier","non-dropping-particle":"","parse-names":false,"suffix":""},{"dropping-particle":"","family":"Ternes","given":"Thomas","non-dropping-particle":"","parse-names":false,"suffix":""},{"dropping-particle":"","family":"Bécares","given":"Eloy","non-dropping-particle":"","parse-names":false,"suffix":""}],"container-title":"Chemosphere","id":"ITEM-1","issue":"5","issued":{"date-parts":[["2011"]]},"page":"713-719","title":"Removal of antibiotics from urban wastewater by constructed wetland optimization","type":"article-journal","volume":"83"},"uris":["http://www.mendeley.com/documents/?uuid=c77b8721-46ef-4654-83f6-9d6141f59e86"]}],"mendeley":{"formattedCitation":"(Hijosa-Valsero et al., 2011)","plainTextFormattedCitation":"(Hijosa-Valsero et al., 2011)","previouslyFormattedCitation":"(Hijosa-Valsero et al., 2011)"},"properties":{"noteIndex":0},"schema":"https://github.com/citation-style-language/schema/raw/master/csl-citation.json"}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(Hijosa-Valsero et al., 2011)</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Amoxicillin</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46</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39</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Clarithromycin</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w:t>
            </w:r>
            <w:r w:rsidRPr="00EB3F80">
              <w:rPr>
                <w:rFonts w:asciiTheme="majorBidi" w:hAnsiTheme="majorBidi" w:cstheme="majorBidi"/>
                <w:bCs/>
                <w:sz w:val="20"/>
                <w:szCs w:val="20"/>
              </w:rPr>
              <w:t>25</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32</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Sulfamethoxazole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w:t>
            </w:r>
            <w:r w:rsidRPr="00EB3F80">
              <w:rPr>
                <w:rFonts w:asciiTheme="majorBidi" w:hAnsiTheme="majorBidi" w:cstheme="majorBidi"/>
                <w:bCs/>
                <w:sz w:val="20"/>
                <w:szCs w:val="20"/>
              </w:rPr>
              <w:t>26</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2.9</w:t>
            </w: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restart"/>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Doxycycline</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w:t>
            </w:r>
            <w:r w:rsidRPr="00EB3F80">
              <w:rPr>
                <w:rFonts w:asciiTheme="majorBidi" w:hAnsiTheme="majorBidi" w:cstheme="majorBidi"/>
                <w:bCs/>
                <w:sz w:val="20"/>
                <w:szCs w:val="20"/>
              </w:rPr>
              <w:t>18</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62</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Amoxicillin</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46</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27</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92"/>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Clarithromycin</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w:t>
            </w:r>
            <w:r w:rsidRPr="00EB3F80">
              <w:rPr>
                <w:rFonts w:asciiTheme="majorBidi" w:hAnsiTheme="majorBidi" w:cstheme="majorBidi"/>
                <w:bCs/>
                <w:sz w:val="20"/>
                <w:szCs w:val="20"/>
              </w:rPr>
              <w:t>25</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11</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151"/>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Sulfamethoxazole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w:t>
            </w:r>
            <w:r w:rsidRPr="00EB3F80">
              <w:rPr>
                <w:rFonts w:asciiTheme="majorBidi" w:hAnsiTheme="majorBidi" w:cstheme="majorBidi"/>
                <w:bCs/>
                <w:sz w:val="20"/>
                <w:szCs w:val="20"/>
              </w:rPr>
              <w:t>26</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59</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8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30</w:t>
            </w:r>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6.5</w:t>
            </w:r>
          </w:p>
        </w:tc>
        <w:tc>
          <w:tcPr>
            <w:tcW w:w="32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1.5</w:t>
            </w:r>
          </w:p>
        </w:tc>
        <w:tc>
          <w:tcPr>
            <w:tcW w:w="499" w:type="pct"/>
            <w:vMerge w:val="restart"/>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t>
            </w:r>
          </w:p>
        </w:tc>
        <w:tc>
          <w:tcPr>
            <w:tcW w:w="49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rural domestic wastewaters</w:t>
            </w:r>
          </w:p>
        </w:tc>
        <w:tc>
          <w:tcPr>
            <w:tcW w:w="411"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Myriophyllum</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verticillatum</w:t>
            </w:r>
            <w:proofErr w:type="spellEnd"/>
          </w:p>
        </w:tc>
        <w:tc>
          <w:tcPr>
            <w:tcW w:w="27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
        </w:tc>
        <w:tc>
          <w:tcPr>
            <w:tcW w:w="549"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Ofloxacin</w:t>
            </w:r>
            <w:proofErr w:type="spellEnd"/>
          </w:p>
        </w:tc>
        <w:tc>
          <w:tcPr>
            <w:tcW w:w="446"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0.193</w:t>
            </w:r>
          </w:p>
        </w:tc>
        <w:tc>
          <w:tcPr>
            <w:tcW w:w="308"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73.3</w:t>
            </w:r>
          </w:p>
        </w:tc>
        <w:tc>
          <w:tcPr>
            <w:tcW w:w="36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China</w:t>
            </w:r>
          </w:p>
        </w:tc>
        <w:tc>
          <w:tcPr>
            <w:tcW w:w="36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{"citationItems":[{"id":"ITEM-1","itemData":{"DOI":"10.1007/s11356-014-2800-4","ISSN":"16147499","PMID":"24687794","abstract":"Integrated constructed wetlands (ICWs) are regarded as one of the most important removal technology for pollutants in rural domestic wastewaters. This study investigated the efficiency of an ICW consisting of a regulating pool, four surface and subsurface flow-constructed wetlands, and a stabilization unit for removing antibiotics and antibiotic resistance genes (ARGs) from rural domestic wastewaters. The results showed that antibiotics leucomycin, ofloxacin, lincomycin, and sulfamethazine, and ARGs sul1, sul2, tetM, and tetO were the predominant antibiotics and ARGs in the influent, respectively. The ICW system could significantly reduce most of the detected antibiotics and ARGs with their aqueous removal rates of 78 to 100 % and &gt;99 %, respectively. Based on the measured concentrations, the total pollution loadings of antibiotics were 3,479 μg/day in the influent and 199 μg/day in the final effluent. Therefore, constructed wetlands could be a promising technology for rural wastewater in removing contaminants such as antibiotics and ARGs.","author":[{"dropping-particle":"","family":"Chen","given":"Jun","non-dropping-particle":"","parse-names":false,"suffix":""},{"dropping-particle":"","family":"Liu","given":"You Sheng","non-dropping-particle":"","parse-names":false,"suffix":""},{"dropping-particle":"","family":"Su","given":"Hao Chang","non-dropping-particle":"","parse-names":false,"suffix":""},{"dropping-particle":"","family":"Ying","given":"Guang Guo","non-dropping-particle":"","parse-names":false,"suffix":""},{"dropping-particle":"","family":"Liu","given":"Feng","non-dropping-particle":"","parse-names":false,"suffix":""},{"dropping-particle":"","family":"Liu","given":"Shuang Shuang","non-dropping-particle":"","parse-names":false,"suffix":""},{"dropping-particle":"","family":"He","given":"Liang Ying","non-dropping-particle":"","parse-names":false,"suffix":""},{"dropping-particle":"","family":"Chen","given":"Zhi Feng","non-dropping-particle":"","parse-names":false,"suffix":""},{"dropping-particle":"","family":"Yang","given":"Yong Qiang","non-dropping-particle":"","parse-names":false,"suffix":""},{"dropping-particle":"","family":"Chen","given":"Fan Rong","non-dropping-particle":"","parse-names":false,"suffix":""}],"container-title":"Environmental Science and Pollution Research","id":"ITEM-1","issue":"3","issued":{"date-parts":[["2015"]]},"page":"1794-1803","title":"Removal of antibiotics and antibiotic resistance genes in rural wastewater by an integrated constructed wetland","type":"article-journal","volume":"22"},"uris":["http://www.mendeley.com/documents/?uuid=f240370c-06dd-4275-9afa-eb25ef19ec22"]}],"mendeley":{"formattedCitation":"(Chen et al., 2015)","plainTextFormattedCitation":"(Chen et al., 2015)","previouslyFormattedCitation":"(Chen et al., 2015)"},"properties":{"noteIndex":0},"schema":"https://github.com/citation-style-language/schema/raw/master/csl-citation.json"}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(Chen et al., 2015)</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Salinomycin</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0.00404</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11.1</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Sulfacetamide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0.00304</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9.9</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Sulfamethazine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0.00240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16.9</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Sulfamonomethoxine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0.0508</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36.2</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Trimethoprim</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0.00193</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61.5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Large-scale</w:t>
            </w:r>
          </w:p>
        </w:tc>
        <w:tc>
          <w:tcPr>
            <w:tcW w:w="28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20000</w:t>
            </w:r>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8640</w:t>
            </w:r>
          </w:p>
        </w:tc>
        <w:tc>
          <w:tcPr>
            <w:tcW w:w="32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4</w:t>
            </w:r>
          </w:p>
        </w:tc>
        <w:tc>
          <w:tcPr>
            <w:tcW w:w="499" w:type="pct"/>
            <w:vMerge w:val="restart"/>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w:t>
            </w:r>
          </w:p>
        </w:tc>
        <w:tc>
          <w:tcPr>
            <w:tcW w:w="49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 xml:space="preserve">43% domestic, 57% </w:t>
            </w:r>
            <w:proofErr w:type="spellStart"/>
            <w:r w:rsidRPr="00EB3F80">
              <w:rPr>
                <w:rFonts w:asciiTheme="majorBidi" w:hAnsiTheme="majorBidi" w:cstheme="majorBidi"/>
                <w:bCs/>
                <w:sz w:val="20"/>
                <w:szCs w:val="20"/>
              </w:rPr>
              <w:t>industriala</w:t>
            </w:r>
            <w:proofErr w:type="spellEnd"/>
            <w:r w:rsidRPr="00EB3F80">
              <w:rPr>
                <w:rFonts w:asciiTheme="majorBidi" w:hAnsiTheme="majorBidi" w:cstheme="majorBidi"/>
                <w:bCs/>
                <w:sz w:val="20"/>
                <w:szCs w:val="20"/>
              </w:rPr>
              <w:t xml:space="preserve"> &amp; hospital</w:t>
            </w:r>
          </w:p>
        </w:tc>
        <w:tc>
          <w:tcPr>
            <w:tcW w:w="411"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p>
        </w:tc>
        <w:tc>
          <w:tcPr>
            <w:tcW w:w="27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
        </w:tc>
        <w:tc>
          <w:tcPr>
            <w:tcW w:w="549"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Naproxen</w:t>
            </w:r>
          </w:p>
        </w:tc>
        <w:tc>
          <w:tcPr>
            <w:tcW w:w="44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355</w:t>
            </w:r>
            <w:r>
              <w:rPr>
                <w:rFonts w:asciiTheme="majorBidi" w:hAnsiTheme="majorBidi" w:cstheme="majorBidi"/>
                <w:bCs/>
                <w:sz w:val="20"/>
                <w:szCs w:val="20"/>
              </w:rPr>
              <w:t>.0</w:t>
            </w:r>
          </w:p>
        </w:tc>
        <w:tc>
          <w:tcPr>
            <w:tcW w:w="308"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30-60</w:t>
            </w:r>
          </w:p>
        </w:tc>
        <w:tc>
          <w:tcPr>
            <w:tcW w:w="36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Netherlands</w:t>
            </w:r>
          </w:p>
        </w:tc>
        <w:tc>
          <w:tcPr>
            <w:tcW w:w="36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{"citationItems":[{"id":"ITEM-1","itemData":{"DOI":"10.1016/j.scitotenv.2018.03.083","ISSN":"18791026","PMID":"29727981","abstract":"The performance of constructed wetlands (CWs) in the removal of pharmaceutically active compounds (PhACs) is generally evaluated on the basis of chemical analysis. In this work, we used a combination of chemical, toxicological, and molecular analyses to assess the attenuation of PhACs, toxic potency and antibiotic resistance genes (ARGs) in a field study of three CWs serving as tertiary treatment of wastewater treatment plants. First, 17 PhACs were analysed chemically, of which 14 were detected and seven at concentrations &gt;0.1 μg/l. Even though some of the individual PhACs were moderately or highly removed in the CWs investigated, median removal of overall PhACs was approximately 50% in the vertical subsurface flow CW (VSF-CW) with a lower hydraulic loading rate while the removal in the other two free water surface flow CWs (SF-CWs) was negligible. Second, toxic potency of wastewater extracts was assessed in a range of bioassays. Estrogenicity was overall attenuated in CWs, while the neurotoxic potency of wastewater extracts did not decrease after passage through the two CWs investigated. Third, the VSF-CW and one of the SF-CW showed a positive removal of an integrase gene and three ARGs tested. The increased concentrations of ARGs in the other SF-CW, as well as the increase of total bacteria in all CWs, may relate to regrowth of resistance-carrying bacteria. Finally, multivariate analysis shows that most PhACs are positively correlated to the observed toxic potency. Additionally, low removal of organics and nutrients seems to parallel with low removal of PhACs. ARGs positively correlated with organics, nutrients and some PhACs, and the integrase gene but not to the respective antibiotics. The insufficient removal of PhACs, toxic potency, and ARGs indicates the need of an optimal design of CWs as tertiary treatment facilities.","author":[{"dropping-particle":"","family":"He","given":"Yujie","non-dropping-particle":"","parse-names":false,"suffix":""},{"dropping-particle":"","family":"Nurul","given":"Sabri","non-dropping-particle":"","parse-names":false,"suffix":""},{"dropping-particle":"","family":"Schmitt","given":"Heike","non-dropping-particle":"","parse-names":false,"suffix":""},{"dropping-particle":"","family":"Sutton","given":"Nora B.","non-dropping-particle":"","parse-names":false,"suffix":""},{"dropping-particle":"","family":"Murk","given":"Tinka A.J.","non-dropping-particle":"","parse-names":false,"suffix":""},{"dropping-particle":"","family":"Blokland","given":"Marco H.","non-dropping-particle":"","parse-names":false,"suffix":""},{"dropping-particle":"","family":"Rijnaarts","given":"Huub H.M.","non-dropping-particle":"","parse-names":false,"suffix":""},{"dropping-particle":"","family":"Langenhoff","given":"Alette A.M.","non-dropping-particle":"","parse-names":false,"suffix":""}],"container-title":"Science of the Total Environment","id":"ITEM-1","issued":{"date-parts":[["2018"]]},"page":"1572-1581","publisher":"Elsevier B.V.","title":"Evaluation of attenuation of pharmaceuticals, toxic potency, and antibiotic resistance genes in constructed wetlands treating wastewater effluents","type":"article-journal","volume":"631-632"},"uris":["http://www.mendeley.com/documents/?uuid=9ea48e4d-6f61-4368-86e1-8f2844d9e8bf"]}],"mendeley":{"formattedCitation":"(He et al., 2018)","plainTextFormattedCitation":"(He et al., 2018)","previouslyFormattedCitation":"(He et al., 2018)"},"properties":{"noteIndex":0},"schema":"https://github.com/citation-style-language/schema/raw/master/csl-citation.json"}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(He et al., 2018)</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Ibuprofen</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5</w:t>
            </w:r>
            <w:r w:rsidRPr="00EB3F80">
              <w:rPr>
                <w:rFonts w:asciiTheme="majorBidi" w:hAnsiTheme="majorBidi" w:cstheme="majorBidi"/>
                <w:bCs/>
                <w:sz w:val="20"/>
                <w:szCs w:val="20"/>
              </w:rPr>
              <w:t>319</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30-60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Carbamazepine</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23</w:t>
            </w:r>
            <w:r>
              <w:rPr>
                <w:rFonts w:asciiTheme="majorBidi" w:hAnsiTheme="majorBidi" w:cstheme="majorBidi"/>
                <w:bCs/>
                <w:sz w:val="20"/>
                <w:szCs w:val="20"/>
              </w:rPr>
              <w:t>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Bisphenol</w:t>
            </w:r>
            <w:proofErr w:type="spellEnd"/>
            <w:r w:rsidRPr="00EB3F80">
              <w:rPr>
                <w:rFonts w:asciiTheme="majorBidi" w:hAnsiTheme="majorBidi" w:cstheme="majorBidi"/>
                <w:bCs/>
                <w:sz w:val="20"/>
                <w:szCs w:val="20"/>
              </w:rPr>
              <w:t xml:space="preserve"> A</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w:t>
            </w:r>
            <w:r w:rsidRPr="00EB3F80">
              <w:rPr>
                <w:rFonts w:asciiTheme="majorBidi" w:hAnsiTheme="majorBidi" w:cstheme="majorBidi"/>
                <w:bCs/>
                <w:sz w:val="20"/>
                <w:szCs w:val="20"/>
              </w:rPr>
              <w:t>232</w:t>
            </w:r>
            <w:r>
              <w:rPr>
                <w:rFonts w:asciiTheme="majorBidi" w:hAnsiTheme="majorBidi" w:cstheme="majorBidi"/>
                <w:bCs/>
                <w:sz w:val="20"/>
                <w:szCs w:val="20"/>
              </w:rPr>
              <w:t>.0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Sulfamethoxazole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74</w:t>
            </w:r>
            <w:r>
              <w:rPr>
                <w:rFonts w:asciiTheme="majorBidi" w:hAnsiTheme="majorBidi" w:cstheme="majorBidi"/>
                <w:bCs/>
                <w:sz w:val="20"/>
                <w:szCs w:val="20"/>
              </w:rPr>
              <w:t>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7009</w:t>
            </w:r>
          </w:p>
        </w:tc>
        <w:tc>
          <w:tcPr>
            <w:tcW w:w="329"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7200</w:t>
            </w:r>
          </w:p>
        </w:tc>
        <w:tc>
          <w:tcPr>
            <w:tcW w:w="323"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0.82</w:t>
            </w:r>
          </w:p>
        </w:tc>
        <w:tc>
          <w:tcPr>
            <w:tcW w:w="499" w:type="pct"/>
            <w:vMerge w:val="restart"/>
          </w:tcPr>
          <w:p w:rsidR="00263101" w:rsidRPr="00EB3F80" w:rsidRDefault="00263101" w:rsidP="00264DEF">
            <w:pPr>
              <w:jc w:val="center"/>
              <w:rPr>
                <w:rFonts w:asciiTheme="majorBidi" w:hAnsiTheme="majorBidi" w:cstheme="majorBidi"/>
                <w:bCs/>
                <w:sz w:val="20"/>
                <w:szCs w:val="20"/>
              </w:rPr>
            </w:pPr>
          </w:p>
        </w:tc>
        <w:tc>
          <w:tcPr>
            <w:tcW w:w="499"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78% domestic, 22% industrial</w:t>
            </w:r>
          </w:p>
        </w:tc>
        <w:tc>
          <w:tcPr>
            <w:tcW w:w="411" w:type="pct"/>
            <w:vMerge w:val="restart"/>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r w:rsidRPr="00EB3F80">
              <w:rPr>
                <w:rFonts w:asciiTheme="majorBidi" w:hAnsiTheme="majorBidi" w:cstheme="majorBidi"/>
                <w:bCs/>
                <w:i/>
                <w:sz w:val="20"/>
                <w:szCs w:val="20"/>
              </w:rPr>
              <w:t xml:space="preserve"> (reed bed); trees (swamp)</w:t>
            </w:r>
          </w:p>
        </w:tc>
        <w:tc>
          <w:tcPr>
            <w:tcW w:w="275" w:type="pct"/>
            <w:vMerge w:val="restart"/>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Naproxen</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180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30-60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Ibuprofen</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6</w:t>
            </w:r>
            <w:r w:rsidRPr="00EB3F80">
              <w:rPr>
                <w:rFonts w:asciiTheme="majorBidi" w:hAnsiTheme="majorBidi" w:cstheme="majorBidi"/>
                <w:bCs/>
                <w:sz w:val="20"/>
                <w:szCs w:val="20"/>
              </w:rPr>
              <w:t>492</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30-60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Carbamazepine</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204</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Bisphenol</w:t>
            </w:r>
            <w:proofErr w:type="spellEnd"/>
            <w:r w:rsidRPr="00EB3F80">
              <w:rPr>
                <w:rFonts w:asciiTheme="majorBidi" w:hAnsiTheme="majorBidi" w:cstheme="majorBidi"/>
                <w:bCs/>
                <w:sz w:val="20"/>
                <w:szCs w:val="20"/>
              </w:rPr>
              <w:t xml:space="preserve"> A</w:t>
            </w:r>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3</w:t>
            </w:r>
            <w:r w:rsidRPr="00EB3F80">
              <w:rPr>
                <w:rFonts w:asciiTheme="majorBidi" w:hAnsiTheme="majorBidi" w:cstheme="majorBidi"/>
                <w:bCs/>
                <w:sz w:val="20"/>
                <w:szCs w:val="20"/>
              </w:rPr>
              <w:t>682</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Sulfamethoxazole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362</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75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485"/>
        </w:trPr>
        <w:tc>
          <w:tcPr>
            <w:tcW w:w="346"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mesocosm</w:t>
            </w:r>
            <w:proofErr w:type="spellEnd"/>
            <w:r w:rsidRPr="00EB3F80">
              <w:rPr>
                <w:rFonts w:asciiTheme="majorBidi" w:hAnsiTheme="majorBidi" w:cstheme="majorBidi"/>
                <w:bCs/>
                <w:sz w:val="20"/>
                <w:szCs w:val="20"/>
              </w:rPr>
              <w:t>-scale</w:t>
            </w:r>
          </w:p>
        </w:tc>
        <w:tc>
          <w:tcPr>
            <w:tcW w:w="285"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1.44</w:t>
            </w:r>
          </w:p>
        </w:tc>
        <w:tc>
          <w:tcPr>
            <w:tcW w:w="329" w:type="pct"/>
            <w:vAlign w:val="center"/>
          </w:tcPr>
          <w:p w:rsidR="00263101" w:rsidRPr="00EB3F80" w:rsidRDefault="00263101" w:rsidP="00264DEF">
            <w:pPr>
              <w:spacing w:before="240"/>
              <w:jc w:val="center"/>
              <w:rPr>
                <w:rFonts w:asciiTheme="majorBidi" w:hAnsiTheme="majorBidi" w:cstheme="majorBidi"/>
                <w:bCs/>
                <w:sz w:val="20"/>
                <w:szCs w:val="20"/>
              </w:rPr>
            </w:pPr>
          </w:p>
        </w:tc>
        <w:tc>
          <w:tcPr>
            <w:tcW w:w="323"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70</w:t>
            </w:r>
          </w:p>
        </w:tc>
        <w:tc>
          <w:tcPr>
            <w:tcW w:w="499" w:type="pct"/>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0.2</w:t>
            </w:r>
          </w:p>
        </w:tc>
        <w:tc>
          <w:tcPr>
            <w:tcW w:w="499"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411" w:type="pc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Cyperus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alternifolius</w:t>
            </w:r>
            <w:proofErr w:type="spellEnd"/>
          </w:p>
        </w:tc>
        <w:tc>
          <w:tcPr>
            <w:tcW w:w="275"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30-35</w:t>
            </w:r>
          </w:p>
        </w:tc>
        <w:tc>
          <w:tcPr>
            <w:tcW w:w="549"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diclofenac</w:t>
            </w:r>
            <w:proofErr w:type="spellEnd"/>
          </w:p>
        </w:tc>
        <w:tc>
          <w:tcPr>
            <w:tcW w:w="44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12</w:t>
            </w:r>
            <w:r>
              <w:rPr>
                <w:rFonts w:asciiTheme="majorBidi" w:hAnsiTheme="majorBidi" w:cstheme="majorBidi"/>
                <w:bCs/>
                <w:sz w:val="20"/>
                <w:szCs w:val="20"/>
              </w:rPr>
              <w:t>0</w:t>
            </w:r>
          </w:p>
        </w:tc>
        <w:tc>
          <w:tcPr>
            <w:tcW w:w="308"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69.3</w:t>
            </w:r>
          </w:p>
        </w:tc>
        <w:tc>
          <w:tcPr>
            <w:tcW w:w="364"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China</w:t>
            </w:r>
          </w:p>
        </w:tc>
        <w:tc>
          <w:tcPr>
            <w:tcW w:w="36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{"citationItems":[{"id":"ITEM-1","itemData":{"DOI":"10.2166/wst.2016.144","ISSN":"02731223","PMID":"27332847","abstract":"This study aimed to assess the uptake of diclofenac, a widely used nonsteroidal anti-inflammatory pharmaceutical, by a macrophyte Cyperus alternifolius in a mesocosm-scale free water surface (FWS) constructed wetland. Quantitative analysis of diclofenac concentrations in water solution and plant tissues was conducted by high performance liquid chromatography analysis after sample pre-treatment with solid-phase extraction and liquid extraction, respectively. The FWS with Cyperus alternifolius obtained a maximum 69.3% diclofenac removal efficiency, while a control system without plant only had a removal efficiency of 2.7% at the end of the experiment period of 70 days. Based on mass balance study of the experimental system, it was estimated that plant uptake and inplant conversion of diclofenac contributed about 21.4% of the total diclofenac removal in the mesocosm while the remaining 78.6% diclofenac was eliminated through biotic and abiotic conversion of diclofenac in the water phase. Diclofenac on the root surface and in roots, stems and leaves of Cyperus alternifolius was found at the concentrations of 0.15-2.59 μg/g, 0.21-2.66 μg/g, 0.06-0.53 μg/g, and 0.005-0.02 μg/g of fresh weight of plant tissues, respectively. The maximum bioaccumulation factor of diclofenac was calculated in roots (21.04) followed by root surface (20.49), stems (4.19), and leaves (0.16), respectively. Diclofenac translocation potentiality from root to stem was found below 0.5, suggesting a slow and passive translocation process of diclofenac. Current study demonstrated high potential of Cyperus alternifolius for phytoremediation of diclofenac in FWS and can be applied in other engineered ecosystems.","author":[{"dropping-particle":"","family":"Zhai","given":"Jun","non-dropping-particle":"","parse-names":false,"suffix":""},{"dropping-particle":"","family":"Rahaman","given":"Md Hasibur","non-dropping-particle":"","parse-names":false,"suffix":""},{"dropping-particle":"","family":"Ji","given":"Jiucui","non-dropping-particle":"","parse-names":false,"suffix":""},{"dropping-particle":"","family":"Luo","given":"Zhiyoung","non-dropping-particle":"","parse-names":false,"suffix":""},{"dropping-particle":"","family":"Wang","given":"Quanfeng","non-dropping-particle":"","parse-names":false,"suffix":""},{"dropping-particle":"","family":"Xiao","given":"Haiwen","non-dropping-particle":"","parse-names":false,"suffix":""},{"dropping-particle":"","family":"Wang","given":"Kunping","non-dropping-particle":"","parse-names":false,"suffix":""}],"container-title":"Water Science and Technology","id":"ITEM-1","issue":"12","issued":{"date-parts":[["2016"]]},"page":"3008-3016","title":"Plant uptake of diclofenac in a mesocosm-scale freewater surface constructed wetland by Cyperus alternifolius","type":"article-journal","volume":"73"},"uris":["http://www.mendeley.com/documents/?uuid=1cddb53c-4107-436b-bf3f-06b0a488ede7"]}],"mendeley":{"formattedCitation":"(Zhai et al., 2016)","plainTextFormattedCitation":"(Zhai et al., 2016)","previouslyFormattedCitation":"(Zhai et al., 2016)"},"properties":{"noteIndex":0},"schema":"https://github.com/citation-style-language/schema/raw/master/csl-citation.json"}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(Zhai et al., 2016)</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8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0.23</w:t>
            </w:r>
          </w:p>
        </w:tc>
        <w:tc>
          <w:tcPr>
            <w:tcW w:w="32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2 cm/d</w:t>
            </w:r>
          </w:p>
        </w:tc>
        <w:tc>
          <w:tcPr>
            <w:tcW w:w="32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15.5</w:t>
            </w:r>
          </w:p>
        </w:tc>
        <w:tc>
          <w:tcPr>
            <w:tcW w:w="499" w:type="pct"/>
            <w:vMerge w:val="restart"/>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0.5-0.8</w:t>
            </w:r>
          </w:p>
        </w:tc>
        <w:tc>
          <w:tcPr>
            <w:tcW w:w="49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411"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r w:rsidRPr="00EB3F80">
              <w:rPr>
                <w:rFonts w:asciiTheme="majorBidi" w:hAnsiTheme="majorBidi" w:cstheme="majorBidi"/>
                <w:bCs/>
                <w:i/>
                <w:sz w:val="20"/>
                <w:szCs w:val="20"/>
              </w:rPr>
              <w:t xml:space="preserve">P. </w:t>
            </w:r>
            <w:proofErr w:type="spellStart"/>
            <w:r w:rsidRPr="00EB3F80">
              <w:rPr>
                <w:rFonts w:asciiTheme="majorBidi" w:hAnsiTheme="majorBidi" w:cstheme="majorBidi"/>
                <w:bCs/>
                <w:i/>
                <w:sz w:val="20"/>
                <w:szCs w:val="20"/>
              </w:rPr>
              <w:t>australis</w:t>
            </w:r>
            <w:proofErr w:type="spellEnd"/>
          </w:p>
        </w:tc>
        <w:tc>
          <w:tcPr>
            <w:tcW w:w="27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30</w:t>
            </w:r>
          </w:p>
        </w:tc>
        <w:tc>
          <w:tcPr>
            <w:tcW w:w="549"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sulfamethazine</w:t>
            </w:r>
            <w:proofErr w:type="spellEnd"/>
          </w:p>
        </w:tc>
        <w:tc>
          <w:tcPr>
            <w:tcW w:w="44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23</w:t>
            </w:r>
            <w:r>
              <w:rPr>
                <w:rFonts w:asciiTheme="majorBidi" w:hAnsiTheme="majorBidi" w:cstheme="majorBidi"/>
                <w:bCs/>
                <w:sz w:val="20"/>
                <w:szCs w:val="20"/>
              </w:rPr>
              <w:t>.</w:t>
            </w:r>
            <w:r w:rsidRPr="00EB3F80">
              <w:rPr>
                <w:rFonts w:asciiTheme="majorBidi" w:hAnsiTheme="majorBidi" w:cstheme="majorBidi"/>
                <w:bCs/>
                <w:sz w:val="20"/>
                <w:szCs w:val="20"/>
              </w:rPr>
              <w:t>7</w:t>
            </w:r>
          </w:p>
        </w:tc>
        <w:tc>
          <w:tcPr>
            <w:tcW w:w="308"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57</w:t>
            </w:r>
          </w:p>
        </w:tc>
        <w:tc>
          <w:tcPr>
            <w:tcW w:w="36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China</w:t>
            </w:r>
          </w:p>
        </w:tc>
        <w:tc>
          <w:tcPr>
            <w:tcW w:w="36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{"citationItems":[{"id":"ITEM-1","itemData":{"DOI":"10.1016/j.jhazmat.2014.06.015","ISSN":"18733336","PMID":"24992455","abstract":"Four pilot-scale constructed wetlands (free water surface, SF; horizontal subsurface flow, HSF; vertical subsurface flows with different water level, VSF-L and VSF-H) were operated to assess their ability to remove sulfamethazine (SMZ) and tetracycline (TC) from wastewaters, and to investigate the abundance level of corresponding resistance genes (sulI, sulII, tetM, tetW and tetO) in the CWs. The results indicated that CWs could significantly reduce the concentration of antibiotics in wastewater, and the mass removal rate range of SMZ and TC were respectively 11%-95% and 85%-95% in the four systems on the basis of hydraulic equilibrium; further relatively high removal rate was observed in VSF with low water level. Seasonal condition had a significant effect on SMZ removal in the CWs (especially SMZ in SF), but TC removal in VSFs were not considered to have statistically significant differences in winter and summer. At the end period, the relative abundances of target genes in the CWs showed obvious increases compared to initial levels, ranging from 2.98×10-5 to 1.27×10-1 for sul genes and 4.68×10-6 to 1.54×10-1 for tet genes after treatment, and those abundances showed close relation to both characteristic of wastewater and configuration of CWs. © 2014 Elsevier B.V.","author":[{"dropping-particle":"","family":"Liu","given":"Lin","non-dropping-particle":"","parse-names":false,"suffix":""},{"dropping-particle":"","family":"Liu","given":"Yu hong","non-dropping-particle":"","parse-names":false,"suffix":""},{"dropping-particle":"","family":"Wang","given":"Zhen","non-dropping-particle":"","parse-names":false,"suffix":""},{"dropping-particle":"","family":"Liu","given":"Chao xiang","non-dropping-particle":"","parse-names":false,"suffix":""},{"dropping-particle":"","family":"Huang","given":"Xu","non-dropping-particle":"","parse-names":false,"suffix":""},{"dropping-particle":"","family":"Zhu","given":"Ge fu","non-dropping-particle":"","parse-names":false,"suffix":""}],"container-title":"Journal of Hazardous Materials","id":"ITEM-1","issued":{"date-parts":[["2014"]]},"page":"304-310","publisher":"Elsevier B.V.","title":"Behavior of tetracycline and sulfamethazine with corresponding resistance genes from swine wastewater in pilot-scale constructed wetlands","type":"article-journal","volume":"278"},"uris":["http://www.mendeley.com/documents/?uuid=41004e96-7abd-415d-be97-7c69c8096c41"]}],"mendeley":{"formattedCitation":"(Liu et al., 2014)","plainTextFormattedCitation":"(Liu et al., 2014)","previouslyFormattedCitation":"(Liu et al., 2014)"},"properties":{"noteIndex":0},"schema":"https://github.com/citation-style-language/schema/raw/master/csl-citation.json"}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(Liu et al., 2014)</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tetracycline</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4</w:t>
            </w:r>
            <w:r>
              <w:rPr>
                <w:rFonts w:asciiTheme="majorBidi" w:hAnsiTheme="majorBidi" w:cstheme="majorBidi"/>
                <w:bCs/>
                <w:sz w:val="20"/>
                <w:szCs w:val="20"/>
              </w:rPr>
              <w:t>.</w:t>
            </w:r>
            <w:r w:rsidRPr="00EB3F80">
              <w:rPr>
                <w:rFonts w:asciiTheme="majorBidi" w:hAnsiTheme="majorBidi" w:cstheme="majorBidi"/>
                <w:bCs/>
                <w:sz w:val="20"/>
                <w:szCs w:val="20"/>
              </w:rPr>
              <w:t>5</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93</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13</w:t>
            </w: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sulfamethazine</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29</w:t>
            </w:r>
            <w:r>
              <w:rPr>
                <w:rFonts w:asciiTheme="majorBidi" w:hAnsiTheme="majorBidi" w:cstheme="majorBidi"/>
                <w:bCs/>
                <w:sz w:val="20"/>
                <w:szCs w:val="20"/>
              </w:rPr>
              <w:t>.</w:t>
            </w:r>
            <w:r w:rsidRPr="00EB3F80">
              <w:rPr>
                <w:rFonts w:asciiTheme="majorBidi" w:hAnsiTheme="majorBidi" w:cstheme="majorBidi"/>
                <w:bCs/>
                <w:sz w:val="20"/>
                <w:szCs w:val="20"/>
              </w:rPr>
              <w:t>3</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11</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tetracycline</w:t>
            </w:r>
          </w:p>
        </w:tc>
        <w:tc>
          <w:tcPr>
            <w:tcW w:w="44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w:t>
            </w:r>
            <w:r>
              <w:rPr>
                <w:rFonts w:asciiTheme="majorBidi" w:hAnsiTheme="majorBidi" w:cstheme="majorBidi"/>
                <w:bCs/>
                <w:sz w:val="20"/>
                <w:szCs w:val="20"/>
              </w:rPr>
              <w:t>.</w:t>
            </w:r>
            <w:r w:rsidRPr="00EB3F80">
              <w:rPr>
                <w:rFonts w:asciiTheme="majorBidi" w:hAnsiTheme="majorBidi" w:cstheme="majorBidi"/>
                <w:bCs/>
                <w:sz w:val="20"/>
                <w:szCs w:val="20"/>
              </w:rPr>
              <w:t>52</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85</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8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9.29</w:t>
            </w:r>
          </w:p>
        </w:tc>
        <w:tc>
          <w:tcPr>
            <w:tcW w:w="329"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 L/min</w:t>
            </w:r>
          </w:p>
        </w:tc>
        <w:tc>
          <w:tcPr>
            <w:tcW w:w="323"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2.2</w:t>
            </w:r>
          </w:p>
        </w:tc>
        <w:tc>
          <w:tcPr>
            <w:tcW w:w="499" w:type="pct"/>
            <w:vMerge w:val="restart"/>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0.15</w:t>
            </w:r>
          </w:p>
        </w:tc>
        <w:tc>
          <w:tcPr>
            <w:tcW w:w="499"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411" w:type="pct"/>
            <w:vMerge w:val="restart"/>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Phalaris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arundinaceae</w:t>
            </w:r>
            <w:proofErr w:type="spellEnd"/>
            <w:r w:rsidRPr="00EB3F80">
              <w:rPr>
                <w:rFonts w:asciiTheme="majorBidi" w:hAnsiTheme="majorBidi" w:cstheme="majorBidi"/>
                <w:bCs/>
                <w:i/>
                <w:sz w:val="20"/>
                <w:szCs w:val="20"/>
              </w:rPr>
              <w:t xml:space="preserve"> L.</w:t>
            </w:r>
          </w:p>
        </w:tc>
        <w:tc>
          <w:tcPr>
            <w:tcW w:w="275"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21.51</w:t>
            </w: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monensin</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100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26.77</w:t>
            </w:r>
          </w:p>
        </w:tc>
        <w:tc>
          <w:tcPr>
            <w:tcW w:w="364"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Canada</w:t>
            </w:r>
          </w:p>
        </w:tc>
        <w:tc>
          <w:tcPr>
            <w:tcW w:w="36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{"citationItems":[{"id":"ITEM-1","itemData":{"DOI":"10.1016/j.ecoleng.2011.12.006","ISSN":"09258574","abstract":"Pharmaceuticals are organic compounds that are being widely considered as emerging contaminants. Among pharmaceuticals used exclusively for veterinary purposes, ionophore group of compounds form a prominent class. Based on the usage and detected environmental concentrations, ionophores are considered as high-risk compounds. This study was conducted to determine the removal efficiency of monensin, salinomycin and narasin in two free water surface constructed wetlands with different substrates: one with a sandy clay loam soil and another with a sandy soil. Three concentrations of each antibiotic in water were used. A significantly higher removal occurred with the sandy (vs sandy clay loam) soil. This enhanced removal was construed to be attained because water was able to infiltrate more in the sandy soil, providing greater solute-to-substrate interaction. The correlations obtained for removal with parameters like oxygen-reduction potential, temperature and pH indicated that sorption and degradation processes could be working together in both soils. Among the three compounds, monensin and narasin were found to be, respectively, the most and least mobile. Removal efficiencies were significantly affected by the antibiotic concentration in the influent. © 2011 Elsevier B.V.","author":[{"dropping-particle":"","family":"Hussain","given":"Syed Azfar","non-dropping-particle":"","parse-names":false,"suffix":""},{"dropping-particle":"","family":"Prasher","given":"Shiv O.","non-dropping-particle":"","parse-names":false,"suffix":""},{"dropping-particle":"","family":"Patel","given":"Ramanbhai M.","non-dropping-particle":"","parse-names":false,"suffix":""}],"container-title":"Ecological Engineering","id":"ITEM-1","issued":{"date-parts":[["2012"]]},"page":"13-21","publisher":"Elsevier B.V.","title":"Removal of ionophoric antibiotics in free water surface constructed wetlands","type":"article-journal","volume":"41"},"uris":["http://www.mendeley.com/documents/?uuid=2b55110f-7de6-4fb6-b772-330a4c45ebd6"]}],"mendeley":{"formattedCitation":"(Hussain et al., 2012)","plainTextFormattedCitation":"(Hussain et al., 2012)","previouslyFormattedCitation":"(Hussain et al., 2012)"},"properties":{"noteIndex":0},"schema":"https://github.com/citation-style-language/schema/raw/master/csl-citation.json"}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(Hussain et al., 2012)</w:t>
            </w:r>
            <w:r w:rsidRPr="00EB3F80">
              <w:rPr>
                <w:rFonts w:asciiTheme="majorBidi" w:hAnsiTheme="majorBidi" w:cstheme="majorBidi"/>
                <w:bCs/>
                <w:sz w:val="20"/>
                <w:szCs w:val="20"/>
              </w:rPr>
              <w:fldChar w:fldCharType="end"/>
            </w:r>
          </w:p>
        </w:tc>
      </w:tr>
      <w:tr w:rsidR="00263101" w:rsidRPr="00EB3F80" w:rsidTr="00264DEF">
        <w:trPr>
          <w:trHeight w:val="20"/>
        </w:trPr>
        <w:tc>
          <w:tcPr>
            <w:tcW w:w="346" w:type="pct"/>
            <w:vMerge/>
            <w:vAlign w:val="center"/>
          </w:tcPr>
          <w:p w:rsidR="00263101" w:rsidRPr="00EB3F80" w:rsidRDefault="00263101" w:rsidP="00264DEF">
            <w:pPr>
              <w:jc w:val="center"/>
              <w:rPr>
                <w:rFonts w:asciiTheme="majorBidi" w:hAnsiTheme="majorBidi" w:cstheme="majorBidi"/>
                <w:bCs/>
                <w:sz w:val="20"/>
                <w:szCs w:val="20"/>
              </w:rPr>
            </w:pPr>
          </w:p>
        </w:tc>
        <w:tc>
          <w:tcPr>
            <w:tcW w:w="285" w:type="pct"/>
            <w:vMerge/>
            <w:vAlign w:val="center"/>
          </w:tcPr>
          <w:p w:rsidR="00263101" w:rsidRPr="00EB3F80" w:rsidRDefault="00263101" w:rsidP="00264DEF">
            <w:pPr>
              <w:jc w:val="center"/>
              <w:rPr>
                <w:rFonts w:asciiTheme="majorBidi" w:hAnsiTheme="majorBidi" w:cstheme="majorBidi"/>
                <w:bCs/>
                <w:sz w:val="20"/>
                <w:szCs w:val="20"/>
              </w:rPr>
            </w:pPr>
          </w:p>
        </w:tc>
        <w:tc>
          <w:tcPr>
            <w:tcW w:w="329" w:type="pct"/>
            <w:vMerge/>
            <w:vAlign w:val="center"/>
          </w:tcPr>
          <w:p w:rsidR="00263101" w:rsidRPr="00EB3F80" w:rsidRDefault="00263101" w:rsidP="00264DEF">
            <w:pPr>
              <w:jc w:val="center"/>
              <w:rPr>
                <w:rFonts w:asciiTheme="majorBidi" w:hAnsiTheme="majorBidi" w:cstheme="majorBidi"/>
                <w:bCs/>
                <w:sz w:val="20"/>
                <w:szCs w:val="20"/>
              </w:rPr>
            </w:pPr>
          </w:p>
        </w:tc>
        <w:tc>
          <w:tcPr>
            <w:tcW w:w="323" w:type="pct"/>
            <w:vMerge/>
            <w:vAlign w:val="center"/>
          </w:tcPr>
          <w:p w:rsidR="00263101" w:rsidRPr="00EB3F80" w:rsidRDefault="00263101" w:rsidP="00264DEF">
            <w:pPr>
              <w:jc w:val="center"/>
              <w:rPr>
                <w:rFonts w:asciiTheme="majorBidi" w:hAnsiTheme="majorBidi" w:cstheme="majorBidi"/>
                <w:bCs/>
                <w:sz w:val="20"/>
                <w:szCs w:val="20"/>
              </w:rPr>
            </w:pPr>
          </w:p>
        </w:tc>
        <w:tc>
          <w:tcPr>
            <w:tcW w:w="499" w:type="pct"/>
            <w:vMerge/>
          </w:tcPr>
          <w:p w:rsidR="00263101" w:rsidRPr="00EB3F80" w:rsidRDefault="00263101" w:rsidP="00264DEF">
            <w:pPr>
              <w:jc w:val="center"/>
              <w:rPr>
                <w:rFonts w:asciiTheme="majorBidi" w:hAnsiTheme="majorBidi" w:cstheme="majorBidi"/>
                <w:bCs/>
                <w:sz w:val="20"/>
                <w:szCs w:val="20"/>
              </w:rPr>
            </w:pPr>
          </w:p>
        </w:tc>
        <w:tc>
          <w:tcPr>
            <w:tcW w:w="499" w:type="pct"/>
            <w:vMerge/>
            <w:vAlign w:val="center"/>
          </w:tcPr>
          <w:p w:rsidR="00263101" w:rsidRPr="00EB3F80" w:rsidRDefault="00263101" w:rsidP="00264DEF">
            <w:pPr>
              <w:jc w:val="center"/>
              <w:rPr>
                <w:rFonts w:asciiTheme="majorBidi" w:hAnsiTheme="majorBidi" w:cstheme="majorBidi"/>
                <w:bCs/>
                <w:sz w:val="20"/>
                <w:szCs w:val="20"/>
              </w:rPr>
            </w:pPr>
          </w:p>
        </w:tc>
        <w:tc>
          <w:tcPr>
            <w:tcW w:w="411" w:type="pct"/>
            <w:vMerge/>
            <w:vAlign w:val="center"/>
          </w:tcPr>
          <w:p w:rsidR="00263101" w:rsidRPr="00EB3F80" w:rsidRDefault="00263101" w:rsidP="00264DEF">
            <w:pPr>
              <w:jc w:val="center"/>
              <w:rPr>
                <w:rFonts w:asciiTheme="majorBidi" w:hAnsiTheme="majorBidi" w:cstheme="majorBidi"/>
                <w:bCs/>
                <w:i/>
                <w:sz w:val="20"/>
                <w:szCs w:val="20"/>
              </w:rPr>
            </w:pPr>
          </w:p>
        </w:tc>
        <w:tc>
          <w:tcPr>
            <w:tcW w:w="275" w:type="pct"/>
            <w:vMerge/>
            <w:vAlign w:val="center"/>
          </w:tcPr>
          <w:p w:rsidR="00263101" w:rsidRPr="00EB3F80" w:rsidRDefault="00263101" w:rsidP="00264DEF">
            <w:pPr>
              <w:jc w:val="center"/>
              <w:rPr>
                <w:rFonts w:asciiTheme="majorBidi" w:hAnsiTheme="majorBidi" w:cstheme="majorBidi"/>
                <w:bCs/>
                <w:sz w:val="20"/>
                <w:szCs w:val="20"/>
              </w:rPr>
            </w:pPr>
          </w:p>
        </w:tc>
        <w:tc>
          <w:tcPr>
            <w:tcW w:w="549"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salinomycin</w:t>
            </w:r>
            <w:proofErr w:type="spellEnd"/>
          </w:p>
        </w:tc>
        <w:tc>
          <w:tcPr>
            <w:tcW w:w="446"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100</w:t>
            </w:r>
          </w:p>
        </w:tc>
        <w:tc>
          <w:tcPr>
            <w:tcW w:w="308"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28.86</w:t>
            </w:r>
          </w:p>
        </w:tc>
        <w:tc>
          <w:tcPr>
            <w:tcW w:w="364" w:type="pct"/>
            <w:vMerge/>
            <w:vAlign w:val="center"/>
          </w:tcPr>
          <w:p w:rsidR="00263101" w:rsidRPr="00EB3F80" w:rsidRDefault="00263101" w:rsidP="00264DEF">
            <w:pPr>
              <w:jc w:val="center"/>
              <w:rPr>
                <w:rFonts w:asciiTheme="majorBidi" w:hAnsiTheme="majorBidi" w:cstheme="majorBidi"/>
                <w:bCs/>
                <w:sz w:val="20"/>
                <w:szCs w:val="20"/>
              </w:rPr>
            </w:pPr>
          </w:p>
        </w:tc>
        <w:tc>
          <w:tcPr>
            <w:tcW w:w="366" w:type="pct"/>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4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8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2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2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99" w:type="pct"/>
            <w:vMerge/>
            <w:tcBorders>
              <w:bottom w:val="single" w:sz="4" w:space="0" w:color="auto"/>
            </w:tcBorders>
          </w:tcPr>
          <w:p w:rsidR="00263101" w:rsidRPr="00EB3F80" w:rsidRDefault="00263101" w:rsidP="00264DEF">
            <w:pPr>
              <w:jc w:val="center"/>
              <w:rPr>
                <w:rFonts w:asciiTheme="majorBidi" w:hAnsiTheme="majorBidi" w:cstheme="majorBidi"/>
                <w:bCs/>
                <w:sz w:val="20"/>
                <w:szCs w:val="20"/>
              </w:rPr>
            </w:pPr>
          </w:p>
        </w:tc>
        <w:tc>
          <w:tcPr>
            <w:tcW w:w="49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11" w:type="pct"/>
            <w:vMerge/>
            <w:tcBorders>
              <w:bottom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
        </w:tc>
        <w:tc>
          <w:tcPr>
            <w:tcW w:w="27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49"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narasin</w:t>
            </w:r>
            <w:proofErr w:type="spellEnd"/>
          </w:p>
        </w:tc>
        <w:tc>
          <w:tcPr>
            <w:tcW w:w="446"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100</w:t>
            </w:r>
          </w:p>
        </w:tc>
        <w:tc>
          <w:tcPr>
            <w:tcW w:w="308"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34.21</w:t>
            </w:r>
          </w:p>
        </w:tc>
        <w:tc>
          <w:tcPr>
            <w:tcW w:w="364"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6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r>
    </w:tbl>
    <w:p w:rsidR="00263101" w:rsidRDefault="00263101" w:rsidP="00263101"/>
    <w:p w:rsidR="00263101" w:rsidRDefault="00263101" w:rsidP="00263101">
      <w:pPr>
        <w:rPr>
          <w:rFonts w:asciiTheme="majorBidi" w:hAnsiTheme="majorBidi" w:cstheme="majorBidi"/>
          <w:b/>
        </w:rPr>
      </w:pPr>
    </w:p>
    <w:p w:rsidR="00263101" w:rsidRDefault="00263101" w:rsidP="00263101">
      <w:pPr>
        <w:rPr>
          <w:rFonts w:asciiTheme="majorBidi" w:hAnsiTheme="majorBidi" w:cstheme="majorBidi"/>
          <w:b/>
        </w:rPr>
      </w:pPr>
    </w:p>
    <w:p w:rsidR="00263101" w:rsidRDefault="00263101" w:rsidP="00263101">
      <w:pPr>
        <w:rPr>
          <w:rFonts w:asciiTheme="majorBidi" w:hAnsiTheme="majorBidi" w:cstheme="majorBidi"/>
          <w:b/>
        </w:rPr>
      </w:pPr>
    </w:p>
    <w:p w:rsidR="00263101" w:rsidRPr="00E46013" w:rsidRDefault="00263101" w:rsidP="00263101">
      <w:pPr>
        <w:spacing w:after="0" w:line="480" w:lineRule="auto"/>
        <w:rPr>
          <w:rFonts w:asciiTheme="majorBidi" w:hAnsiTheme="majorBidi" w:cstheme="majorBidi"/>
          <w:bCs/>
          <w:sz w:val="24"/>
          <w:szCs w:val="24"/>
        </w:rPr>
      </w:pPr>
      <w:r>
        <w:rPr>
          <w:rFonts w:asciiTheme="majorBidi" w:hAnsiTheme="majorBidi" w:cstheme="majorBidi"/>
          <w:bCs/>
          <w:sz w:val="24"/>
          <w:szCs w:val="24"/>
        </w:rPr>
        <w:lastRenderedPageBreak/>
        <w:t xml:space="preserve">Table </w:t>
      </w:r>
      <w:r w:rsidR="007311D7">
        <w:rPr>
          <w:rFonts w:asciiTheme="majorBidi" w:hAnsiTheme="majorBidi" w:cstheme="majorBidi"/>
          <w:bCs/>
          <w:sz w:val="24"/>
          <w:szCs w:val="24"/>
        </w:rPr>
        <w:t xml:space="preserve">SI </w:t>
      </w:r>
      <w:bookmarkStart w:id="0" w:name="_GoBack"/>
      <w:bookmarkEnd w:id="0"/>
      <w:r>
        <w:rPr>
          <w:rFonts w:asciiTheme="majorBidi" w:hAnsiTheme="majorBidi" w:cstheme="majorBidi"/>
          <w:bCs/>
          <w:sz w:val="24"/>
          <w:szCs w:val="24"/>
        </w:rPr>
        <w:t>4.</w:t>
      </w:r>
      <w:r w:rsidRPr="000777EA">
        <w:rPr>
          <w:rFonts w:asciiTheme="majorBidi" w:hAnsiTheme="majorBidi" w:cstheme="majorBidi"/>
          <w:bCs/>
          <w:sz w:val="24"/>
          <w:szCs w:val="24"/>
        </w:rPr>
        <w:t xml:space="preserve"> </w:t>
      </w:r>
      <w:r>
        <w:rPr>
          <w:rFonts w:asciiTheme="majorBidi" w:hAnsiTheme="majorBidi" w:cstheme="majorBidi"/>
          <w:bCs/>
          <w:sz w:val="24"/>
          <w:szCs w:val="24"/>
        </w:rPr>
        <w:t xml:space="preserve">FWSCWs performances for removing pesticides from different wastewater sources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
        <w:gridCol w:w="779"/>
        <w:gridCol w:w="1108"/>
        <w:gridCol w:w="1133"/>
        <w:gridCol w:w="1167"/>
        <w:gridCol w:w="1103"/>
        <w:gridCol w:w="1418"/>
        <w:gridCol w:w="709"/>
        <w:gridCol w:w="1650"/>
        <w:gridCol w:w="1128"/>
        <w:gridCol w:w="882"/>
        <w:gridCol w:w="930"/>
        <w:gridCol w:w="89"/>
        <w:gridCol w:w="916"/>
      </w:tblGrid>
      <w:tr w:rsidR="00263101" w:rsidRPr="00EB3F80" w:rsidTr="00264DEF">
        <w:trPr>
          <w:trHeight w:val="20"/>
        </w:trPr>
        <w:tc>
          <w:tcPr>
            <w:tcW w:w="339"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System Scale</w:t>
            </w:r>
          </w:p>
        </w:tc>
        <w:tc>
          <w:tcPr>
            <w:tcW w:w="279"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Area (m²)</w:t>
            </w:r>
          </w:p>
        </w:tc>
        <w:tc>
          <w:tcPr>
            <w:tcW w:w="397"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Capacity (m³/day)</w:t>
            </w:r>
          </w:p>
        </w:tc>
        <w:tc>
          <w:tcPr>
            <w:tcW w:w="406"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HRT</w:t>
            </w:r>
          </w:p>
        </w:tc>
        <w:tc>
          <w:tcPr>
            <w:tcW w:w="418"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Depth (m)</w:t>
            </w:r>
          </w:p>
        </w:tc>
        <w:tc>
          <w:tcPr>
            <w:tcW w:w="395" w:type="pct"/>
            <w:vMerge w:val="restart"/>
            <w:tcBorders>
              <w:top w:val="single" w:sz="4" w:space="0" w:color="auto"/>
            </w:tcBorders>
            <w:vAlign w:val="center"/>
          </w:tcPr>
          <w:p w:rsidR="00263101" w:rsidRPr="004B1893" w:rsidRDefault="00263101" w:rsidP="00264DEF">
            <w:pPr>
              <w:jc w:val="center"/>
              <w:rPr>
                <w:rFonts w:asciiTheme="majorBidi" w:hAnsiTheme="majorBidi" w:cstheme="majorBidi"/>
                <w:b/>
                <w:sz w:val="20"/>
                <w:szCs w:val="20"/>
              </w:rPr>
            </w:pPr>
            <w:r w:rsidRPr="004B1893">
              <w:rPr>
                <w:rFonts w:asciiTheme="majorBidi" w:hAnsiTheme="majorBidi" w:cstheme="majorBidi"/>
                <w:b/>
                <w:sz w:val="20"/>
                <w:szCs w:val="20"/>
              </w:rPr>
              <w:t>Wastewater type</w:t>
            </w:r>
          </w:p>
        </w:tc>
        <w:tc>
          <w:tcPr>
            <w:tcW w:w="508"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Vegetation</w:t>
            </w:r>
          </w:p>
        </w:tc>
        <w:tc>
          <w:tcPr>
            <w:tcW w:w="254"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Tem</w:t>
            </w:r>
            <w:r>
              <w:rPr>
                <w:rFonts w:asciiTheme="majorBidi" w:hAnsiTheme="majorBidi" w:cstheme="majorBidi"/>
                <w:b/>
                <w:sz w:val="20"/>
                <w:szCs w:val="20"/>
              </w:rPr>
              <w:t>p</w:t>
            </w:r>
            <w:r w:rsidRPr="00F523EB">
              <w:rPr>
                <w:rFonts w:asciiTheme="majorBidi" w:hAnsiTheme="majorBidi" w:cstheme="majorBidi"/>
                <w:b/>
                <w:sz w:val="20"/>
                <w:szCs w:val="20"/>
              </w:rPr>
              <w:t xml:space="preserve"> ( ºC)</w:t>
            </w:r>
          </w:p>
        </w:tc>
        <w:tc>
          <w:tcPr>
            <w:tcW w:w="1311" w:type="pct"/>
            <w:gridSpan w:val="3"/>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Pollutants removal (%)</w:t>
            </w:r>
          </w:p>
        </w:tc>
        <w:tc>
          <w:tcPr>
            <w:tcW w:w="365" w:type="pct"/>
            <w:gridSpan w:val="2"/>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Country</w:t>
            </w:r>
          </w:p>
        </w:tc>
        <w:tc>
          <w:tcPr>
            <w:tcW w:w="328" w:type="pct"/>
            <w:vMerge w:val="restart"/>
            <w:tcBorders>
              <w:top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References</w:t>
            </w:r>
          </w:p>
        </w:tc>
      </w:tr>
      <w:tr w:rsidR="00263101" w:rsidRPr="00EB3F80" w:rsidTr="00264DEF">
        <w:trPr>
          <w:trHeight w:val="20"/>
        </w:trPr>
        <w:tc>
          <w:tcPr>
            <w:tcW w:w="33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7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97"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0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1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9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0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
        </w:tc>
        <w:tc>
          <w:tcPr>
            <w:tcW w:w="254"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91"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F523EB">
              <w:rPr>
                <w:rFonts w:asciiTheme="majorBidi" w:hAnsiTheme="majorBidi" w:cstheme="majorBidi"/>
                <w:b/>
                <w:sz w:val="20"/>
                <w:szCs w:val="20"/>
              </w:rPr>
              <w:t>Parameter</w:t>
            </w:r>
          </w:p>
        </w:tc>
        <w:tc>
          <w:tcPr>
            <w:tcW w:w="404" w:type="pct"/>
            <w:tcBorders>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Initial Concentration (</w:t>
            </w:r>
            <w:r>
              <w:rPr>
                <w:rFonts w:asciiTheme="majorBidi" w:hAnsiTheme="majorBidi" w:cstheme="majorBidi"/>
                <w:b/>
                <w:sz w:val="20"/>
                <w:szCs w:val="20"/>
              </w:rPr>
              <w:t>µ</w:t>
            </w:r>
            <w:r w:rsidRPr="00F523EB">
              <w:rPr>
                <w:rFonts w:asciiTheme="majorBidi" w:hAnsiTheme="majorBidi" w:cstheme="majorBidi"/>
                <w:b/>
                <w:sz w:val="20"/>
                <w:szCs w:val="20"/>
              </w:rPr>
              <w:t>g/L)</w:t>
            </w:r>
          </w:p>
        </w:tc>
        <w:tc>
          <w:tcPr>
            <w:tcW w:w="316" w:type="pct"/>
            <w:tcBorders>
              <w:bottom w:val="single" w:sz="4" w:space="0" w:color="auto"/>
            </w:tcBorders>
            <w:vAlign w:val="center"/>
          </w:tcPr>
          <w:p w:rsidR="00263101" w:rsidRPr="00F523EB" w:rsidRDefault="00263101" w:rsidP="00264DEF">
            <w:pPr>
              <w:jc w:val="center"/>
              <w:rPr>
                <w:rFonts w:asciiTheme="majorBidi" w:hAnsiTheme="majorBidi" w:cstheme="majorBidi"/>
                <w:b/>
                <w:sz w:val="20"/>
                <w:szCs w:val="20"/>
              </w:rPr>
            </w:pPr>
            <w:r w:rsidRPr="00F523EB">
              <w:rPr>
                <w:rFonts w:asciiTheme="majorBidi" w:hAnsiTheme="majorBidi" w:cstheme="majorBidi"/>
                <w:b/>
                <w:sz w:val="20"/>
                <w:szCs w:val="20"/>
              </w:rPr>
              <w:t>Removal%</w:t>
            </w:r>
          </w:p>
        </w:tc>
        <w:tc>
          <w:tcPr>
            <w:tcW w:w="365" w:type="pct"/>
            <w:gridSpan w:val="2"/>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2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Pilot-scale</w:t>
            </w:r>
          </w:p>
        </w:tc>
        <w:tc>
          <w:tcPr>
            <w:tcW w:w="279"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227</w:t>
            </w:r>
          </w:p>
        </w:tc>
        <w:tc>
          <w:tcPr>
            <w:tcW w:w="397"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103 L/min</w:t>
            </w:r>
          </w:p>
        </w:tc>
        <w:tc>
          <w:tcPr>
            <w:tcW w:w="406"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w:t>
            </w:r>
          </w:p>
        </w:tc>
        <w:tc>
          <w:tcPr>
            <w:tcW w:w="418"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0.8</w:t>
            </w:r>
          </w:p>
        </w:tc>
        <w:tc>
          <w:tcPr>
            <w:tcW w:w="395"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agricultural run-off</w:t>
            </w:r>
          </w:p>
        </w:tc>
        <w:tc>
          <w:tcPr>
            <w:tcW w:w="508"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Juncus</w:t>
            </w:r>
            <w:proofErr w:type="spellEnd"/>
            <w:r w:rsidRPr="00EB3F80">
              <w:rPr>
                <w:rFonts w:asciiTheme="majorBidi" w:hAnsiTheme="majorBidi" w:cstheme="majorBidi"/>
                <w:bCs/>
                <w:i/>
                <w:sz w:val="20"/>
                <w:szCs w:val="20"/>
              </w:rPr>
              <w:t xml:space="preserve"> effuses,  </w:t>
            </w: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p>
        </w:tc>
        <w:tc>
          <w:tcPr>
            <w:tcW w:w="254"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22.5</w:t>
            </w:r>
          </w:p>
        </w:tc>
        <w:tc>
          <w:tcPr>
            <w:tcW w:w="591" w:type="pc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Atrazine</w:t>
            </w:r>
          </w:p>
        </w:tc>
        <w:tc>
          <w:tcPr>
            <w:tcW w:w="404" w:type="pc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197</w:t>
            </w:r>
          </w:p>
        </w:tc>
        <w:tc>
          <w:tcPr>
            <w:tcW w:w="316" w:type="pc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19-49</w:t>
            </w:r>
          </w:p>
        </w:tc>
        <w:tc>
          <w:tcPr>
            <w:tcW w:w="333" w:type="pct"/>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USA</w:t>
            </w:r>
          </w:p>
        </w:tc>
        <w:tc>
          <w:tcPr>
            <w:tcW w:w="360" w:type="pct"/>
            <w:gridSpan w:val="2"/>
            <w:vMerge w:val="restart"/>
            <w:tcBorders>
              <w:top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{"citationItems":[{"id":"ITEM-1","itemData":{"DOI":"10.1016/j.ecoleng.2016.02.014","ISSN":"09258574","abstract":"In the context of subsurface drainage, the mitigation of agricultural pollutants means intercepting water flows using green infrastructures such as constructed wetlands (CWs). First, based on a scientific review, this paper analyses how efficiently CWs can remove nitrate and pesticides from the runoff in drained agricultural watersheds. Average efficiency ranges from 20 to 90% and from 40 to 90% for pesticides and nitrate respectively. The main processes involved are based on microbiological activities, for which hydraulic residence time is a key factor. In order to successful implementation of such a wetland system, hydrological diagnosis of water flow and pollutant transfer at different watershed scales should be provided. Typically, the transport and transformation of pollutants shows clear seasonality depending on the application of nitrate (throughout the whole year) and pesticides (only after application periods). We suggest two interception strategies based on field experiments. The “on-stream” strategy means the establishment of free water surface (FWS) CWs directly on streams/ditches and the interception of all drainage flows: a solution suitable for nitrate removal. The “off-stream” strategy requires the establishment of CWs outside of streams/ditches, whereas interception targets only the most polluted water flow, for instance during the period after pesticide application, requiring farmer's involvement. Suggestions are also made for FWS CW design (a geotechnical survey, topography constraints, etc.) respecting ecological engineering concepts. A following size range is proposed: 76 m3 per drained hectare, equivalent to 1% of the upstream area, given a maximum water depth of 0.8 m. Nevertheless, CWs must be considered as a complementary tool dedicated to transfer reduction, and as part of broader actions aimed at reducing pollutant loading at the plot scale.","author":[{"dropping-particle":"","family":"Tournebize","given":"Julien","non-dropping-particle":"","parse-names":false,"suffix":""},{"dropping-particle":"","family":"Chaumont","given":"Cedric","non-dropping-particle":"","parse-names":false,"suffix":""},{"dropping-particle":"","family":"Mander","given":"Ülo","non-dropping-particle":"","parse-names":false,"suffix":""}],"container-title":"Ecological Engineering","id":"ITEM-1","issued":{"date-parts":[["2017"]]},"page":"415-425","publisher":"Elsevier B.V.","title":"Implications for constructed wetlands to mitigate nitrate and pesticide pollution in agricultural drained watersheds","type":"article-journal","volume":"103"},"uris":["http://www.mendeley.com/documents/?uuid=6384ead2-8c24-4a09-b161-76bfe3cea60b"]}],"mendeley":{"formattedCitation":"(Tournebize et al., 2017)","plainTextFormattedCitation":"(Tournebize et al., 2017)","previouslyFormattedCitation":"(Tournebize et al., 2017)"},"properties":{"noteIndex":0},"schema":"https://github.com/citation-style-language/schema/raw/master/csl-citation.json"}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(Tournebize et al., 2017)</w:t>
            </w:r>
            <w:r w:rsidRPr="00EB3F80">
              <w:rPr>
                <w:rFonts w:asciiTheme="majorBidi" w:hAnsiTheme="majorBidi" w:cstheme="majorBidi"/>
                <w:bCs/>
                <w:sz w:val="20"/>
                <w:szCs w:val="20"/>
              </w:rPr>
              <w:fldChar w:fldCharType="end"/>
            </w: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S-</w:t>
            </w:r>
            <w:proofErr w:type="spellStart"/>
            <w:r w:rsidRPr="00EB3F80">
              <w:rPr>
                <w:rFonts w:asciiTheme="majorBidi" w:hAnsiTheme="majorBidi" w:cstheme="majorBidi"/>
                <w:bCs/>
                <w:sz w:val="20"/>
                <w:szCs w:val="20"/>
              </w:rPr>
              <w:t>Metolachlor</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287</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56-58</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28</w:t>
            </w: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Atrazine</w:t>
            </w:r>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197</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50-97</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S-</w:t>
            </w:r>
            <w:proofErr w:type="spellStart"/>
            <w:r w:rsidRPr="00EB3F80">
              <w:rPr>
                <w:rFonts w:asciiTheme="majorBidi" w:hAnsiTheme="majorBidi" w:cstheme="majorBidi"/>
                <w:bCs/>
                <w:sz w:val="20"/>
                <w:szCs w:val="20"/>
              </w:rPr>
              <w:t>Metolachlor</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287</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67-99</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419"/>
        </w:trPr>
        <w:tc>
          <w:tcPr>
            <w:tcW w:w="33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mesocosm</w:t>
            </w:r>
            <w:proofErr w:type="spellEnd"/>
            <w:r w:rsidRPr="00EB3F80">
              <w:rPr>
                <w:rFonts w:asciiTheme="majorBidi" w:hAnsiTheme="majorBidi" w:cstheme="majorBidi"/>
                <w:bCs/>
                <w:sz w:val="20"/>
                <w:szCs w:val="20"/>
              </w:rPr>
              <w:t>-scale</w:t>
            </w:r>
          </w:p>
        </w:tc>
        <w:tc>
          <w:tcPr>
            <w:tcW w:w="27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0.18</w:t>
            </w:r>
          </w:p>
        </w:tc>
        <w:tc>
          <w:tcPr>
            <w:tcW w:w="397"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0.34 L/d</w:t>
            </w:r>
          </w:p>
        </w:tc>
        <w:tc>
          <w:tcPr>
            <w:tcW w:w="40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14</w:t>
            </w:r>
          </w:p>
        </w:tc>
        <w:tc>
          <w:tcPr>
            <w:tcW w:w="41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0.18</w:t>
            </w:r>
          </w:p>
        </w:tc>
        <w:tc>
          <w:tcPr>
            <w:tcW w:w="39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Agricultural Runoff</w:t>
            </w:r>
          </w:p>
        </w:tc>
        <w:tc>
          <w:tcPr>
            <w:tcW w:w="508"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Nymphaea</w:t>
            </w:r>
            <w:proofErr w:type="spellEnd"/>
          </w:p>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amazonum</w:t>
            </w:r>
            <w:proofErr w:type="spellEnd"/>
          </w:p>
        </w:tc>
        <w:tc>
          <w:tcPr>
            <w:tcW w:w="25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27.5</w:t>
            </w:r>
          </w:p>
        </w:tc>
        <w:tc>
          <w:tcPr>
            <w:tcW w:w="591"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imidacloprid</w:t>
            </w:r>
            <w:proofErr w:type="spellEnd"/>
          </w:p>
        </w:tc>
        <w:tc>
          <w:tcPr>
            <w:tcW w:w="404"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 xml:space="preserve">1.0, </w:t>
            </w:r>
            <w:r w:rsidRPr="00EB3F80">
              <w:rPr>
                <w:rFonts w:asciiTheme="majorBidi" w:hAnsiTheme="majorBidi" w:cstheme="majorBidi"/>
                <w:bCs/>
                <w:sz w:val="20"/>
                <w:szCs w:val="20"/>
              </w:rPr>
              <w:t>3</w:t>
            </w:r>
            <w:r>
              <w:rPr>
                <w:rFonts w:asciiTheme="majorBidi" w:hAnsiTheme="majorBidi" w:cstheme="majorBidi"/>
                <w:bCs/>
                <w:sz w:val="20"/>
                <w:szCs w:val="20"/>
              </w:rPr>
              <w:t xml:space="preserve">0, </w:t>
            </w:r>
            <w:r w:rsidRPr="00EB3F80">
              <w:rPr>
                <w:rFonts w:asciiTheme="majorBidi" w:hAnsiTheme="majorBidi" w:cstheme="majorBidi"/>
                <w:bCs/>
                <w:sz w:val="20"/>
                <w:szCs w:val="20"/>
              </w:rPr>
              <w:t>6</w:t>
            </w:r>
            <w:r>
              <w:rPr>
                <w:rFonts w:asciiTheme="majorBidi" w:hAnsiTheme="majorBidi" w:cstheme="majorBidi"/>
                <w:bCs/>
                <w:sz w:val="20"/>
                <w:szCs w:val="20"/>
              </w:rPr>
              <w:t xml:space="preserve">0, </w:t>
            </w:r>
            <w:r w:rsidRPr="00EB3F80">
              <w:rPr>
                <w:rFonts w:asciiTheme="majorBidi" w:hAnsiTheme="majorBidi" w:cstheme="majorBidi"/>
                <w:bCs/>
                <w:sz w:val="20"/>
                <w:szCs w:val="20"/>
              </w:rPr>
              <w:t>18</w:t>
            </w:r>
            <w:r>
              <w:rPr>
                <w:rFonts w:asciiTheme="majorBidi" w:hAnsiTheme="majorBidi" w:cstheme="majorBidi"/>
                <w:bCs/>
                <w:sz w:val="20"/>
                <w:szCs w:val="20"/>
              </w:rPr>
              <w:t>0, 1000</w:t>
            </w:r>
          </w:p>
        </w:tc>
        <w:tc>
          <w:tcPr>
            <w:tcW w:w="31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100</w:t>
            </w:r>
          </w:p>
        </w:tc>
        <w:tc>
          <w:tcPr>
            <w:tcW w:w="3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Suriname</w:t>
            </w:r>
          </w:p>
        </w:tc>
        <w:tc>
          <w:tcPr>
            <w:tcW w:w="360" w:type="pct"/>
            <w:gridSpan w:val="2"/>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{"citationItems":[{"id":"ITEM-1","itemData":{"DOI":"10.1007/s11270-013-1771-2","ISSN":"00496979","abstract":"In agricultural areas, pesticides can enter receiving waterbodies by means of agricultural runoff and pollute these systems. Constructed wetlands are capable of removing several pollutants including pesticides. Unfortunately, few studies are from South America, and therefore, information is urgently needed on pesticide mitigation in agricultural runoff by native plants. To this aim, an experimental setup of polypropylene tubs was used, which were planted with two types of native plants (Nymphaea amazonum and Eleocharis mutata). Mesocosms were exposed to low (10 μg/l) and high (30 μg/l) target concentrations of lambda-cyhalothrin, while for imidacloprid, a low (60 μg/l), high (180 μg/l), and an extra high (1,000 μg/l) dose, were applied using batch experiments of 2 weeks each. Removal efficiencies for lambda-cyhalothrin from the water phase showed 100 % removal at 72 h for both low and high target concentrations for N. amazonum mesocosms, while for E. mutata mesocosms, a 100 % removal was observed at 48 h for mesocosms exposed to low target concentrations and for high target concentrations at 72 h. For imidacloprid, a 100 % removal was observed for E. mutata and 86 % for N. amazonum mesocosms exposed to low target concentrations (60 μg/l) at 216 h. For the highest dose (1,000 μg/l), the removal efficiency was on average 72 % at 216 h for both types of mesocosms. Statistical two-way ANOVA analysis (α=0.05) showed that the removal of lambda-cyhalothrin was independent of the dose applied and the plant type, while for imidacloprid, removal was dependent on the dose applied and independent of the plant type. After the experimental period, analyses of the plants and sediment showed that 48.5 % of the applied amount of lambda-cyhalothrin was detected in the sediment and 0.4 % in plant material (shoots and leaves), while the amount in roots was below the limit of detection for N. amazonum mesocosms. For E.mutata mesocosms, 44.6%of lambda-cyhalothrin was detected in sediment and 0.5 % in roots. For N. amazonum mesocosms, 78.9 % of the applied amount of imidacloprid was retained in plants (plant material and roots) and 17.31 % in sediment, while for E. mutata mesocosms only 0.5 % of imidacloprid was detected in plant material and roots. In this experiment, the DT50 of lambda-cyhalothrin in the water phase of both types of mesocosmswas on average 1 day, while for imidacloprid, this was calculated to be around 1-10 days. The results obtained provide necessary infor…","author":[{"dropping-particle":"","family":"Mahabali","given":"Shirley","non-dropping-particle":"","parse-names":false,"suffix":""},{"dropping-particle":"","family":"Spanoghe","given":"Pieter","non-dropping-particle":"","parse-names":false,"suffix":""}],"container-title":"Water, Air, and Soil Pollution","id":"ITEM-1","issue":"1","issued":{"date-parts":[["2014"]]},"page":"1-12","title":"Mitigation of two insecticides by wetland plants: Feasibility study for the treatment of agricultural runoff in suriname (South America)","type":"article-journal","volume":"225"},"uris":["http://www.mendeley.com/documents/?uuid=a9b67bf0-35a0-4440-b07a-460c6e0e0bed"]}],"mendeley":{"formattedCitation":"(Mahabali and Spanoghe, 2014)","plainTextFormattedCitation":"(Mahabali and Spanoghe, 2014)","previouslyFormattedCitation":"(Mahabali and Spanoghe, 2014)"},"properties":{"noteIndex":0},"schema":"https://github.com/citation-style-language/schema/raw/master/csl-citation.json"}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(Mahabali and Spanoghe, 2014)</w:t>
            </w:r>
            <w:r w:rsidRPr="00EB3F80">
              <w:rPr>
                <w:rFonts w:asciiTheme="majorBidi" w:hAnsiTheme="majorBidi" w:cstheme="majorBidi"/>
                <w:bCs/>
                <w:sz w:val="20"/>
                <w:szCs w:val="20"/>
              </w:rPr>
              <w:fldChar w:fldCharType="end"/>
            </w: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lambda-</w:t>
            </w:r>
            <w:proofErr w:type="spellStart"/>
            <w:r w:rsidRPr="00EB3F80">
              <w:rPr>
                <w:rFonts w:asciiTheme="majorBidi" w:hAnsiTheme="majorBidi" w:cstheme="majorBidi"/>
                <w:bCs/>
                <w:sz w:val="20"/>
                <w:szCs w:val="20"/>
              </w:rPr>
              <w:t>cyhalothrin</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 xml:space="preserve">1.0, </w:t>
            </w:r>
            <w:r w:rsidRPr="00EB3F80">
              <w:rPr>
                <w:rFonts w:asciiTheme="majorBidi" w:hAnsiTheme="majorBidi" w:cstheme="majorBidi"/>
                <w:bCs/>
                <w:sz w:val="20"/>
                <w:szCs w:val="20"/>
              </w:rPr>
              <w:t>3</w:t>
            </w:r>
            <w:r>
              <w:rPr>
                <w:rFonts w:asciiTheme="majorBidi" w:hAnsiTheme="majorBidi" w:cstheme="majorBidi"/>
                <w:bCs/>
                <w:sz w:val="20"/>
                <w:szCs w:val="20"/>
              </w:rPr>
              <w:t xml:space="preserve">0, </w:t>
            </w:r>
            <w:r w:rsidRPr="00EB3F80">
              <w:rPr>
                <w:rFonts w:asciiTheme="majorBidi" w:hAnsiTheme="majorBidi" w:cstheme="majorBidi"/>
                <w:bCs/>
                <w:sz w:val="20"/>
                <w:szCs w:val="20"/>
              </w:rPr>
              <w:t>6</w:t>
            </w:r>
            <w:r>
              <w:rPr>
                <w:rFonts w:asciiTheme="majorBidi" w:hAnsiTheme="majorBidi" w:cstheme="majorBidi"/>
                <w:bCs/>
                <w:sz w:val="20"/>
                <w:szCs w:val="20"/>
              </w:rPr>
              <w:t xml:space="preserve">0, </w:t>
            </w:r>
            <w:r w:rsidRPr="00EB3F80">
              <w:rPr>
                <w:rFonts w:asciiTheme="majorBidi" w:hAnsiTheme="majorBidi" w:cstheme="majorBidi"/>
                <w:bCs/>
                <w:sz w:val="20"/>
                <w:szCs w:val="20"/>
              </w:rPr>
              <w:t>18</w:t>
            </w:r>
            <w:r>
              <w:rPr>
                <w:rFonts w:asciiTheme="majorBidi" w:hAnsiTheme="majorBidi" w:cstheme="majorBidi"/>
                <w:bCs/>
                <w:sz w:val="20"/>
                <w:szCs w:val="20"/>
              </w:rPr>
              <w:t>0, 1000</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100</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w:t>
            </w: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restart"/>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Eleocharis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mutata</w:t>
            </w:r>
            <w:proofErr w:type="spellEnd"/>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imidacloprid</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 xml:space="preserve">1.0, </w:t>
            </w:r>
            <w:r w:rsidRPr="00EB3F80">
              <w:rPr>
                <w:rFonts w:asciiTheme="majorBidi" w:hAnsiTheme="majorBidi" w:cstheme="majorBidi"/>
                <w:bCs/>
                <w:sz w:val="20"/>
                <w:szCs w:val="20"/>
              </w:rPr>
              <w:t>3</w:t>
            </w:r>
            <w:r>
              <w:rPr>
                <w:rFonts w:asciiTheme="majorBidi" w:hAnsiTheme="majorBidi" w:cstheme="majorBidi"/>
                <w:bCs/>
                <w:sz w:val="20"/>
                <w:szCs w:val="20"/>
              </w:rPr>
              <w:t xml:space="preserve">0, </w:t>
            </w:r>
            <w:r w:rsidRPr="00EB3F80">
              <w:rPr>
                <w:rFonts w:asciiTheme="majorBidi" w:hAnsiTheme="majorBidi" w:cstheme="majorBidi"/>
                <w:bCs/>
                <w:sz w:val="20"/>
                <w:szCs w:val="20"/>
              </w:rPr>
              <w:t>6</w:t>
            </w:r>
            <w:r>
              <w:rPr>
                <w:rFonts w:asciiTheme="majorBidi" w:hAnsiTheme="majorBidi" w:cstheme="majorBidi"/>
                <w:bCs/>
                <w:sz w:val="20"/>
                <w:szCs w:val="20"/>
              </w:rPr>
              <w:t xml:space="preserve">0, </w:t>
            </w:r>
            <w:r w:rsidRPr="00EB3F80">
              <w:rPr>
                <w:rFonts w:asciiTheme="majorBidi" w:hAnsiTheme="majorBidi" w:cstheme="majorBidi"/>
                <w:bCs/>
                <w:sz w:val="20"/>
                <w:szCs w:val="20"/>
              </w:rPr>
              <w:t>18</w:t>
            </w:r>
            <w:r>
              <w:rPr>
                <w:rFonts w:asciiTheme="majorBidi" w:hAnsiTheme="majorBidi" w:cstheme="majorBidi"/>
                <w:bCs/>
                <w:sz w:val="20"/>
                <w:szCs w:val="20"/>
              </w:rPr>
              <w:t>0, 1000</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100</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lambda-</w:t>
            </w:r>
            <w:proofErr w:type="spellStart"/>
            <w:r w:rsidRPr="00EB3F80">
              <w:rPr>
                <w:rFonts w:asciiTheme="majorBidi" w:hAnsiTheme="majorBidi" w:cstheme="majorBidi"/>
                <w:bCs/>
                <w:sz w:val="20"/>
                <w:szCs w:val="20"/>
              </w:rPr>
              <w:t>cyhalothrin</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 xml:space="preserve">1.0, </w:t>
            </w:r>
            <w:r w:rsidRPr="00EB3F80">
              <w:rPr>
                <w:rFonts w:asciiTheme="majorBidi" w:hAnsiTheme="majorBidi" w:cstheme="majorBidi"/>
                <w:bCs/>
                <w:sz w:val="20"/>
                <w:szCs w:val="20"/>
              </w:rPr>
              <w:t>3</w:t>
            </w:r>
            <w:r>
              <w:rPr>
                <w:rFonts w:asciiTheme="majorBidi" w:hAnsiTheme="majorBidi" w:cstheme="majorBidi"/>
                <w:bCs/>
                <w:sz w:val="20"/>
                <w:szCs w:val="20"/>
              </w:rPr>
              <w:t xml:space="preserve">0, </w:t>
            </w:r>
            <w:r w:rsidRPr="00EB3F80">
              <w:rPr>
                <w:rFonts w:asciiTheme="majorBidi" w:hAnsiTheme="majorBidi" w:cstheme="majorBidi"/>
                <w:bCs/>
                <w:sz w:val="20"/>
                <w:szCs w:val="20"/>
              </w:rPr>
              <w:t>6</w:t>
            </w:r>
            <w:r>
              <w:rPr>
                <w:rFonts w:asciiTheme="majorBidi" w:hAnsiTheme="majorBidi" w:cstheme="majorBidi"/>
                <w:bCs/>
                <w:sz w:val="20"/>
                <w:szCs w:val="20"/>
              </w:rPr>
              <w:t xml:space="preserve">0, </w:t>
            </w:r>
            <w:r w:rsidRPr="00EB3F80">
              <w:rPr>
                <w:rFonts w:asciiTheme="majorBidi" w:hAnsiTheme="majorBidi" w:cstheme="majorBidi"/>
                <w:bCs/>
                <w:sz w:val="20"/>
                <w:szCs w:val="20"/>
              </w:rPr>
              <w:t>18</w:t>
            </w:r>
            <w:r>
              <w:rPr>
                <w:rFonts w:asciiTheme="majorBidi" w:hAnsiTheme="majorBidi" w:cstheme="majorBidi"/>
                <w:bCs/>
                <w:sz w:val="20"/>
                <w:szCs w:val="20"/>
              </w:rPr>
              <w:t>0, 1000</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100</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mesocosm</w:t>
            </w:r>
            <w:proofErr w:type="spellEnd"/>
            <w:r w:rsidRPr="00EB3F80">
              <w:rPr>
                <w:rFonts w:asciiTheme="majorBidi" w:hAnsiTheme="majorBidi" w:cstheme="majorBidi"/>
                <w:bCs/>
                <w:sz w:val="20"/>
                <w:szCs w:val="20"/>
              </w:rPr>
              <w:t>-scale</w:t>
            </w:r>
          </w:p>
        </w:tc>
        <w:tc>
          <w:tcPr>
            <w:tcW w:w="27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120</w:t>
            </w:r>
          </w:p>
        </w:tc>
        <w:tc>
          <w:tcPr>
            <w:tcW w:w="397"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0.505</w:t>
            </w:r>
          </w:p>
        </w:tc>
        <w:tc>
          <w:tcPr>
            <w:tcW w:w="40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280 min</w:t>
            </w:r>
          </w:p>
        </w:tc>
        <w:tc>
          <w:tcPr>
            <w:tcW w:w="41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0.4</w:t>
            </w:r>
          </w:p>
        </w:tc>
        <w:tc>
          <w:tcPr>
            <w:tcW w:w="39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Agricultural Runoff</w:t>
            </w:r>
          </w:p>
        </w:tc>
        <w:tc>
          <w:tcPr>
            <w:tcW w:w="508"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Phalaris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arundinacea</w:t>
            </w:r>
            <w:proofErr w:type="spellEnd"/>
            <w:r w:rsidRPr="00EB3F80">
              <w:rPr>
                <w:rFonts w:asciiTheme="majorBidi" w:hAnsiTheme="majorBidi" w:cstheme="majorBidi"/>
                <w:bCs/>
                <w:i/>
                <w:sz w:val="20"/>
                <w:szCs w:val="20"/>
              </w:rPr>
              <w:t xml:space="preserve"> L.</w:t>
            </w:r>
          </w:p>
        </w:tc>
        <w:tc>
          <w:tcPr>
            <w:tcW w:w="25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17.6</w:t>
            </w:r>
          </w:p>
        </w:tc>
        <w:tc>
          <w:tcPr>
            <w:tcW w:w="591"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dicamba</w:t>
            </w:r>
            <w:proofErr w:type="spellEnd"/>
          </w:p>
        </w:tc>
        <w:tc>
          <w:tcPr>
            <w:tcW w:w="404"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5</w:t>
            </w:r>
            <w:r>
              <w:rPr>
                <w:rFonts w:asciiTheme="majorBidi" w:hAnsiTheme="majorBidi" w:cstheme="majorBidi"/>
                <w:bCs/>
                <w:sz w:val="20"/>
                <w:szCs w:val="20"/>
              </w:rPr>
              <w:t>0</w:t>
            </w:r>
          </w:p>
        </w:tc>
        <w:tc>
          <w:tcPr>
            <w:tcW w:w="31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89</w:t>
            </w:r>
          </w:p>
        </w:tc>
        <w:tc>
          <w:tcPr>
            <w:tcW w:w="3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Norway</w:t>
            </w:r>
          </w:p>
        </w:tc>
        <w:tc>
          <w:tcPr>
            <w:tcW w:w="360" w:type="pct"/>
            <w:gridSpan w:val="2"/>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{"citationItems":[{"id":"ITEM-1","itemData":{"DOI":"10.1016/j.ecoleng.2011.02.003","ISSN":"09258574","abstract":"In summer 2008, an experiment on retention of a mixture of five pesticides in the Lier experimental wetland site (Norway) was performed. Two vegetated cells with hydraulic retention times (HRT) of 280min and 330min and one cell without vegetation (HRT of 132min) of 120m2 surface area each were investigated regarding their ability to reduce peak concentrations, pesticide masses and predicted adverse effects. Discrete water, plant and sediment samples were taken and analysed. The inlet peak concentrations of the pesticides dimethoate, dicamba, trifloxystrobin and tebuconazole ranged from 18ng/L up to 5904ng/L. The mean reduction of peak concentration was 72% in the non-vegetated cell and up to 91% in the vegetated cells. Less than 5% of the masses were retained within the wetlands. Uptake and sorption by plants was low (up to 4%), however, higher for the vegetated cell dominated by Phalaris arundinacea L. than for the one with Typha latifolia L. as dominant plant. The toxic units (TU) approach was used to describe the potential reduction of toxicity within the wetland cells. Calculated toxicity of the substances decreased by 79% in the non-vegetated cell and by 95% in the two vegetated cells. Despite the low mass retention, the vegetated wetland system reduced the toxic effects, expressed as toxic units from values of 0.24 to 0.01, i.e. a concentration two orders of magnitude below the acute toxicity threshold, within a distance of 40m while the non vegetated would need to be about 64m long for the same efficiency. © 2011 Elsevier B.V.","author":[{"dropping-particle":"","family":"Elsaesser","given":"David","non-dropping-particle":"","parse-names":false,"suffix":""},{"dropping-particle":"","family":"Blankenberg","given":"Anne Grete Buseth","non-dropping-particle":"","parse-names":false,"suffix":""},{"dropping-particle":"","family":"Geist","given":"Anna","non-dropping-particle":"","parse-names":false,"suffix":""},{"dropping-particle":"","family":"Mæhlum","given":"Trond","non-dropping-particle":"","parse-names":false,"suffix":""},{"dropping-particle":"","family":"Schulz","given":"Ralf","non-dropping-particle":"","parse-names":false,"suffix":""}],"container-title":"Ecological Engineering","id":"ITEM-1","issue":"6","issued":{"date-parts":[["2011"]]},"page":"955-962","publisher":"Elsevier B.V.","title":"Assessing the influence of vegetation on reduction of pesticide concentration in experimental surface flow constructed wetlands: Application of the toxic units approach","type":"article-journal","volume":"37"},"uris":["http://www.mendeley.com/documents/?uuid=0e76b58b-3815-49e9-8a1f-63bfc9fcd8c4"]}],"mendeley":{"formattedCitation":"(Elsaesser et al., 2011)","plainTextFormattedCitation":"(Elsaesser et al., 2011)","previouslyFormattedCitation":"(Elsaesser et al., 2011)"},"properties":{"noteIndex":0},"schema":"https://github.com/citation-style-language/schema/raw/master/csl-citation.json"}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(Elsaesser et al., 2011)</w:t>
            </w:r>
            <w:r w:rsidRPr="00EB3F80">
              <w:rPr>
                <w:rFonts w:asciiTheme="majorBidi" w:hAnsiTheme="majorBidi" w:cstheme="majorBidi"/>
                <w:bCs/>
                <w:sz w:val="20"/>
                <w:szCs w:val="20"/>
              </w:rPr>
              <w:fldChar w:fldCharType="end"/>
            </w: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dimethoate</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w:t>
            </w:r>
            <w:r>
              <w:rPr>
                <w:rFonts w:asciiTheme="majorBidi" w:hAnsiTheme="majorBidi" w:cstheme="majorBidi"/>
                <w:bCs/>
                <w:sz w:val="20"/>
                <w:szCs w:val="20"/>
              </w:rPr>
              <w:t>0</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trifloxystrobin</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Metamitron</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w:t>
            </w:r>
            <w:r>
              <w:rPr>
                <w:rFonts w:asciiTheme="majorBidi" w:hAnsiTheme="majorBidi" w:cstheme="majorBidi"/>
                <w:bCs/>
                <w:sz w:val="20"/>
                <w:szCs w:val="20"/>
              </w:rPr>
              <w:t>0</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tebuconazole</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w:t>
            </w:r>
            <w:r>
              <w:rPr>
                <w:rFonts w:asciiTheme="majorBidi" w:hAnsiTheme="majorBidi" w:cstheme="majorBidi"/>
                <w:bCs/>
                <w:sz w:val="20"/>
                <w:szCs w:val="20"/>
              </w:rPr>
              <w:t>0</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0.568</w:t>
            </w:r>
          </w:p>
        </w:tc>
        <w:tc>
          <w:tcPr>
            <w:tcW w:w="397" w:type="pct"/>
            <w:vMerge w:val="restart"/>
            <w:vAlign w:val="center"/>
          </w:tcPr>
          <w:p w:rsidR="00263101" w:rsidRPr="00EB3F80" w:rsidRDefault="00263101" w:rsidP="00264DEF">
            <w:pPr>
              <w:jc w:val="center"/>
              <w:rPr>
                <w:rFonts w:asciiTheme="majorBidi" w:hAnsiTheme="majorBidi" w:cstheme="majorBidi"/>
                <w:bCs/>
                <w:sz w:val="20"/>
                <w:szCs w:val="20"/>
              </w:rPr>
            </w:pPr>
          </w:p>
        </w:tc>
        <w:tc>
          <w:tcPr>
            <w:tcW w:w="40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330 min</w:t>
            </w: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restart"/>
            <w:vAlign w:val="center"/>
          </w:tcPr>
          <w:p w:rsidR="00263101" w:rsidRPr="00EB3F80" w:rsidRDefault="00263101" w:rsidP="00264DEF">
            <w:pPr>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Typha</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latifolia</w:t>
            </w:r>
            <w:proofErr w:type="spellEnd"/>
            <w:r w:rsidRPr="00EB3F80">
              <w:rPr>
                <w:rFonts w:asciiTheme="majorBidi" w:hAnsiTheme="majorBidi" w:cstheme="majorBidi"/>
                <w:bCs/>
                <w:i/>
                <w:sz w:val="20"/>
                <w:szCs w:val="20"/>
              </w:rPr>
              <w:t xml:space="preserve"> L.</w:t>
            </w: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dicamba</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w:t>
            </w:r>
            <w:r>
              <w:rPr>
                <w:rFonts w:asciiTheme="majorBidi" w:hAnsiTheme="majorBidi" w:cstheme="majorBidi"/>
                <w:bCs/>
                <w:sz w:val="20"/>
                <w:szCs w:val="20"/>
              </w:rPr>
              <w:t>0</w:t>
            </w:r>
          </w:p>
        </w:tc>
        <w:tc>
          <w:tcPr>
            <w:tcW w:w="316" w:type="pct"/>
            <w:vMerge w:val="restar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91</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dimethoate</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w:t>
            </w:r>
            <w:r>
              <w:rPr>
                <w:rFonts w:asciiTheme="majorBidi" w:hAnsiTheme="majorBidi" w:cstheme="majorBidi"/>
                <w:bCs/>
                <w:sz w:val="20"/>
                <w:szCs w:val="20"/>
              </w:rPr>
              <w:t>0</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trifloxystrobin</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Metamitron</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w:t>
            </w:r>
            <w:r>
              <w:rPr>
                <w:rFonts w:asciiTheme="majorBidi" w:hAnsiTheme="majorBidi" w:cstheme="majorBidi"/>
                <w:bCs/>
                <w:sz w:val="20"/>
                <w:szCs w:val="20"/>
              </w:rPr>
              <w:t>0</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tebuconazole</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w:t>
            </w:r>
            <w:r>
              <w:rPr>
                <w:rFonts w:asciiTheme="majorBidi" w:hAnsiTheme="majorBidi" w:cstheme="majorBidi"/>
                <w:bCs/>
                <w:sz w:val="20"/>
                <w:szCs w:val="20"/>
              </w:rPr>
              <w:t>0</w:t>
            </w:r>
          </w:p>
        </w:tc>
        <w:tc>
          <w:tcPr>
            <w:tcW w:w="316" w:type="pct"/>
            <w:vMerge/>
            <w:vAlign w:val="center"/>
          </w:tcPr>
          <w:p w:rsidR="00263101" w:rsidRPr="00EB3F80" w:rsidRDefault="00263101" w:rsidP="00264DEF">
            <w:pPr>
              <w:jc w:val="center"/>
              <w:rPr>
                <w:rFonts w:asciiTheme="majorBidi" w:hAnsiTheme="majorBidi" w:cstheme="majorBidi"/>
                <w:bCs/>
                <w:sz w:val="20"/>
                <w:szCs w:val="20"/>
              </w:rPr>
            </w:pP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mesocosm</w:t>
            </w:r>
            <w:proofErr w:type="spellEnd"/>
            <w:r w:rsidRPr="00EB3F80">
              <w:rPr>
                <w:rFonts w:asciiTheme="majorBidi" w:hAnsiTheme="majorBidi" w:cstheme="majorBidi"/>
                <w:bCs/>
                <w:sz w:val="20"/>
                <w:szCs w:val="20"/>
              </w:rPr>
              <w:t>-scale</w:t>
            </w:r>
          </w:p>
        </w:tc>
        <w:tc>
          <w:tcPr>
            <w:tcW w:w="27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0.094</w:t>
            </w:r>
          </w:p>
        </w:tc>
        <w:tc>
          <w:tcPr>
            <w:tcW w:w="397"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18 ml/min</w:t>
            </w:r>
          </w:p>
        </w:tc>
        <w:tc>
          <w:tcPr>
            <w:tcW w:w="40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14</w:t>
            </w:r>
          </w:p>
        </w:tc>
        <w:tc>
          <w:tcPr>
            <w:tcW w:w="418"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0.1</w:t>
            </w:r>
          </w:p>
        </w:tc>
        <w:tc>
          <w:tcPr>
            <w:tcW w:w="39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wastewater</w:t>
            </w:r>
          </w:p>
        </w:tc>
        <w:tc>
          <w:tcPr>
            <w:tcW w:w="508"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r w:rsidRPr="00EB3F80">
              <w:rPr>
                <w:rFonts w:asciiTheme="majorBidi" w:hAnsiTheme="majorBidi" w:cstheme="majorBidi"/>
                <w:bCs/>
                <w:i/>
                <w:sz w:val="20"/>
                <w:szCs w:val="20"/>
              </w:rPr>
              <w:t xml:space="preserve">P. </w:t>
            </w:r>
            <w:proofErr w:type="spellStart"/>
            <w:r w:rsidRPr="00EB3F80">
              <w:rPr>
                <w:rFonts w:asciiTheme="majorBidi" w:hAnsiTheme="majorBidi" w:cstheme="majorBidi"/>
                <w:bCs/>
                <w:i/>
                <w:sz w:val="20"/>
                <w:szCs w:val="20"/>
              </w:rPr>
              <w:t>australis</w:t>
            </w:r>
            <w:proofErr w:type="spellEnd"/>
          </w:p>
        </w:tc>
        <w:tc>
          <w:tcPr>
            <w:tcW w:w="25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t>
            </w:r>
          </w:p>
        </w:tc>
        <w:tc>
          <w:tcPr>
            <w:tcW w:w="591"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diuron</w:t>
            </w:r>
            <w:proofErr w:type="spellEnd"/>
          </w:p>
        </w:tc>
        <w:tc>
          <w:tcPr>
            <w:tcW w:w="404"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10</w:t>
            </w:r>
            <w:r>
              <w:rPr>
                <w:rFonts w:asciiTheme="majorBidi" w:hAnsiTheme="majorBidi" w:cstheme="majorBidi"/>
                <w:bCs/>
                <w:sz w:val="20"/>
                <w:szCs w:val="20"/>
              </w:rPr>
              <w:t>000</w:t>
            </w:r>
          </w:p>
        </w:tc>
        <w:tc>
          <w:tcPr>
            <w:tcW w:w="31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63.0</w:t>
            </w:r>
          </w:p>
        </w:tc>
        <w:tc>
          <w:tcPr>
            <w:tcW w:w="333"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France</w:t>
            </w:r>
          </w:p>
        </w:tc>
        <w:tc>
          <w:tcPr>
            <w:tcW w:w="360" w:type="pct"/>
            <w:gridSpan w:val="2"/>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{"citationItems":[{"id":"ITEM-1","itemData":{"DOI":"10.1016/j.watres.2012.11.029","ISSN":"18792448","PMID":"23246667","abstract":"Non-point source pollution as a result of wine-growing activity is of high concern. Stormwater basins (SWB) found downstream of vineyard watersheds could show a potential for the mitigation of runoff water containing herbicides. In this study, mitigation of vinery-used herbicides was studied in microcosms with a very similar functioning to that recorded in SWB. Mitigation efficiency of glyphosate, diuron and 3,4-dichloroaniline (3,4-DCA) was investigated by taking into account hydraulic flow rate, mitigation duration, bioaugmentation and plant addition. Mitigation efficiency measured in water ranged from 63.0% for diuron to 84.2% for 3,4-DCA and to 99.8% for glyphosate. Water-storage duration in the SWB and time between water supplies were shown to be the most influential factors on the mitigation efficiency. Six hours water-storage duration allowed an efficient sorption of herbicides and their degradation by indigenous microorganisms in 5 weeks. Neither bioaugmentation nor plant addition had a significant effect on herbicide mitigation. Our results show that this type of SWB are potentially relevant for the mitigation of these herbicides stemming from wine-growing activity, providing a long enough hydraulic retention time. © 2012 Elsevier Ltd.","author":[{"dropping-particle":"","family":"Bois","given":"P.","non-dropping-particle":"","parse-names":false,"suffix":""},{"dropping-particle":"","family":"Huguenot","given":"D.","non-dropping-particle":"","parse-names":false,"suffix":""},{"dropping-particle":"","family":"Jézéquel","given":"K.","non-dropping-particle":"","parse-names":false,"suffix":""},{"dropping-particle":"","family":"Lollier","given":"M.","non-dropping-particle":"","parse-names":false,"suffix":""},{"dropping-particle":"","family":"Cornu","given":"J. Y.","non-dropping-particle":"","parse-names":false,"suffix":""},{"dropping-particle":"","family":"Lebeau","given":"T.","non-dropping-particle":"","parse-names":false,"suffix":""}],"container-title":"Water Research","id":"ITEM-1","issue":"3","issued":{"date-parts":[["2013"]]},"page":"1123-1135","title":"Herbicide mitigation in microcosms simulating stormwater basins subject to polluted water inputs","type":"article-journal","volume":"47"},"uris":["http://www.mendeley.com/documents/?uuid=cb2c257e-900a-4ea7-a1d0-ffb0c58c6c19"]}],"mendeley":{"formattedCitation":"(Bois et al., 2013)","plainTextFormattedCitation":"(Bois et al., 2013)","previouslyFormattedCitation":"(Bois et al., 2013)"},"properties":{"noteIndex":0},"schema":"https://github.com/citation-style-language/schema/raw/master/csl-citation.json"}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(Bois et al., 2013)</w:t>
            </w:r>
            <w:r w:rsidRPr="00EB3F80">
              <w:rPr>
                <w:rFonts w:asciiTheme="majorBidi" w:hAnsiTheme="majorBidi" w:cstheme="majorBidi"/>
                <w:bCs/>
                <w:sz w:val="20"/>
                <w:szCs w:val="20"/>
              </w:rPr>
              <w:fldChar w:fldCharType="end"/>
            </w: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3,4-dichloroanilin</w:t>
            </w:r>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10</w:t>
            </w:r>
            <w:r>
              <w:rPr>
                <w:rFonts w:asciiTheme="majorBidi" w:hAnsiTheme="majorBidi" w:cstheme="majorBidi"/>
                <w:bCs/>
                <w:sz w:val="20"/>
                <w:szCs w:val="20"/>
              </w:rPr>
              <w:t>000</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84.2</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20"/>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glyphosate</w:t>
            </w:r>
          </w:p>
        </w:tc>
        <w:tc>
          <w:tcPr>
            <w:tcW w:w="404"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50</w:t>
            </w:r>
            <w:r>
              <w:rPr>
                <w:rFonts w:asciiTheme="majorBidi" w:hAnsiTheme="majorBidi" w:cstheme="majorBidi"/>
                <w:bCs/>
                <w:sz w:val="20"/>
                <w:szCs w:val="20"/>
              </w:rPr>
              <w:t>000</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99.8</w:t>
            </w:r>
          </w:p>
        </w:tc>
        <w:tc>
          <w:tcPr>
            <w:tcW w:w="333" w:type="pct"/>
            <w:vMerge/>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495"/>
        </w:trPr>
        <w:tc>
          <w:tcPr>
            <w:tcW w:w="33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Large-scale</w:t>
            </w:r>
          </w:p>
        </w:tc>
        <w:tc>
          <w:tcPr>
            <w:tcW w:w="279"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110000</w:t>
            </w:r>
          </w:p>
        </w:tc>
        <w:tc>
          <w:tcPr>
            <w:tcW w:w="397"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3000</w:t>
            </w:r>
          </w:p>
        </w:tc>
        <w:tc>
          <w:tcPr>
            <w:tcW w:w="406"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7</w:t>
            </w:r>
          </w:p>
        </w:tc>
        <w:tc>
          <w:tcPr>
            <w:tcW w:w="418" w:type="pct"/>
            <w:vMerge w:val="restart"/>
            <w:vAlign w:val="center"/>
          </w:tcPr>
          <w:p w:rsidR="00263101"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0.2</w:t>
            </w:r>
          </w:p>
        </w:tc>
        <w:tc>
          <w:tcPr>
            <w:tcW w:w="395"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I</w:t>
            </w:r>
            <w:r w:rsidRPr="00EB3F80">
              <w:rPr>
                <w:rFonts w:asciiTheme="majorBidi" w:hAnsiTheme="majorBidi" w:cstheme="majorBidi"/>
                <w:bCs/>
                <w:sz w:val="20"/>
                <w:szCs w:val="20"/>
              </w:rPr>
              <w:t>ndustrial and residential catchment</w:t>
            </w:r>
          </w:p>
        </w:tc>
        <w:tc>
          <w:tcPr>
            <w:tcW w:w="508" w:type="pct"/>
            <w:vMerge w:val="restart"/>
            <w:vAlign w:val="center"/>
          </w:tcPr>
          <w:p w:rsidR="00263101" w:rsidRPr="00EB3F80" w:rsidRDefault="00263101" w:rsidP="00264DEF">
            <w:pPr>
              <w:spacing w:before="240"/>
              <w:jc w:val="center"/>
              <w:rPr>
                <w:rFonts w:asciiTheme="majorBidi" w:hAnsiTheme="majorBidi" w:cstheme="majorBidi"/>
                <w:bCs/>
                <w:i/>
                <w:sz w:val="20"/>
                <w:szCs w:val="20"/>
              </w:rPr>
            </w:pPr>
            <w:proofErr w:type="spellStart"/>
            <w:r w:rsidRPr="00EB3F80">
              <w:rPr>
                <w:rFonts w:asciiTheme="majorBidi" w:hAnsiTheme="majorBidi" w:cstheme="majorBidi"/>
                <w:bCs/>
                <w:i/>
                <w:sz w:val="20"/>
                <w:szCs w:val="20"/>
              </w:rPr>
              <w:t>Phragmites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australis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Eleocharis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sphacelata</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Schoenoplectus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validus</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Baumea</w:t>
            </w:r>
            <w:proofErr w:type="spellEnd"/>
            <w:r w:rsidRPr="00EB3F80">
              <w:rPr>
                <w:rFonts w:asciiTheme="majorBidi" w:hAnsiTheme="majorBidi" w:cstheme="majorBidi"/>
                <w:bCs/>
                <w:i/>
                <w:sz w:val="20"/>
                <w:szCs w:val="20"/>
              </w:rPr>
              <w:t xml:space="preserve"> articulate and </w:t>
            </w:r>
            <w:proofErr w:type="spellStart"/>
            <w:r w:rsidRPr="00EB3F80">
              <w:rPr>
                <w:rFonts w:asciiTheme="majorBidi" w:hAnsiTheme="majorBidi" w:cstheme="majorBidi"/>
                <w:bCs/>
                <w:i/>
                <w:sz w:val="20"/>
                <w:szCs w:val="20"/>
              </w:rPr>
              <w:t>Typha</w:t>
            </w:r>
            <w:proofErr w:type="spellEnd"/>
            <w:r w:rsidRPr="00EB3F80">
              <w:rPr>
                <w:rFonts w:asciiTheme="majorBidi" w:hAnsiTheme="majorBidi" w:cstheme="majorBidi"/>
                <w:bCs/>
                <w:i/>
                <w:sz w:val="20"/>
                <w:szCs w:val="20"/>
              </w:rPr>
              <w:t xml:space="preserve"> </w:t>
            </w:r>
            <w:proofErr w:type="spellStart"/>
            <w:r w:rsidRPr="00EB3F80">
              <w:rPr>
                <w:rFonts w:asciiTheme="majorBidi" w:hAnsiTheme="majorBidi" w:cstheme="majorBidi"/>
                <w:bCs/>
                <w:i/>
                <w:sz w:val="20"/>
                <w:szCs w:val="20"/>
              </w:rPr>
              <w:t>orientali</w:t>
            </w:r>
            <w:proofErr w:type="spellEnd"/>
          </w:p>
        </w:tc>
        <w:tc>
          <w:tcPr>
            <w:tcW w:w="254" w:type="pct"/>
            <w:vMerge w:val="restar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w:t>
            </w:r>
          </w:p>
        </w:tc>
        <w:tc>
          <w:tcPr>
            <w:tcW w:w="591" w:type="pct"/>
            <w:vAlign w:val="center"/>
          </w:tcPr>
          <w:p w:rsidR="00263101" w:rsidRPr="00EB3F80" w:rsidRDefault="00263101" w:rsidP="00264DEF">
            <w:pPr>
              <w:spacing w:before="240"/>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Diuron</w:t>
            </w:r>
            <w:proofErr w:type="spellEnd"/>
          </w:p>
        </w:tc>
        <w:tc>
          <w:tcPr>
            <w:tcW w:w="404" w:type="pct"/>
            <w:vAlign w:val="center"/>
          </w:tcPr>
          <w:p w:rsidR="00263101" w:rsidRPr="00EB3F80" w:rsidRDefault="00263101" w:rsidP="00264DEF">
            <w:pPr>
              <w:spacing w:before="240"/>
              <w:jc w:val="center"/>
              <w:rPr>
                <w:rFonts w:asciiTheme="majorBidi" w:hAnsiTheme="majorBidi" w:cstheme="majorBidi"/>
                <w:bCs/>
                <w:sz w:val="20"/>
                <w:szCs w:val="20"/>
              </w:rPr>
            </w:pPr>
            <w:r>
              <w:rPr>
                <w:rFonts w:asciiTheme="majorBidi" w:hAnsiTheme="majorBidi" w:cstheme="majorBidi"/>
                <w:bCs/>
                <w:sz w:val="20"/>
                <w:szCs w:val="20"/>
              </w:rPr>
              <w:t>0.338</w:t>
            </w:r>
          </w:p>
        </w:tc>
        <w:tc>
          <w:tcPr>
            <w:tcW w:w="316" w:type="pct"/>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42</w:t>
            </w:r>
          </w:p>
        </w:tc>
        <w:tc>
          <w:tcPr>
            <w:tcW w:w="333" w:type="pct"/>
            <w:vMerge w:val="restart"/>
            <w:tcBorders>
              <w:bottom w:val="single" w:sz="4" w:space="0" w:color="auto"/>
            </w:tcBorders>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t>Australia</w:t>
            </w:r>
          </w:p>
        </w:tc>
        <w:tc>
          <w:tcPr>
            <w:tcW w:w="360" w:type="pct"/>
            <w:gridSpan w:val="2"/>
            <w:vMerge w:val="restart"/>
            <w:tcBorders>
              <w:bottom w:val="single" w:sz="4" w:space="0" w:color="auto"/>
            </w:tcBorders>
            <w:vAlign w:val="center"/>
          </w:tcPr>
          <w:p w:rsidR="00263101" w:rsidRPr="00EB3F80" w:rsidRDefault="00263101" w:rsidP="00264DEF">
            <w:pPr>
              <w:spacing w:before="240"/>
              <w:jc w:val="center"/>
              <w:rPr>
                <w:rFonts w:asciiTheme="majorBidi" w:hAnsiTheme="majorBidi" w:cstheme="majorBidi"/>
                <w:bCs/>
                <w:sz w:val="20"/>
                <w:szCs w:val="20"/>
              </w:rPr>
            </w:pPr>
            <w:r w:rsidRPr="00EB3F80">
              <w:rPr>
                <w:rFonts w:asciiTheme="majorBidi" w:hAnsiTheme="majorBidi" w:cstheme="majorBidi"/>
                <w:bCs/>
                <w:sz w:val="20"/>
                <w:szCs w:val="20"/>
              </w:rPr>
              <w:fldChar w:fldCharType="begin" w:fldLock="1"/>
            </w:r>
            <w:r w:rsidRPr="00EB3F80">
              <w:rPr>
                <w:rFonts w:asciiTheme="majorBidi" w:hAnsiTheme="majorBidi" w:cstheme="majorBidi"/>
                <w:bCs/>
                <w:sz w:val="20"/>
                <w:szCs w:val="20"/>
              </w:rPr>
              <w:instrText>ADDIN CSL_CITATION {"citationItems":[{"id":"ITEM-1","itemData":{"DOI":"10.1016/j.chemosphere.2010.07.002","ISSN":"00456535","PMID":"20684974","abstract":"Constructed wetlands used as treatment for urban stormwater have the potential to improve water quality. This study aimed to estimate the removal of selected herbicides in stormwater by a constructed wetland using composite water quality monitoring and passive samplers. For the four week duration of the study the wetland was effective in reducing the concentrations of diuron, simazine and atrazine. Mean estimated concentrations over a 28d period were 192, 70 and 5ngL-1 at the inlet and 94, 30 and 2ngL-1 at the outlet for diuron, simazine and atrazine, respectively. Concentrations of these herbicides generally halved as a result of passage through the constructed wetland with a design hydraulic retention time of 7d. Simple ratios of the inlet and outlet herbicide concentrations as well as hydraulic load-based methods of measuring the wetland's removal efficiency resulted in a range of estimations 33-51% for diuron and 20-60% for simazine. Due to their lower detection limits, the use of passive samplers provides a more efficient technique than conventional sampling for assessment of stormwater wetland treatment. © 2010 .","author":[{"dropping-particle":"","family":"Page","given":"Declan","non-dropping-particle":"","parse-names":false,"suffix":""},{"dropping-particle":"","family":"Dillon","given":"Peter","non-dropping-particle":"","parse-names":false,"suffix":""},{"dropping-particle":"","family":"Mueller","given":"Jochen","non-dropping-particle":"","parse-names":false,"suffix":""},{"dropping-particle":"","family":"Bartkow","given":"Michael","non-dropping-particle":"","parse-names":false,"suffix":""}],"container-title":"Chemosphere","id":"ITEM-1","issue":"3","issued":{"date-parts":[["2010"]]},"page":"394-399","publisher":"Elsevier Ltd","title":"Quantification of herbicide removal in a constructed wetland using passive samplers and composite water quality monitoring","type":"article-journal","volume":"81"},"uris":["http://www.mendeley.com/documents/?uuid=d219c3f5-7804-4b91-9104-aa4162d99624"]}],"mendeley":{"formattedCitation":"(Page et al., 2010)","plainTextFormattedCitation":"(Page et al., 2010)","previouslyFormattedCitation":"(Page et al., 2010)"},"properties":{"noteIndex":0},"schema":"https://github.com/citation-style-language/schema/raw/master/csl-citation.json"}</w:instrText>
            </w:r>
            <w:r w:rsidRPr="00EB3F80">
              <w:rPr>
                <w:rFonts w:asciiTheme="majorBidi" w:hAnsiTheme="majorBidi" w:cstheme="majorBidi"/>
                <w:bCs/>
                <w:sz w:val="20"/>
                <w:szCs w:val="20"/>
              </w:rPr>
              <w:fldChar w:fldCharType="separate"/>
            </w:r>
            <w:r w:rsidRPr="00EB3F80">
              <w:rPr>
                <w:rFonts w:asciiTheme="majorBidi" w:hAnsiTheme="majorBidi" w:cstheme="majorBidi"/>
                <w:bCs/>
                <w:noProof/>
                <w:sz w:val="20"/>
                <w:szCs w:val="20"/>
              </w:rPr>
              <w:t>(Page et al., 2010)</w:t>
            </w:r>
            <w:r w:rsidRPr="00EB3F80">
              <w:rPr>
                <w:rFonts w:asciiTheme="majorBidi" w:hAnsiTheme="majorBidi" w:cstheme="majorBidi"/>
                <w:bCs/>
                <w:sz w:val="20"/>
                <w:szCs w:val="20"/>
              </w:rPr>
              <w:fldChar w:fldCharType="end"/>
            </w:r>
          </w:p>
        </w:tc>
      </w:tr>
      <w:tr w:rsidR="00263101" w:rsidRPr="00EB3F80" w:rsidTr="00264DEF">
        <w:trPr>
          <w:trHeight w:val="559"/>
        </w:trPr>
        <w:tc>
          <w:tcPr>
            <w:tcW w:w="339" w:type="pct"/>
            <w:vMerge/>
            <w:vAlign w:val="center"/>
          </w:tcPr>
          <w:p w:rsidR="00263101" w:rsidRPr="00EB3F80" w:rsidRDefault="00263101" w:rsidP="00264DEF">
            <w:pPr>
              <w:jc w:val="center"/>
              <w:rPr>
                <w:rFonts w:asciiTheme="majorBidi" w:hAnsiTheme="majorBidi" w:cstheme="majorBidi"/>
                <w:bCs/>
                <w:sz w:val="20"/>
                <w:szCs w:val="20"/>
              </w:rPr>
            </w:pPr>
          </w:p>
        </w:tc>
        <w:tc>
          <w:tcPr>
            <w:tcW w:w="279" w:type="pct"/>
            <w:vMerge/>
            <w:vAlign w:val="center"/>
          </w:tcPr>
          <w:p w:rsidR="00263101" w:rsidRPr="00EB3F80" w:rsidRDefault="00263101" w:rsidP="00264DEF">
            <w:pPr>
              <w:jc w:val="center"/>
              <w:rPr>
                <w:rFonts w:asciiTheme="majorBidi" w:hAnsiTheme="majorBidi" w:cstheme="majorBidi"/>
                <w:bCs/>
                <w:sz w:val="20"/>
                <w:szCs w:val="20"/>
              </w:rPr>
            </w:pPr>
          </w:p>
        </w:tc>
        <w:tc>
          <w:tcPr>
            <w:tcW w:w="397" w:type="pct"/>
            <w:vMerge/>
            <w:vAlign w:val="center"/>
          </w:tcPr>
          <w:p w:rsidR="00263101" w:rsidRPr="00EB3F80" w:rsidRDefault="00263101" w:rsidP="00264DEF">
            <w:pPr>
              <w:jc w:val="center"/>
              <w:rPr>
                <w:rFonts w:asciiTheme="majorBidi" w:hAnsiTheme="majorBidi" w:cstheme="majorBidi"/>
                <w:bCs/>
                <w:sz w:val="20"/>
                <w:szCs w:val="20"/>
              </w:rPr>
            </w:pPr>
          </w:p>
        </w:tc>
        <w:tc>
          <w:tcPr>
            <w:tcW w:w="406" w:type="pct"/>
            <w:vMerge/>
            <w:vAlign w:val="center"/>
          </w:tcPr>
          <w:p w:rsidR="00263101" w:rsidRPr="00EB3F80" w:rsidRDefault="00263101" w:rsidP="00264DEF">
            <w:pPr>
              <w:jc w:val="center"/>
              <w:rPr>
                <w:rFonts w:asciiTheme="majorBidi" w:hAnsiTheme="majorBidi" w:cstheme="majorBidi"/>
                <w:bCs/>
                <w:sz w:val="20"/>
                <w:szCs w:val="20"/>
              </w:rPr>
            </w:pPr>
          </w:p>
        </w:tc>
        <w:tc>
          <w:tcPr>
            <w:tcW w:w="418" w:type="pct"/>
            <w:vMerge/>
            <w:vAlign w:val="center"/>
          </w:tcPr>
          <w:p w:rsidR="00263101" w:rsidRPr="00EB3F80" w:rsidRDefault="00263101" w:rsidP="00264DEF">
            <w:pPr>
              <w:jc w:val="center"/>
              <w:rPr>
                <w:rFonts w:asciiTheme="majorBidi" w:hAnsiTheme="majorBidi" w:cstheme="majorBidi"/>
                <w:bCs/>
                <w:sz w:val="20"/>
                <w:szCs w:val="20"/>
              </w:rPr>
            </w:pPr>
          </w:p>
        </w:tc>
        <w:tc>
          <w:tcPr>
            <w:tcW w:w="395" w:type="pct"/>
            <w:vMerge/>
            <w:vAlign w:val="center"/>
          </w:tcPr>
          <w:p w:rsidR="00263101" w:rsidRPr="00EB3F80" w:rsidRDefault="00263101" w:rsidP="00264DEF">
            <w:pPr>
              <w:jc w:val="center"/>
              <w:rPr>
                <w:rFonts w:asciiTheme="majorBidi" w:hAnsiTheme="majorBidi" w:cstheme="majorBidi"/>
                <w:bCs/>
                <w:sz w:val="20"/>
                <w:szCs w:val="20"/>
              </w:rPr>
            </w:pPr>
          </w:p>
        </w:tc>
        <w:tc>
          <w:tcPr>
            <w:tcW w:w="508" w:type="pct"/>
            <w:vMerge/>
            <w:vAlign w:val="center"/>
          </w:tcPr>
          <w:p w:rsidR="00263101" w:rsidRPr="00EB3F80" w:rsidRDefault="00263101" w:rsidP="00264DEF">
            <w:pPr>
              <w:jc w:val="center"/>
              <w:rPr>
                <w:rFonts w:asciiTheme="majorBidi" w:hAnsiTheme="majorBidi" w:cstheme="majorBidi"/>
                <w:bCs/>
                <w:i/>
                <w:sz w:val="20"/>
                <w:szCs w:val="20"/>
              </w:rPr>
            </w:pPr>
          </w:p>
        </w:tc>
        <w:tc>
          <w:tcPr>
            <w:tcW w:w="254" w:type="pct"/>
            <w:vMerge/>
            <w:vAlign w:val="center"/>
          </w:tcPr>
          <w:p w:rsidR="00263101" w:rsidRPr="00EB3F80" w:rsidRDefault="00263101" w:rsidP="00264DEF">
            <w:pPr>
              <w:jc w:val="center"/>
              <w:rPr>
                <w:rFonts w:asciiTheme="majorBidi" w:hAnsiTheme="majorBidi" w:cstheme="majorBidi"/>
                <w:bCs/>
                <w:sz w:val="20"/>
                <w:szCs w:val="20"/>
              </w:rPr>
            </w:pPr>
          </w:p>
        </w:tc>
        <w:tc>
          <w:tcPr>
            <w:tcW w:w="591" w:type="pct"/>
            <w:vAlign w:val="center"/>
          </w:tcPr>
          <w:p w:rsidR="00263101" w:rsidRPr="00EB3F80" w:rsidRDefault="00263101" w:rsidP="00264DEF">
            <w:pPr>
              <w:jc w:val="center"/>
              <w:rPr>
                <w:rFonts w:asciiTheme="majorBidi" w:hAnsiTheme="majorBidi" w:cstheme="majorBidi"/>
                <w:bCs/>
                <w:sz w:val="20"/>
                <w:szCs w:val="20"/>
              </w:rPr>
            </w:pPr>
            <w:proofErr w:type="spellStart"/>
            <w:r w:rsidRPr="00EB3F80">
              <w:rPr>
                <w:rFonts w:asciiTheme="majorBidi" w:hAnsiTheme="majorBidi" w:cstheme="majorBidi"/>
                <w:bCs/>
                <w:sz w:val="20"/>
                <w:szCs w:val="20"/>
              </w:rPr>
              <w:t>Simazine</w:t>
            </w:r>
            <w:proofErr w:type="spellEnd"/>
          </w:p>
        </w:tc>
        <w:tc>
          <w:tcPr>
            <w:tcW w:w="404" w:type="pct"/>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0.195</w:t>
            </w:r>
          </w:p>
        </w:tc>
        <w:tc>
          <w:tcPr>
            <w:tcW w:w="316" w:type="pct"/>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44</w:t>
            </w:r>
          </w:p>
        </w:tc>
        <w:tc>
          <w:tcPr>
            <w:tcW w:w="33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r>
      <w:tr w:rsidR="00263101" w:rsidRPr="00EB3F80" w:rsidTr="00264DEF">
        <w:trPr>
          <w:trHeight w:val="552"/>
        </w:trPr>
        <w:tc>
          <w:tcPr>
            <w:tcW w:w="33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279"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97"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06"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41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95"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08" w:type="pct"/>
            <w:vMerge/>
            <w:tcBorders>
              <w:bottom w:val="single" w:sz="4" w:space="0" w:color="auto"/>
            </w:tcBorders>
            <w:vAlign w:val="center"/>
          </w:tcPr>
          <w:p w:rsidR="00263101" w:rsidRPr="00EB3F80" w:rsidRDefault="00263101" w:rsidP="00264DEF">
            <w:pPr>
              <w:jc w:val="center"/>
              <w:rPr>
                <w:rFonts w:asciiTheme="majorBidi" w:hAnsiTheme="majorBidi" w:cstheme="majorBidi"/>
                <w:bCs/>
                <w:i/>
                <w:sz w:val="20"/>
                <w:szCs w:val="20"/>
              </w:rPr>
            </w:pPr>
          </w:p>
        </w:tc>
        <w:tc>
          <w:tcPr>
            <w:tcW w:w="254"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591"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Atrazine</w:t>
            </w:r>
          </w:p>
        </w:tc>
        <w:tc>
          <w:tcPr>
            <w:tcW w:w="404"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Pr>
                <w:rFonts w:asciiTheme="majorBidi" w:hAnsiTheme="majorBidi" w:cstheme="majorBidi"/>
                <w:bCs/>
                <w:sz w:val="20"/>
                <w:szCs w:val="20"/>
              </w:rPr>
              <w:t>0.059</w:t>
            </w:r>
          </w:p>
        </w:tc>
        <w:tc>
          <w:tcPr>
            <w:tcW w:w="316" w:type="pct"/>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r w:rsidRPr="00EB3F80">
              <w:rPr>
                <w:rFonts w:asciiTheme="majorBidi" w:hAnsiTheme="majorBidi" w:cstheme="majorBidi"/>
                <w:bCs/>
                <w:sz w:val="20"/>
                <w:szCs w:val="20"/>
              </w:rPr>
              <w:t>49</w:t>
            </w:r>
          </w:p>
        </w:tc>
        <w:tc>
          <w:tcPr>
            <w:tcW w:w="333" w:type="pct"/>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c>
          <w:tcPr>
            <w:tcW w:w="360" w:type="pct"/>
            <w:gridSpan w:val="2"/>
            <w:vMerge/>
            <w:tcBorders>
              <w:bottom w:val="single" w:sz="4" w:space="0" w:color="auto"/>
            </w:tcBorders>
            <w:vAlign w:val="center"/>
          </w:tcPr>
          <w:p w:rsidR="00263101" w:rsidRPr="00EB3F80" w:rsidRDefault="00263101" w:rsidP="00264DEF">
            <w:pPr>
              <w:jc w:val="center"/>
              <w:rPr>
                <w:rFonts w:asciiTheme="majorBidi" w:hAnsiTheme="majorBidi" w:cstheme="majorBidi"/>
                <w:bCs/>
                <w:sz w:val="20"/>
                <w:szCs w:val="20"/>
              </w:rPr>
            </w:pPr>
          </w:p>
        </w:tc>
      </w:tr>
    </w:tbl>
    <w:p w:rsidR="00263101" w:rsidRDefault="00263101" w:rsidP="00263101"/>
    <w:p w:rsidR="00263101" w:rsidRDefault="00263101" w:rsidP="00263101"/>
    <w:sectPr w:rsidR="00263101" w:rsidSect="00263101">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D79"/>
    <w:rsid w:val="00263101"/>
    <w:rsid w:val="004B2CC0"/>
    <w:rsid w:val="007311D7"/>
    <w:rsid w:val="00A93C5B"/>
    <w:rsid w:val="00AB2F13"/>
    <w:rsid w:val="00B60D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0D976-D328-4631-91F4-A4CEEDED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31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63101"/>
    <w:rPr>
      <w:sz w:val="16"/>
      <w:szCs w:val="16"/>
    </w:rPr>
  </w:style>
  <w:style w:type="paragraph" w:styleId="CommentText">
    <w:name w:val="annotation text"/>
    <w:basedOn w:val="Normal"/>
    <w:link w:val="CommentTextChar"/>
    <w:uiPriority w:val="99"/>
    <w:unhideWhenUsed/>
    <w:rsid w:val="00263101"/>
    <w:pPr>
      <w:spacing w:line="240" w:lineRule="auto"/>
    </w:pPr>
    <w:rPr>
      <w:sz w:val="20"/>
      <w:szCs w:val="20"/>
    </w:rPr>
  </w:style>
  <w:style w:type="character" w:customStyle="1" w:styleId="CommentTextChar">
    <w:name w:val="Comment Text Char"/>
    <w:basedOn w:val="DefaultParagraphFont"/>
    <w:link w:val="CommentText"/>
    <w:uiPriority w:val="99"/>
    <w:rsid w:val="00263101"/>
    <w:rPr>
      <w:sz w:val="20"/>
      <w:szCs w:val="20"/>
    </w:rPr>
  </w:style>
  <w:style w:type="paragraph" w:styleId="CommentSubject">
    <w:name w:val="annotation subject"/>
    <w:basedOn w:val="CommentText"/>
    <w:next w:val="CommentText"/>
    <w:link w:val="CommentSubjectChar"/>
    <w:uiPriority w:val="99"/>
    <w:semiHidden/>
    <w:unhideWhenUsed/>
    <w:rsid w:val="00263101"/>
    <w:rPr>
      <w:b/>
      <w:bCs/>
    </w:rPr>
  </w:style>
  <w:style w:type="character" w:customStyle="1" w:styleId="CommentSubjectChar">
    <w:name w:val="Comment Subject Char"/>
    <w:basedOn w:val="CommentTextChar"/>
    <w:link w:val="CommentSubject"/>
    <w:uiPriority w:val="99"/>
    <w:semiHidden/>
    <w:rsid w:val="00263101"/>
    <w:rPr>
      <w:b/>
      <w:bCs/>
      <w:sz w:val="20"/>
      <w:szCs w:val="20"/>
    </w:rPr>
  </w:style>
  <w:style w:type="paragraph" w:styleId="Revision">
    <w:name w:val="Revision"/>
    <w:hidden/>
    <w:uiPriority w:val="99"/>
    <w:semiHidden/>
    <w:rsid w:val="00263101"/>
    <w:pPr>
      <w:spacing w:after="0" w:line="240" w:lineRule="auto"/>
    </w:pPr>
  </w:style>
  <w:style w:type="paragraph" w:styleId="BalloonText">
    <w:name w:val="Balloon Text"/>
    <w:basedOn w:val="Normal"/>
    <w:link w:val="BalloonTextChar"/>
    <w:uiPriority w:val="99"/>
    <w:semiHidden/>
    <w:unhideWhenUsed/>
    <w:rsid w:val="00263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101"/>
    <w:rPr>
      <w:rFonts w:ascii="Segoe UI" w:hAnsi="Segoe UI" w:cs="Segoe UI"/>
      <w:sz w:val="18"/>
      <w:szCs w:val="18"/>
    </w:rPr>
  </w:style>
  <w:style w:type="paragraph" w:styleId="FootnoteText">
    <w:name w:val="footnote text"/>
    <w:basedOn w:val="Normal"/>
    <w:link w:val="FootnoteTextChar"/>
    <w:uiPriority w:val="99"/>
    <w:unhideWhenUsed/>
    <w:rsid w:val="00263101"/>
    <w:pPr>
      <w:autoSpaceDE w:val="0"/>
      <w:autoSpaceDN w:val="0"/>
    </w:pPr>
    <w:rPr>
      <w:rFonts w:ascii="Times New Roman" w:eastAsia="宋体" w:hAnsi="Times New Roman" w:cs="Times New Roman"/>
      <w:sz w:val="20"/>
      <w:szCs w:val="20"/>
      <w:lang w:val="de-DE"/>
    </w:rPr>
  </w:style>
  <w:style w:type="character" w:customStyle="1" w:styleId="FootnoteTextChar">
    <w:name w:val="Footnote Text Char"/>
    <w:basedOn w:val="DefaultParagraphFont"/>
    <w:link w:val="FootnoteText"/>
    <w:uiPriority w:val="99"/>
    <w:rsid w:val="00263101"/>
    <w:rPr>
      <w:rFonts w:ascii="Times New Roman" w:eastAsia="宋体" w:hAnsi="Times New Roman"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adga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17834</Words>
  <Characters>101655</Characters>
  <Application>Microsoft Office Word</Application>
  <DocSecurity>0</DocSecurity>
  <Lines>847</Lines>
  <Paragraphs>238</Paragraphs>
  <ScaleCrop>false</ScaleCrop>
  <Company/>
  <LinksUpToDate>false</LinksUpToDate>
  <CharactersWithSpaces>119251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dc:creator>
  <cp:keywords/>
  <dc:description/>
  <cp:lastModifiedBy>Saad</cp:lastModifiedBy>
  <cp:revision>3</cp:revision>
  <dcterms:created xsi:type="dcterms:W3CDTF">2023-12-13T16:18:00Z</dcterms:created>
  <dcterms:modified xsi:type="dcterms:W3CDTF">2023-12-13T16:21:00Z</dcterms:modified>
</cp:coreProperties>
</file>