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CECFA" w14:textId="582667B7" w:rsidR="00D216F8" w:rsidRPr="00D216F8" w:rsidRDefault="004D3788" w:rsidP="00D216F8">
      <w:pPr>
        <w:keepNext/>
        <w:rPr>
          <w:rFonts w:ascii="Calibri" w:hAnsi="Calibri" w:cs="Calibri"/>
          <w:b/>
          <w:bCs/>
        </w:rPr>
      </w:pPr>
      <w:r w:rsidRPr="00D216F8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11E8B42D" wp14:editId="496F73C9">
            <wp:simplePos x="0" y="0"/>
            <wp:positionH relativeFrom="margin">
              <wp:align>center</wp:align>
            </wp:positionH>
            <wp:positionV relativeFrom="paragraph">
              <wp:posOffset>223225</wp:posOffset>
            </wp:positionV>
            <wp:extent cx="4004945" cy="4347210"/>
            <wp:effectExtent l="0" t="0" r="0" b="0"/>
            <wp:wrapTopAndBottom/>
            <wp:docPr id="285594652" name="Picture 285594652">
              <a:extLst xmlns:a="http://schemas.openxmlformats.org/drawingml/2006/main">
                <a:ext uri="{FF2B5EF4-FFF2-40B4-BE49-F238E27FC236}">
                  <a16:creationId xmlns:a16="http://schemas.microsoft.com/office/drawing/2014/main" id="{09AC28CF-5C8C-581A-B1EC-66E8091136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94652" name="Picture 285594652">
                      <a:extLst>
                        <a:ext uri="{FF2B5EF4-FFF2-40B4-BE49-F238E27FC236}">
                          <a16:creationId xmlns:a16="http://schemas.microsoft.com/office/drawing/2014/main" id="{09AC28CF-5C8C-581A-B1EC-66E8091136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579" cy="43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6F8" w:rsidRPr="00D216F8">
        <w:rPr>
          <w:rFonts w:ascii="Calibri" w:hAnsi="Calibri" w:cs="Calibri"/>
          <w:b/>
          <w:bCs/>
        </w:rPr>
        <w:t>Supplementary</w:t>
      </w:r>
      <w:r w:rsidR="00D216F8" w:rsidRPr="00D216F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629EB9" wp14:editId="5465A9D3">
                <wp:simplePos x="0" y="0"/>
                <wp:positionH relativeFrom="margin">
                  <wp:align>right</wp:align>
                </wp:positionH>
                <wp:positionV relativeFrom="paragraph">
                  <wp:posOffset>4624705</wp:posOffset>
                </wp:positionV>
                <wp:extent cx="5943600" cy="979805"/>
                <wp:effectExtent l="0" t="0" r="0" b="0"/>
                <wp:wrapTopAndBottom/>
                <wp:docPr id="44007757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9798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679AB6" w14:textId="77777777" w:rsidR="00D216F8" w:rsidRPr="00D216F8" w:rsidRDefault="00D216F8" w:rsidP="00D216F8">
                            <w:pPr>
                              <w:pStyle w:val="Caption"/>
                              <w:rPr>
                                <w:rFonts w:ascii="Calibri" w:hAnsi="Calibri" w:cs="Calibri"/>
                              </w:rPr>
                            </w:pPr>
                            <w:r w:rsidRPr="00D216F8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Figure S1. 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(a) Spatial distribution of dam incidents categorized by season. Incidents occurred during March – May are categorized as spring incidents, June – August as summer incidents, September – November as fall incidents, and December – January as winter season, and (b) annual number of dam incidents reported. The red dashed line indicates the robust linear trend in the annual number of dam incidents (</w:t>
                            </w:r>
                            <w:r w:rsidRPr="00D216F8"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</w:rPr>
                              <w:t>Sen’s slope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= 1.78, </w:t>
                            </w:r>
                            <w:r w:rsidRPr="00D216F8"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</w:rPr>
                              <w:t>p-value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= 0.001).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629EB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6.8pt;margin-top:364.15pt;width:468pt;height:77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" stroked="f">
                <v:textbox style="mso-fit-shape-to-text:t" inset="0,0,0,0">
                  <w:txbxContent>
                    <w:p w14:paraId="6F679AB6" w14:textId="77777777" w:rsidR="00D216F8" w:rsidRPr="00D216F8" w:rsidRDefault="00D216F8" w:rsidP="00D216F8">
                      <w:pPr>
                        <w:pStyle w:val="Caption"/>
                        <w:rPr>
                          <w:rFonts w:ascii="Calibri" w:hAnsi="Calibri" w:cs="Calibri"/>
                        </w:rPr>
                      </w:pPr>
                      <w:r w:rsidRPr="00D216F8">
                        <w:rPr>
                          <w:rFonts w:ascii="Calibri" w:hAnsi="Calibri" w:cs="Calibri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Figure S1. 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(a) Spatial distribution of dam incidents categorized by season. Incidents occurred during March – May are categorized as spring incidents, June – August as summer incidents, September – November as fall incidents, and December – January as winter season, and (b) annual number of dam incidents reported. The red dashed line indicates the robust linear trend in the annual number of dam incidents (</w:t>
                      </w:r>
                      <w:r w:rsidRPr="00D216F8"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</w:rPr>
                        <w:t>Sen’s slope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= 1.78, </w:t>
                      </w:r>
                      <w:r w:rsidRPr="00D216F8"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</w:rPr>
                        <w:t>p-value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= 0.001).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EFD1F36" w14:textId="77777777" w:rsidR="003A40A4" w:rsidRPr="00D216F8" w:rsidRDefault="003A40A4" w:rsidP="00D216F8">
      <w:pPr>
        <w:rPr>
          <w:rFonts w:ascii="Calibri" w:hAnsi="Calibri" w:cs="Calibri"/>
        </w:rPr>
      </w:pPr>
    </w:p>
    <w:p w14:paraId="672BDDD4" w14:textId="1C571DBD" w:rsidR="00D216F8" w:rsidRPr="00D216F8" w:rsidRDefault="00D216F8" w:rsidP="00D216F8">
      <w:pPr>
        <w:rPr>
          <w:rFonts w:ascii="Calibri" w:hAnsi="Calibri" w:cs="Calibri"/>
        </w:rPr>
      </w:pPr>
      <w:r w:rsidRPr="00D216F8">
        <w:rPr>
          <w:rFonts w:ascii="Calibri" w:hAnsi="Calibri" w:cs="Calibri"/>
          <w:noProof/>
          <w:lang w:eastAsia="en-US"/>
        </w:rPr>
        <w:lastRenderedPageBreak/>
        <w:drawing>
          <wp:anchor distT="0" distB="0" distL="114300" distR="114300" simplePos="0" relativeHeight="251659264" behindDoc="0" locked="0" layoutInCell="1" allowOverlap="1" wp14:anchorId="7CA470EF" wp14:editId="0E0256C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5344795"/>
            <wp:effectExtent l="0" t="0" r="0" b="8255"/>
            <wp:wrapTopAndBottom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9291225-6961-48FE-CBA8-23BF89CF72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FF2B5EF4-FFF2-40B4-BE49-F238E27FC236}">
                          <a16:creationId xmlns:a16="http://schemas.microsoft.com/office/drawing/2014/main" id="{69291225-6961-48FE-CBA8-23BF89CF72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4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16F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FCA72" wp14:editId="2482A102">
                <wp:simplePos x="0" y="0"/>
                <wp:positionH relativeFrom="column">
                  <wp:posOffset>0</wp:posOffset>
                </wp:positionH>
                <wp:positionV relativeFrom="paragraph">
                  <wp:posOffset>5414645</wp:posOffset>
                </wp:positionV>
                <wp:extent cx="5943600" cy="1149985"/>
                <wp:effectExtent l="0" t="0" r="0" b="0"/>
                <wp:wrapTopAndBottom/>
                <wp:docPr id="107009670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11499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9BC562" w14:textId="77777777" w:rsidR="00D216F8" w:rsidRPr="00D216F8" w:rsidRDefault="00D216F8" w:rsidP="00D216F8">
                            <w:pPr>
                              <w:pStyle w:val="Caption"/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</w:rPr>
                            </w:pPr>
                            <w:r w:rsidRPr="00D216F8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Figure S2. 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Return periods of (a) one-day maximum precipitation, 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A*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(b) 5-day precedent precipitation total, 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K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vertAlign w:val="subscript"/>
                              </w:rPr>
                              <w:t>5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*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(c) 30-day precedent precipitation total, 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K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vertAlign w:val="subscript"/>
                              </w:rPr>
                              <w:t>30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*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(d) joint occurrence of one-day maximum precipitation and 5-day precedent precipitation total, (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A*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,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K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vertAlign w:val="subscript"/>
                              </w:rPr>
                              <w:t>5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*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) and (e) joint occurrence of one-day maximum precipitation and 30-day precedent precipitation total (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A*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,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K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vertAlign w:val="subscript"/>
                              </w:rPr>
                              <w:t>30</w:t>
                            </w:r>
                            <w:r w:rsidRPr="00D216F8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*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) observed during the incidents. The exceedance probabilities are evaluated from the local model at each dam’s construction year. Dams lacking construction-year information are marked with an 'X' symbol.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FCA72" id="Text Box 3" o:spid="_x0000_s1027" type="#_x0000_t202" style="position:absolute;margin-left:0;margin-top:426.35pt;width:468pt;height:9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" stroked="f">
                <v:textbox style="mso-fit-shape-to-text:t" inset="0,0,0,0">
                  <w:txbxContent>
                    <w:p w14:paraId="4C9BC562" w14:textId="77777777" w:rsidR="00D216F8" w:rsidRPr="00D216F8" w:rsidRDefault="00D216F8" w:rsidP="00D216F8">
                      <w:pPr>
                        <w:pStyle w:val="Caption"/>
                        <w:rPr>
                          <w:rFonts w:ascii="Calibri" w:hAnsi="Calibri" w:cs="Calibri"/>
                          <w:b/>
                          <w:bCs/>
                          <w:noProof/>
                        </w:rPr>
                      </w:pPr>
                      <w:r w:rsidRPr="00D216F8">
                        <w:rPr>
                          <w:rFonts w:ascii="Calibri" w:hAnsi="Calibri" w:cs="Calibri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Figure S2. 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Return periods of (a) one-day maximum precipitation, 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A*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(b) 5-day precedent precipitation total, 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K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vertAlign w:val="subscript"/>
                        </w:rPr>
                        <w:t>5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*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(c) 30-day precedent precipitation total, 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K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vertAlign w:val="subscript"/>
                        </w:rPr>
                        <w:t>30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*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(d) joint occurrence of one-day maximum precipitation and 5-day precedent precipitation total, (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A*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,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K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vertAlign w:val="subscript"/>
                        </w:rPr>
                        <w:t>5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*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) and (e) joint occurrence of one-day maximum precipitation and 30-day precedent precipitation total (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A*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,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K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vertAlign w:val="subscript"/>
                        </w:rPr>
                        <w:t>30</w:t>
                      </w:r>
                      <w:r w:rsidRPr="00D216F8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*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) observed during the incidents. The exceedance probabilities are evaluated from the local model at each dam’s construction year. Dams lacking construction-year information are marked with an 'X' symbol.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8E9F1E6" w14:textId="4839C251" w:rsidR="00D216F8" w:rsidRPr="00D216F8" w:rsidRDefault="004D3788" w:rsidP="00D216F8">
      <w:pPr>
        <w:rPr>
          <w:rFonts w:ascii="Calibri" w:hAnsi="Calibri" w:cs="Calibri"/>
        </w:rPr>
      </w:pPr>
      <w:r w:rsidRPr="00D216F8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CB03155" wp14:editId="6B613D06">
            <wp:simplePos x="0" y="0"/>
            <wp:positionH relativeFrom="margin">
              <wp:align>center</wp:align>
            </wp:positionH>
            <wp:positionV relativeFrom="paragraph">
              <wp:posOffset>162</wp:posOffset>
            </wp:positionV>
            <wp:extent cx="5363845" cy="6857365"/>
            <wp:effectExtent l="0" t="0" r="8255" b="635"/>
            <wp:wrapTopAndBottom/>
            <wp:docPr id="165043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3706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79" cy="6857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216F8" w:rsidRPr="00D216F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B62379" wp14:editId="6AE06BB9">
                <wp:simplePos x="0" y="0"/>
                <wp:positionH relativeFrom="column">
                  <wp:posOffset>285750</wp:posOffset>
                </wp:positionH>
                <wp:positionV relativeFrom="paragraph">
                  <wp:posOffset>6915785</wp:posOffset>
                </wp:positionV>
                <wp:extent cx="5364480" cy="638810"/>
                <wp:effectExtent l="0" t="0" r="7620" b="0"/>
                <wp:wrapTopAndBottom/>
                <wp:docPr id="1068836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64480" cy="6388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2D72FC" w14:textId="77777777" w:rsidR="00D216F8" w:rsidRPr="00D216F8" w:rsidRDefault="00D216F8" w:rsidP="00D216F8">
                            <w:pPr>
                              <w:pStyle w:val="Caption"/>
                              <w:rPr>
                                <w:rFonts w:ascii="Calibri" w:hAnsi="Calibri" w:cs="Calibri"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D216F8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Figure S3.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Same as Figures 3 and 4 but showing the spatial distribution of significant trends. The color schemes in (a) – (f) are same as figure 3, and (g) – (h) corresponds to those of Figure 4. Trends that are statistically significant at </w:t>
                            </w:r>
                            <w:r w:rsidRPr="00D216F8"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</w:rPr>
                              <w:t>p-value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&lt; 0.05 are marked with a red circle.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62379" id="Text Box 2" o:spid="_x0000_s1028" type="#_x0000_t202" style="position:absolute;margin-left:22.5pt;margin-top:544.55pt;width:422.4pt;height:5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" stroked="f">
                <v:textbox style="mso-fit-shape-to-text:t" inset="0,0,0,0">
                  <w:txbxContent>
                    <w:p w14:paraId="2C2D72FC" w14:textId="77777777" w:rsidR="00D216F8" w:rsidRPr="00D216F8" w:rsidRDefault="00D216F8" w:rsidP="00D216F8">
                      <w:pPr>
                        <w:pStyle w:val="Caption"/>
                        <w:rPr>
                          <w:rFonts w:ascii="Calibri" w:hAnsi="Calibri" w:cs="Calibri"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D216F8">
                        <w:rPr>
                          <w:rFonts w:ascii="Calibri" w:hAnsi="Calibri" w:cs="Calibri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Figure S3.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Same as Figures 3 and 4 but showing the spatial distribution of significant trends. The color schemes in (a) – (f) are same as figure 3, and (g) – (h) corresponds to those of Figure 4. Trends that are statistically significant at </w:t>
                      </w:r>
                      <w:r w:rsidRPr="00D216F8"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</w:rPr>
                        <w:t>p-value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&lt; 0.05 are marked with a red circle.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CF778E3" w14:textId="46253261" w:rsidR="00D216F8" w:rsidRPr="00D216F8" w:rsidRDefault="004D3788">
      <w:pPr>
        <w:rPr>
          <w:rFonts w:ascii="Calibri" w:hAnsi="Calibri" w:cs="Calibri"/>
        </w:rPr>
      </w:pPr>
      <w:r w:rsidRPr="00D216F8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589A610" wp14:editId="17451C4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4870" cy="5070475"/>
            <wp:effectExtent l="0" t="0" r="0" b="0"/>
            <wp:wrapTopAndBottom/>
            <wp:docPr id="979973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73673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4" cy="5071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6F8" w:rsidRPr="00D216F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7BAB4E" wp14:editId="1C0A909A">
                <wp:simplePos x="0" y="0"/>
                <wp:positionH relativeFrom="column">
                  <wp:posOffset>-1905</wp:posOffset>
                </wp:positionH>
                <wp:positionV relativeFrom="paragraph">
                  <wp:posOffset>5128260</wp:posOffset>
                </wp:positionV>
                <wp:extent cx="5945505" cy="638810"/>
                <wp:effectExtent l="0" t="0" r="0" b="0"/>
                <wp:wrapTopAndBottom/>
                <wp:docPr id="24221411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5505" cy="6388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106767" w14:textId="77777777" w:rsidR="00D216F8" w:rsidRPr="00D216F8" w:rsidRDefault="00D216F8" w:rsidP="00D216F8">
                            <w:pPr>
                              <w:pStyle w:val="Caption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D216F8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Figure S4. 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Linear trends in the (a) location and (b) scale parameters of the GEV distribution for annual maximum daily precipitation, </w:t>
                            </w:r>
                            <w:r w:rsidRPr="00D216F8"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</w:rPr>
                              <w:t>A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, and in the (c) location and (d) scale parameters of the G2 distribution for k-day precedent precipitation total, </w:t>
                            </w:r>
                            <w:r w:rsidRPr="00D216F8"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</w:rPr>
                              <w:t>K</w:t>
                            </w:r>
                            <w:r w:rsidRPr="00D216F8">
                              <w:rPr>
                                <w:rFonts w:ascii="Calibri" w:hAnsi="Calibri" w:cs="Calibr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, observed across the timespan from 1979 to 2021.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BAB4E" id="Text Box 1" o:spid="_x0000_s1029" type="#_x0000_t202" style="position:absolute;margin-left:-.15pt;margin-top:403.8pt;width:468.15pt;height:5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" stroked="f">
                <v:textbox style="mso-fit-shape-to-text:t" inset="0,0,0,0">
                  <w:txbxContent>
                    <w:p w14:paraId="46106767" w14:textId="77777777" w:rsidR="00D216F8" w:rsidRPr="00D216F8" w:rsidRDefault="00D216F8" w:rsidP="00D216F8">
                      <w:pPr>
                        <w:pStyle w:val="Caption"/>
                        <w:rPr>
                          <w:rFonts w:ascii="Calibri" w:hAnsi="Calibri" w:cs="Calibri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D216F8">
                        <w:rPr>
                          <w:rFonts w:ascii="Calibri" w:hAnsi="Calibri" w:cs="Calibri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Figure S4. 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Linear trends in the (a) location and (b) scale parameters of the GEV distribution for annual maximum daily precipitation, </w:t>
                      </w:r>
                      <w:r w:rsidRPr="00D216F8"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</w:rPr>
                        <w:t>A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, and in the (c) location and (d) scale parameters of the G2 distribution for k-day precedent precipitation total, </w:t>
                      </w:r>
                      <w:r w:rsidRPr="00D216F8"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</w:rPr>
                        <w:t>K</w:t>
                      </w:r>
                      <w:r w:rsidRPr="00D216F8">
                        <w:rPr>
                          <w:rFonts w:ascii="Calibri" w:hAnsi="Calibri" w:cs="Calibri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, observed across the timespan from 1979 to 2021.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D216F8" w:rsidRPr="00D216F8" w:rsidSect="008063D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F8"/>
    <w:rsid w:val="002629EB"/>
    <w:rsid w:val="003A40A4"/>
    <w:rsid w:val="004D3788"/>
    <w:rsid w:val="008063D9"/>
    <w:rsid w:val="008C34B1"/>
    <w:rsid w:val="00D2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EF258"/>
  <w15:chartTrackingRefBased/>
  <w15:docId w15:val="{69DF234D-1A01-4587-819C-7332FD46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F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16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6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6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6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6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6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6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6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6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6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6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6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6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6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6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6F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6F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216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6F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216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6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6F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216F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21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</Words>
  <Characters>23</Characters>
  <Application>Microsoft Office Word</Application>
  <DocSecurity>0</DocSecurity>
  <Lines>1</Lines>
  <Paragraphs>1</Paragraphs>
  <ScaleCrop>false</ScaleCrop>
  <Company>North Carolina State University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Jeongwoo Hwang</dc:creator>
  <cp:keywords/>
  <dc:description/>
  <cp:lastModifiedBy>Jeongwoo Hwang</cp:lastModifiedBy>
  <cp:revision>3</cp:revision>
  <cp:lastPrinted>2024-01-30T20:06:00Z</cp:lastPrinted>
  <dcterms:created xsi:type="dcterms:W3CDTF">2024-01-16T20:46:00Z</dcterms:created>
  <dcterms:modified xsi:type="dcterms:W3CDTF">2024-01-30T23:14:00Z</dcterms:modified>
</cp:coreProperties>
</file>