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2B89C" w14:textId="18F4BDB7" w:rsidR="00EC226F" w:rsidRDefault="00EC226F" w:rsidP="00EC226F">
      <w:pPr>
        <w:spacing w:line="276" w:lineRule="auto"/>
        <w:jc w:val="center"/>
        <w:rPr>
          <w:rFonts w:asciiTheme="majorHAnsi" w:eastAsiaTheme="majorEastAsia" w:hAnsiTheme="majorHAnsi" w:cstheme="majorBidi"/>
          <w:sz w:val="28"/>
          <w:szCs w:val="28"/>
          <w:shd w:val="clear" w:color="auto" w:fill="FFFFFF"/>
          <w:lang w:val="en-US"/>
        </w:rPr>
      </w:pPr>
      <w:bookmarkStart w:id="0" w:name="_Hlk138182323"/>
      <w:r>
        <w:rPr>
          <w:rFonts w:asciiTheme="majorHAnsi" w:eastAsiaTheme="majorEastAsia" w:hAnsiTheme="majorHAnsi" w:cstheme="majorBidi"/>
          <w:sz w:val="28"/>
          <w:szCs w:val="28"/>
          <w:shd w:val="clear" w:color="auto" w:fill="FFFFFF"/>
          <w:lang w:val="en-US"/>
        </w:rPr>
        <w:t>Supplementary Information</w:t>
      </w:r>
    </w:p>
    <w:p w14:paraId="42EF8C4C" w14:textId="466CF513" w:rsidR="00EC226F" w:rsidRPr="00EC226F" w:rsidRDefault="00EC226F" w:rsidP="00EC226F">
      <w:pPr>
        <w:spacing w:line="276" w:lineRule="auto"/>
        <w:rPr>
          <w:rFonts w:asciiTheme="majorHAnsi" w:eastAsiaTheme="majorEastAsia" w:hAnsiTheme="majorHAnsi" w:cstheme="majorBidi"/>
          <w:sz w:val="28"/>
          <w:szCs w:val="28"/>
          <w:shd w:val="clear" w:color="auto" w:fill="FFFFFF"/>
          <w:lang w:val="en-US"/>
        </w:rPr>
      </w:pPr>
      <w:r w:rsidRPr="00EC226F">
        <w:rPr>
          <w:rFonts w:asciiTheme="majorHAnsi" w:eastAsiaTheme="majorEastAsia" w:hAnsiTheme="majorHAnsi" w:cstheme="majorBidi"/>
          <w:sz w:val="28"/>
          <w:szCs w:val="28"/>
          <w:shd w:val="clear" w:color="auto" w:fill="FFFFFF"/>
          <w:lang w:val="en-US"/>
        </w:rPr>
        <w:t>A novel pyridoindole improves the recovery of residual hearing following cochlear implantation after a single preoperative application</w:t>
      </w:r>
    </w:p>
    <w:p w14:paraId="7AE62A61" w14:textId="77777777" w:rsidR="00EC226F" w:rsidRPr="007A2542" w:rsidRDefault="00EC226F" w:rsidP="00EC226F">
      <w:pPr>
        <w:spacing w:after="0" w:line="276" w:lineRule="auto"/>
        <w:rPr>
          <w:sz w:val="20"/>
          <w:szCs w:val="20"/>
          <w:shd w:val="clear" w:color="auto" w:fill="FFFFFF"/>
          <w:vertAlign w:val="superscript"/>
          <w:lang w:val="en-US"/>
        </w:rPr>
      </w:pPr>
      <w:r w:rsidRPr="007A2542">
        <w:rPr>
          <w:sz w:val="20"/>
          <w:szCs w:val="20"/>
          <w:shd w:val="clear" w:color="auto" w:fill="FFFFFF"/>
          <w:lang w:val="en-US"/>
        </w:rPr>
        <w:t>Michael Nieratschker, MD</w:t>
      </w:r>
      <w:r w:rsidRPr="007A2542">
        <w:rPr>
          <w:sz w:val="20"/>
          <w:szCs w:val="20"/>
          <w:shd w:val="clear" w:color="auto" w:fill="FFFFFF"/>
          <w:vertAlign w:val="superscript"/>
          <w:lang w:val="en-US"/>
        </w:rPr>
        <w:t>1</w:t>
      </w:r>
      <w:r w:rsidRPr="007A2542">
        <w:rPr>
          <w:sz w:val="20"/>
          <w:szCs w:val="20"/>
          <w:shd w:val="clear" w:color="auto" w:fill="FFFFFF"/>
          <w:lang w:val="en-US"/>
        </w:rPr>
        <w:t>, Erdem Yildiz, MD</w:t>
      </w:r>
      <w:r w:rsidRPr="007A2542">
        <w:rPr>
          <w:sz w:val="20"/>
          <w:szCs w:val="20"/>
          <w:shd w:val="clear" w:color="auto" w:fill="FFFFFF"/>
          <w:vertAlign w:val="superscript"/>
          <w:lang w:val="en-US"/>
        </w:rPr>
        <w:t>1</w:t>
      </w:r>
      <w:r w:rsidRPr="007A2542">
        <w:rPr>
          <w:sz w:val="20"/>
          <w:szCs w:val="20"/>
          <w:shd w:val="clear" w:color="auto" w:fill="FFFFFF"/>
          <w:lang w:val="en-US"/>
        </w:rPr>
        <w:t>, Matthias Gerlitz, MD</w:t>
      </w:r>
      <w:r w:rsidRPr="007A2542">
        <w:rPr>
          <w:sz w:val="20"/>
          <w:szCs w:val="20"/>
          <w:shd w:val="clear" w:color="auto" w:fill="FFFFFF"/>
          <w:vertAlign w:val="superscript"/>
          <w:lang w:val="en-US"/>
        </w:rPr>
        <w:t>1</w:t>
      </w:r>
      <w:r w:rsidRPr="007A2542">
        <w:rPr>
          <w:sz w:val="20"/>
          <w:szCs w:val="20"/>
          <w:shd w:val="clear" w:color="auto" w:fill="FFFFFF"/>
          <w:lang w:val="en-US"/>
        </w:rPr>
        <w:t>, Sujoy Bera, PhD</w:t>
      </w:r>
      <w:r w:rsidRPr="007A2542">
        <w:rPr>
          <w:sz w:val="20"/>
          <w:szCs w:val="20"/>
          <w:shd w:val="clear" w:color="auto" w:fill="FFFFFF"/>
          <w:vertAlign w:val="superscript"/>
          <w:lang w:val="en-US"/>
        </w:rPr>
        <w:t>2</w:t>
      </w:r>
      <w:r w:rsidRPr="007A2542">
        <w:rPr>
          <w:sz w:val="20"/>
          <w:szCs w:val="20"/>
          <w:shd w:val="clear" w:color="auto" w:fill="FFFFFF"/>
          <w:lang w:val="en-US"/>
        </w:rPr>
        <w:t>, Anselm J. Gadenstaetter, MD</w:t>
      </w:r>
      <w:r w:rsidRPr="007A2542">
        <w:rPr>
          <w:sz w:val="20"/>
          <w:szCs w:val="20"/>
          <w:shd w:val="clear" w:color="auto" w:fill="FFFFFF"/>
          <w:vertAlign w:val="superscript"/>
          <w:lang w:val="en-US"/>
        </w:rPr>
        <w:t>1</w:t>
      </w:r>
      <w:r w:rsidRPr="007A2542">
        <w:rPr>
          <w:sz w:val="20"/>
          <w:szCs w:val="20"/>
          <w:shd w:val="clear" w:color="auto" w:fill="FFFFFF"/>
          <w:lang w:val="en-US"/>
        </w:rPr>
        <w:t>, Anne-Margarethe Kramer</w:t>
      </w:r>
      <w:r w:rsidRPr="007A2542">
        <w:rPr>
          <w:sz w:val="20"/>
          <w:szCs w:val="20"/>
          <w:shd w:val="clear" w:color="auto" w:fill="FFFFFF"/>
          <w:vertAlign w:val="superscript"/>
          <w:lang w:val="en-US"/>
        </w:rPr>
        <w:t>3</w:t>
      </w:r>
      <w:r w:rsidRPr="007A2542">
        <w:rPr>
          <w:sz w:val="20"/>
          <w:szCs w:val="20"/>
          <w:shd w:val="clear" w:color="auto" w:fill="FFFFFF"/>
          <w:lang w:val="en-US"/>
        </w:rPr>
        <w:t>, Monika Kwiatkowska</w:t>
      </w:r>
      <w:r w:rsidRPr="007A2542">
        <w:rPr>
          <w:sz w:val="20"/>
          <w:szCs w:val="20"/>
          <w:shd w:val="clear" w:color="auto" w:fill="FFFFFF"/>
          <w:vertAlign w:val="superscript"/>
          <w:lang w:val="en-US"/>
        </w:rPr>
        <w:t>2</w:t>
      </w:r>
      <w:r w:rsidRPr="007A2542">
        <w:rPr>
          <w:sz w:val="20"/>
          <w:szCs w:val="20"/>
          <w:shd w:val="clear" w:color="auto" w:fill="FFFFFF"/>
          <w:lang w:val="en-US"/>
        </w:rPr>
        <w:t>, Pavel Mistrik</w:t>
      </w:r>
      <w:r w:rsidRPr="007A2542">
        <w:rPr>
          <w:sz w:val="20"/>
          <w:szCs w:val="20"/>
          <w:shd w:val="clear" w:color="auto" w:fill="FFFFFF"/>
          <w:vertAlign w:val="superscript"/>
          <w:lang w:val="en-US"/>
        </w:rPr>
        <w:t>4</w:t>
      </w:r>
      <w:r w:rsidRPr="007A2542">
        <w:rPr>
          <w:sz w:val="20"/>
          <w:szCs w:val="20"/>
          <w:shd w:val="clear" w:color="auto" w:fill="FFFFFF"/>
          <w:lang w:val="en-US"/>
        </w:rPr>
        <w:t>, PhD, Lukas D. Landegger, MD, PhD</w:t>
      </w:r>
      <w:r w:rsidRPr="007A2542">
        <w:rPr>
          <w:sz w:val="20"/>
          <w:szCs w:val="20"/>
          <w:shd w:val="clear" w:color="auto" w:fill="FFFFFF"/>
          <w:vertAlign w:val="superscript"/>
          <w:lang w:val="en-US"/>
        </w:rPr>
        <w:t>1</w:t>
      </w:r>
      <w:r w:rsidRPr="007A2542">
        <w:rPr>
          <w:sz w:val="20"/>
          <w:szCs w:val="20"/>
          <w:shd w:val="clear" w:color="auto" w:fill="FFFFFF"/>
          <w:lang w:val="en-US"/>
        </w:rPr>
        <w:t>, Susanne Braun, PhD</w:t>
      </w:r>
      <w:r w:rsidRPr="007A2542">
        <w:rPr>
          <w:sz w:val="20"/>
          <w:szCs w:val="20"/>
          <w:shd w:val="clear" w:color="auto" w:fill="FFFFFF"/>
          <w:vertAlign w:val="superscript"/>
          <w:lang w:val="en-US"/>
        </w:rPr>
        <w:t>4</w:t>
      </w:r>
      <w:r w:rsidRPr="007A2542">
        <w:rPr>
          <w:sz w:val="20"/>
          <w:szCs w:val="20"/>
          <w:shd w:val="clear" w:color="auto" w:fill="FFFFFF"/>
          <w:lang w:val="en-US"/>
        </w:rPr>
        <w:t>, Reimar Schlingensiepen MD</w:t>
      </w:r>
      <w:r w:rsidRPr="007A2542">
        <w:rPr>
          <w:sz w:val="20"/>
          <w:szCs w:val="20"/>
          <w:shd w:val="clear" w:color="auto" w:fill="FFFFFF"/>
          <w:vertAlign w:val="superscript"/>
          <w:lang w:val="en-US"/>
        </w:rPr>
        <w:t>2</w:t>
      </w:r>
      <w:r w:rsidRPr="007A2542">
        <w:rPr>
          <w:sz w:val="20"/>
          <w:szCs w:val="20"/>
          <w:shd w:val="clear" w:color="auto" w:fill="FFFFFF"/>
          <w:lang w:val="en-US"/>
        </w:rPr>
        <w:t>, Clemens Honeder MD, PhD</w:t>
      </w:r>
      <w:r w:rsidRPr="007A2542">
        <w:rPr>
          <w:sz w:val="20"/>
          <w:szCs w:val="20"/>
          <w:shd w:val="clear" w:color="auto" w:fill="FFFFFF"/>
          <w:vertAlign w:val="superscript"/>
          <w:lang w:val="en-US"/>
        </w:rPr>
        <w:t>1</w:t>
      </w:r>
      <w:r w:rsidRPr="007A2542">
        <w:rPr>
          <w:sz w:val="20"/>
          <w:szCs w:val="20"/>
          <w:shd w:val="clear" w:color="auto" w:fill="FFFFFF"/>
          <w:lang w:val="en-US"/>
        </w:rPr>
        <w:t>,</w:t>
      </w:r>
      <w:r w:rsidRPr="007A2542">
        <w:rPr>
          <w:sz w:val="20"/>
          <w:szCs w:val="20"/>
          <w:shd w:val="clear" w:color="auto" w:fill="FFFFFF"/>
          <w:vertAlign w:val="superscript"/>
          <w:lang w:val="en-US"/>
        </w:rPr>
        <w:t xml:space="preserve"> </w:t>
      </w:r>
      <w:r w:rsidRPr="007A2542">
        <w:rPr>
          <w:sz w:val="20"/>
          <w:szCs w:val="20"/>
          <w:shd w:val="clear" w:color="auto" w:fill="FFFFFF"/>
          <w:lang w:val="en-US"/>
        </w:rPr>
        <w:t>Christoph Arnoldner MD, MBA</w:t>
      </w:r>
      <w:r w:rsidRPr="007A2542">
        <w:rPr>
          <w:sz w:val="20"/>
          <w:szCs w:val="20"/>
          <w:shd w:val="clear" w:color="auto" w:fill="FFFFFF"/>
          <w:vertAlign w:val="superscript"/>
          <w:lang w:val="en-US"/>
        </w:rPr>
        <w:t>1*+</w:t>
      </w:r>
      <w:r w:rsidRPr="007A2542">
        <w:rPr>
          <w:sz w:val="20"/>
          <w:szCs w:val="20"/>
          <w:shd w:val="clear" w:color="auto" w:fill="FFFFFF"/>
          <w:lang w:val="en-US"/>
        </w:rPr>
        <w:t xml:space="preserve"> and Hans Rommelspacher, MD</w:t>
      </w:r>
      <w:r w:rsidRPr="007A2542">
        <w:rPr>
          <w:sz w:val="20"/>
          <w:szCs w:val="20"/>
          <w:shd w:val="clear" w:color="auto" w:fill="FFFFFF"/>
          <w:vertAlign w:val="superscript"/>
          <w:lang w:val="en-US"/>
        </w:rPr>
        <w:t>2+</w:t>
      </w:r>
    </w:p>
    <w:p w14:paraId="6AF4C538" w14:textId="77777777" w:rsidR="00EC226F" w:rsidRPr="00345F76" w:rsidRDefault="00EC226F" w:rsidP="00EC226F">
      <w:pPr>
        <w:spacing w:after="0" w:line="240" w:lineRule="auto"/>
        <w:jc w:val="both"/>
        <w:rPr>
          <w:shd w:val="clear" w:color="auto" w:fill="FFFFFF"/>
          <w:lang w:val="en-US"/>
        </w:rPr>
      </w:pPr>
    </w:p>
    <w:bookmarkEnd w:id="0"/>
    <w:p w14:paraId="4B3EEA75" w14:textId="77777777" w:rsidR="00EC226F" w:rsidRPr="007A2542" w:rsidRDefault="00EC226F" w:rsidP="00EC226F">
      <w:pPr>
        <w:spacing w:after="0" w:line="276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 w:rsidRPr="007A254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  <w:lang w:val="en-US"/>
        </w:rPr>
        <w:t>1</w:t>
      </w:r>
      <w:r w:rsidRPr="007A254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Department of Otorhinolaryngology, Head and Neck Surgery, Medical University of Vienna, Vienna, Austria</w:t>
      </w:r>
    </w:p>
    <w:p w14:paraId="47B560BF" w14:textId="77777777" w:rsidR="00EC226F" w:rsidRPr="007A2542" w:rsidRDefault="00EC226F" w:rsidP="00EC226F">
      <w:pPr>
        <w:spacing w:after="0" w:line="276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 w:rsidRPr="007A254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  <w:lang w:val="en-US"/>
        </w:rPr>
        <w:t>2</w:t>
      </w:r>
      <w:r w:rsidRPr="007A254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AudioCure Pharma GmbH, Berlin, Germany </w:t>
      </w:r>
    </w:p>
    <w:p w14:paraId="144D5BDA" w14:textId="77777777" w:rsidR="00EC226F" w:rsidRPr="007A2542" w:rsidRDefault="00EC226F" w:rsidP="00EC226F">
      <w:pPr>
        <w:spacing w:after="0" w:line="276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 w:rsidRPr="007A254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  <w:lang w:val="en-US"/>
        </w:rPr>
        <w:t>3</w:t>
      </w:r>
      <w:r w:rsidRPr="007A254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Center for Biomedical Research and Translational Surgery, Medical University of Vienna, Vienna, Austria</w:t>
      </w:r>
    </w:p>
    <w:p w14:paraId="76C97336" w14:textId="77777777" w:rsidR="00EC226F" w:rsidRPr="007A2542" w:rsidRDefault="00EC226F" w:rsidP="00EC226F">
      <w:pPr>
        <w:spacing w:after="0" w:line="276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 w:rsidRPr="007A254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  <w:lang w:val="en-US"/>
        </w:rPr>
        <w:t>4</w:t>
      </w:r>
      <w:r w:rsidRPr="007A254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MED-EL Medical Electronics, Austria</w:t>
      </w:r>
    </w:p>
    <w:p w14:paraId="2955E796" w14:textId="77777777" w:rsidR="00EC226F" w:rsidRPr="007A2542" w:rsidRDefault="00EC226F" w:rsidP="00EC226F">
      <w:pPr>
        <w:spacing w:after="0" w:line="276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 w:rsidRPr="007A254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  <w:lang w:val="en-US"/>
        </w:rPr>
        <w:t>+</w:t>
      </w:r>
      <w:r w:rsidRPr="007A254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 Contributed equally</w:t>
      </w:r>
    </w:p>
    <w:p w14:paraId="57C83CE4" w14:textId="77777777" w:rsidR="00FA02E2" w:rsidRDefault="00FA02E2">
      <w:pPr>
        <w:rPr>
          <w:lang w:val="en-US"/>
        </w:rPr>
      </w:pPr>
    </w:p>
    <w:p w14:paraId="5081F720" w14:textId="77777777" w:rsidR="00C97241" w:rsidRDefault="00C97241" w:rsidP="00C9724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458AB26A" wp14:editId="74EB61D9">
            <wp:extent cx="4210050" cy="3927117"/>
            <wp:effectExtent l="0" t="0" r="0" b="0"/>
            <wp:docPr id="1323086625" name="Grafik 1323086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489" cy="39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26483" w14:textId="77777777" w:rsidR="00C97241" w:rsidRDefault="00C97241" w:rsidP="00C9724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232C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Suppl. Fig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BF232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BF232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Auditory thresholds (dB SPL) of AC102 (n = 9, orange) and Vehicle (n = 9, black) at the preoperative baseline measurement</w:t>
      </w:r>
      <w:r w:rsidRPr="00BF232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(dashed lines) and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immediately after cochlear implantation</w:t>
      </w:r>
      <w:r w:rsidRPr="00BF232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(continuous lines). </w:t>
      </w:r>
      <w:r w:rsidRPr="0059797D">
        <w:rPr>
          <w:rFonts w:ascii="Times New Roman" w:hAnsi="Times New Roman" w:cs="Times New Roman"/>
          <w:sz w:val="24"/>
          <w:szCs w:val="24"/>
          <w:lang w:val="en-US"/>
        </w:rPr>
        <w:t>A significantly elevated threshold was noted in each group at every measured frequency (p = 0.02 - &lt; 0.0001); Error bars = SEM</w:t>
      </w:r>
    </w:p>
    <w:p w14:paraId="0206BFEC" w14:textId="77777777" w:rsidR="00C97241" w:rsidRDefault="00C97241" w:rsidP="00C9724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57FD7B67" w14:textId="7851EA5A" w:rsidR="00C97241" w:rsidRDefault="00C97241" w:rsidP="00C972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0515BDC4" wp14:editId="2E1DCC77">
            <wp:extent cx="5579324" cy="2785110"/>
            <wp:effectExtent l="0" t="0" r="254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3" t="6281" r="1969" b="2293"/>
                    <a:stretch/>
                  </pic:blipFill>
                  <pic:spPr bwMode="auto">
                    <a:xfrm>
                      <a:off x="0" y="0"/>
                      <a:ext cx="5586317" cy="278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D4EBF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Suppl. Fig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5D4EB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 Impedance changes of the basal (dashed lines) and apical (continuous lines) CI contact over the course of 28 days after cochlear implantation, treated with AC102 (orange) or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5D4EBF">
        <w:rPr>
          <w:rFonts w:ascii="Times New Roman" w:hAnsi="Times New Roman" w:cs="Times New Roman"/>
          <w:b/>
          <w:bCs/>
          <w:sz w:val="24"/>
          <w:szCs w:val="24"/>
          <w:lang w:val="en-US"/>
        </w:rPr>
        <w:t>ehicle hydrogel (black) 24 hours prior to implantation.</w:t>
      </w:r>
      <w:r w:rsidRPr="005D4E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4EBF">
        <w:rPr>
          <w:sz w:val="24"/>
          <w:szCs w:val="24"/>
          <w:lang w:val="en-GB"/>
        </w:rPr>
        <w:t xml:space="preserve">Immediately following CI, impedance values were 6.97 </w:t>
      </w:r>
      <w:r w:rsidRPr="005D4EBF">
        <w:rPr>
          <w:rFonts w:ascii="Times New Roman" w:hAnsi="Times New Roman" w:cs="Times New Roman"/>
          <w:sz w:val="24"/>
          <w:szCs w:val="24"/>
          <w:lang w:val="en-US"/>
        </w:rPr>
        <w:t xml:space="preserve">± 2.1 </w:t>
      </w:r>
      <w:proofErr w:type="spellStart"/>
      <w:r w:rsidRPr="005D4EBF">
        <w:rPr>
          <w:sz w:val="24"/>
          <w:szCs w:val="24"/>
          <w:lang w:val="en-GB"/>
        </w:rPr>
        <w:t>kΩ</w:t>
      </w:r>
      <w:proofErr w:type="spellEnd"/>
      <w:r w:rsidRPr="005D4EBF">
        <w:rPr>
          <w:sz w:val="24"/>
          <w:szCs w:val="24"/>
          <w:lang w:val="en-GB"/>
        </w:rPr>
        <w:t xml:space="preserve"> and 8.61 </w:t>
      </w:r>
      <w:r w:rsidRPr="005D4EBF">
        <w:rPr>
          <w:rFonts w:ascii="Times New Roman" w:hAnsi="Times New Roman" w:cs="Times New Roman"/>
          <w:sz w:val="24"/>
          <w:szCs w:val="24"/>
          <w:lang w:val="en-US"/>
        </w:rPr>
        <w:t xml:space="preserve">± 2.8 </w:t>
      </w:r>
      <w:proofErr w:type="spellStart"/>
      <w:r w:rsidRPr="005D4EBF">
        <w:rPr>
          <w:sz w:val="24"/>
          <w:szCs w:val="24"/>
          <w:lang w:val="en-GB"/>
        </w:rPr>
        <w:t>kΩ</w:t>
      </w:r>
      <w:proofErr w:type="spellEnd"/>
      <w:r w:rsidRPr="005D4EBF">
        <w:rPr>
          <w:sz w:val="24"/>
          <w:szCs w:val="24"/>
          <w:lang w:val="en-GB"/>
        </w:rPr>
        <w:t xml:space="preserve"> on the apical electrode and 7.97 </w:t>
      </w:r>
      <w:r w:rsidRPr="005D4EBF">
        <w:rPr>
          <w:rFonts w:ascii="Times New Roman" w:hAnsi="Times New Roman" w:cs="Times New Roman"/>
          <w:sz w:val="24"/>
          <w:szCs w:val="24"/>
          <w:lang w:val="en-US"/>
        </w:rPr>
        <w:t xml:space="preserve">± 2.6 </w:t>
      </w:r>
      <w:proofErr w:type="spellStart"/>
      <w:r w:rsidRPr="005D4EBF">
        <w:rPr>
          <w:sz w:val="24"/>
          <w:szCs w:val="24"/>
          <w:lang w:val="en-GB"/>
        </w:rPr>
        <w:t>kΩ</w:t>
      </w:r>
      <w:proofErr w:type="spellEnd"/>
      <w:r w:rsidRPr="005D4EBF">
        <w:rPr>
          <w:sz w:val="24"/>
          <w:szCs w:val="24"/>
          <w:lang w:val="en-GB"/>
        </w:rPr>
        <w:t xml:space="preserve"> and 8.47 </w:t>
      </w:r>
      <w:r w:rsidRPr="005D4EBF">
        <w:rPr>
          <w:rFonts w:ascii="Times New Roman" w:hAnsi="Times New Roman" w:cs="Times New Roman"/>
          <w:sz w:val="24"/>
          <w:szCs w:val="24"/>
          <w:lang w:val="en-US"/>
        </w:rPr>
        <w:t xml:space="preserve">± 1.9 </w:t>
      </w:r>
      <w:proofErr w:type="spellStart"/>
      <w:r w:rsidRPr="005D4EBF">
        <w:rPr>
          <w:sz w:val="24"/>
          <w:szCs w:val="24"/>
          <w:lang w:val="en-GB"/>
        </w:rPr>
        <w:t>kΩ</w:t>
      </w:r>
      <w:proofErr w:type="spellEnd"/>
      <w:r w:rsidRPr="005D4EBF">
        <w:rPr>
          <w:sz w:val="24"/>
          <w:szCs w:val="24"/>
          <w:lang w:val="en-GB"/>
        </w:rPr>
        <w:t xml:space="preserve"> on the basal electrode in the AC102 and Vehicle animals, respectively, without any significant differences between both groups (p &gt; 0.05</w:t>
      </w:r>
      <w:r>
        <w:rPr>
          <w:sz w:val="24"/>
          <w:szCs w:val="24"/>
          <w:lang w:val="en-GB"/>
        </w:rPr>
        <w:t>;</w:t>
      </w:r>
      <w:r w:rsidRPr="0048529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E7839">
        <w:rPr>
          <w:rFonts w:ascii="Times New Roman" w:hAnsi="Times New Roman" w:cs="Times New Roman"/>
          <w:sz w:val="24"/>
          <w:szCs w:val="24"/>
          <w:lang w:val="en-US"/>
        </w:rPr>
        <w:t>Error bars = SEM</w:t>
      </w:r>
      <w:r w:rsidRPr="005D4EBF">
        <w:rPr>
          <w:sz w:val="24"/>
          <w:szCs w:val="24"/>
          <w:lang w:val="en-GB"/>
        </w:rPr>
        <w:t xml:space="preserve">). For the apical contacts, impedances in the AC102 and Vehicle group increased from seven days after insertion to a maximum of 8.51 </w:t>
      </w:r>
      <w:r w:rsidRPr="005D4EBF">
        <w:rPr>
          <w:rFonts w:ascii="Times New Roman" w:hAnsi="Times New Roman" w:cs="Times New Roman"/>
          <w:sz w:val="24"/>
          <w:szCs w:val="24"/>
          <w:lang w:val="en-US"/>
        </w:rPr>
        <w:t xml:space="preserve">± 3.2 </w:t>
      </w:r>
      <w:proofErr w:type="spellStart"/>
      <w:r w:rsidRPr="005D4EBF">
        <w:rPr>
          <w:sz w:val="24"/>
          <w:szCs w:val="24"/>
          <w:lang w:val="en-GB"/>
        </w:rPr>
        <w:t>kΩ</w:t>
      </w:r>
      <w:proofErr w:type="spellEnd"/>
      <w:r w:rsidRPr="005D4EBF">
        <w:rPr>
          <w:sz w:val="24"/>
          <w:szCs w:val="24"/>
          <w:lang w:val="en-GB"/>
        </w:rPr>
        <w:t xml:space="preserve"> and 9.56 </w:t>
      </w:r>
      <w:r w:rsidRPr="005D4EBF">
        <w:rPr>
          <w:rFonts w:ascii="Times New Roman" w:hAnsi="Times New Roman" w:cs="Times New Roman"/>
          <w:sz w:val="24"/>
          <w:szCs w:val="24"/>
          <w:lang w:val="en-US"/>
        </w:rPr>
        <w:t xml:space="preserve">± 3.0 </w:t>
      </w:r>
      <w:proofErr w:type="spellStart"/>
      <w:r w:rsidRPr="005D4EBF">
        <w:rPr>
          <w:sz w:val="24"/>
          <w:szCs w:val="24"/>
          <w:lang w:val="en-GB"/>
        </w:rPr>
        <w:t>kΩ</w:t>
      </w:r>
      <w:proofErr w:type="spellEnd"/>
      <w:r w:rsidRPr="005D4EBF">
        <w:rPr>
          <w:sz w:val="24"/>
          <w:szCs w:val="24"/>
          <w:lang w:val="en-GB"/>
        </w:rPr>
        <w:t xml:space="preserve"> on day 14, before slightly decreasing to 7.36 </w:t>
      </w:r>
      <w:r w:rsidRPr="005D4EBF">
        <w:rPr>
          <w:rFonts w:ascii="Times New Roman" w:hAnsi="Times New Roman" w:cs="Times New Roman"/>
          <w:sz w:val="24"/>
          <w:szCs w:val="24"/>
          <w:lang w:val="en-US"/>
        </w:rPr>
        <w:t xml:space="preserve">± 1.4 </w:t>
      </w:r>
      <w:proofErr w:type="spellStart"/>
      <w:r w:rsidRPr="005D4EBF">
        <w:rPr>
          <w:sz w:val="24"/>
          <w:szCs w:val="24"/>
          <w:lang w:val="en-GB"/>
        </w:rPr>
        <w:t>kΩ</w:t>
      </w:r>
      <w:proofErr w:type="spellEnd"/>
      <w:r w:rsidRPr="005D4EBF">
        <w:rPr>
          <w:sz w:val="24"/>
          <w:szCs w:val="24"/>
          <w:lang w:val="en-GB"/>
        </w:rPr>
        <w:t xml:space="preserve"> and 8.89 </w:t>
      </w:r>
      <w:r w:rsidRPr="005D4EBF">
        <w:rPr>
          <w:rFonts w:ascii="Times New Roman" w:hAnsi="Times New Roman" w:cs="Times New Roman"/>
          <w:sz w:val="24"/>
          <w:szCs w:val="24"/>
          <w:lang w:val="en-US"/>
        </w:rPr>
        <w:t>± 3.2</w:t>
      </w:r>
      <w:r w:rsidRPr="005D4EBF">
        <w:rPr>
          <w:sz w:val="24"/>
          <w:szCs w:val="24"/>
          <w:lang w:val="en-GB"/>
        </w:rPr>
        <w:t xml:space="preserve"> </w:t>
      </w:r>
      <w:proofErr w:type="spellStart"/>
      <w:r w:rsidRPr="005D4EBF">
        <w:rPr>
          <w:sz w:val="24"/>
          <w:szCs w:val="24"/>
          <w:lang w:val="en-GB"/>
        </w:rPr>
        <w:t>kΩ</w:t>
      </w:r>
      <w:proofErr w:type="spellEnd"/>
      <w:r w:rsidRPr="005D4EBF">
        <w:rPr>
          <w:sz w:val="24"/>
          <w:szCs w:val="24"/>
          <w:lang w:val="en-GB"/>
        </w:rPr>
        <w:t xml:space="preserve"> on day 28. A trend towards lower impedances on the apical contact was observed in the AC102-treated group, whereas no significant difference was noted until day 28. At the basal electrode, impedances markedly increased 7 days after CI to 12.48 </w:t>
      </w:r>
      <w:r w:rsidRPr="005D4EBF">
        <w:rPr>
          <w:rFonts w:ascii="Times New Roman" w:hAnsi="Times New Roman" w:cs="Times New Roman"/>
          <w:sz w:val="24"/>
          <w:szCs w:val="24"/>
          <w:lang w:val="en-US"/>
        </w:rPr>
        <w:t xml:space="preserve">± 2.0 </w:t>
      </w:r>
      <w:proofErr w:type="spellStart"/>
      <w:r w:rsidRPr="005D4EBF">
        <w:rPr>
          <w:sz w:val="24"/>
          <w:szCs w:val="24"/>
          <w:lang w:val="en-GB"/>
        </w:rPr>
        <w:t>kΩ</w:t>
      </w:r>
      <w:proofErr w:type="spellEnd"/>
      <w:r w:rsidRPr="005D4EBF">
        <w:rPr>
          <w:sz w:val="24"/>
          <w:szCs w:val="24"/>
          <w:lang w:val="en-GB"/>
        </w:rPr>
        <w:t xml:space="preserve"> and 11.81 </w:t>
      </w:r>
      <w:r w:rsidRPr="005D4EBF">
        <w:rPr>
          <w:rFonts w:ascii="Times New Roman" w:hAnsi="Times New Roman" w:cs="Times New Roman"/>
          <w:sz w:val="24"/>
          <w:szCs w:val="24"/>
          <w:lang w:val="en-US"/>
        </w:rPr>
        <w:t xml:space="preserve">± 4.0 </w:t>
      </w:r>
      <w:proofErr w:type="spellStart"/>
      <w:r w:rsidRPr="005D4EBF">
        <w:rPr>
          <w:sz w:val="24"/>
          <w:szCs w:val="24"/>
          <w:lang w:val="en-GB"/>
        </w:rPr>
        <w:t>kΩ</w:t>
      </w:r>
      <w:proofErr w:type="spellEnd"/>
      <w:r w:rsidRPr="005D4EBF">
        <w:rPr>
          <w:sz w:val="24"/>
          <w:szCs w:val="24"/>
          <w:lang w:val="en-GB"/>
        </w:rPr>
        <w:t xml:space="preserve"> in the AC102 and Vehicle group and stabilized from there on. On day 28, impedances on the basal electrode were 10.83 </w:t>
      </w:r>
      <w:r w:rsidRPr="005D4EBF">
        <w:rPr>
          <w:rFonts w:ascii="Times New Roman" w:hAnsi="Times New Roman" w:cs="Times New Roman"/>
          <w:sz w:val="24"/>
          <w:szCs w:val="24"/>
          <w:lang w:val="en-US"/>
        </w:rPr>
        <w:t xml:space="preserve">± 3.5 </w:t>
      </w:r>
      <w:proofErr w:type="spellStart"/>
      <w:r w:rsidRPr="005D4EBF">
        <w:rPr>
          <w:sz w:val="24"/>
          <w:szCs w:val="24"/>
          <w:lang w:val="en-GB"/>
        </w:rPr>
        <w:t>kΩ</w:t>
      </w:r>
      <w:proofErr w:type="spellEnd"/>
      <w:r w:rsidRPr="005D4EBF">
        <w:rPr>
          <w:sz w:val="24"/>
          <w:szCs w:val="24"/>
          <w:lang w:val="en-GB"/>
        </w:rPr>
        <w:t xml:space="preserve"> and 11.42 </w:t>
      </w:r>
      <w:r w:rsidRPr="005D4EBF">
        <w:rPr>
          <w:rFonts w:ascii="Times New Roman" w:hAnsi="Times New Roman" w:cs="Times New Roman"/>
          <w:sz w:val="24"/>
          <w:szCs w:val="24"/>
          <w:lang w:val="en-US"/>
        </w:rPr>
        <w:t xml:space="preserve">± 3.3 </w:t>
      </w:r>
      <w:proofErr w:type="spellStart"/>
      <w:r w:rsidRPr="005D4EBF">
        <w:rPr>
          <w:sz w:val="24"/>
          <w:szCs w:val="24"/>
          <w:lang w:val="en-GB"/>
        </w:rPr>
        <w:t>kΩ</w:t>
      </w:r>
      <w:proofErr w:type="spellEnd"/>
      <w:r w:rsidRPr="005D4EBF">
        <w:rPr>
          <w:sz w:val="24"/>
          <w:szCs w:val="24"/>
          <w:lang w:val="en-GB"/>
        </w:rPr>
        <w:t xml:space="preserve"> in the AC102 and Vehicle group. No significant difference was observed between both groups (p &gt; 0.05</w:t>
      </w:r>
      <w:r>
        <w:rPr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 W</w:t>
      </w:r>
      <w:r w:rsidRPr="00EC02F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hereas other studies showed a progressive increase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of</w:t>
      </w:r>
      <w:r w:rsidRPr="00EC02F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impedance up to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90 days</w:t>
      </w:r>
      <w:r w:rsidR="00E239A5">
        <w:rPr>
          <w:rFonts w:ascii="Times New Roman" w:hAnsi="Times New Roman" w:cs="Times New Roman"/>
          <w:bCs/>
          <w:noProof/>
          <w:sz w:val="24"/>
          <w:szCs w:val="24"/>
          <w:lang w:val="en-US"/>
        </w:rPr>
        <w:t xml:space="preserve"> (34, 68)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our study revealed a </w:t>
      </w:r>
      <w:r w:rsidRPr="00EC02F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significant increase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of</w:t>
      </w:r>
      <w:r w:rsidRPr="00EC02F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impedance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EC02F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at the b</w:t>
      </w:r>
      <w:r w:rsidRPr="00EC02F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asal contact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starting on</w:t>
      </w:r>
      <w:r w:rsidRPr="00EC02F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day 7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stagnated until</w:t>
      </w:r>
      <w:r w:rsidRPr="00EC02F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day 28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 T</w:t>
      </w:r>
      <w:r w:rsidRPr="00026A40">
        <w:rPr>
          <w:rFonts w:ascii="Times New Roman" w:hAnsi="Times New Roman" w:cs="Times New Roman"/>
          <w:bCs/>
          <w:sz w:val="24"/>
          <w:szCs w:val="24"/>
          <w:lang w:val="en-US"/>
        </w:rPr>
        <w:t>his may suggest that acute insertion trauma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026A4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rather than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026A4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subsequent foreign body reaction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026A4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is the main trigger for an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increase of</w:t>
      </w:r>
      <w:r w:rsidRPr="00026A4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impedances following CI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our study.</w:t>
      </w:r>
    </w:p>
    <w:p w14:paraId="327400E1" w14:textId="77777777" w:rsidR="00C97241" w:rsidRDefault="00C97241" w:rsidP="00C97241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153116603"/>
      <w:r>
        <w:rPr>
          <w:noProof/>
        </w:rPr>
        <w:lastRenderedPageBreak/>
        <w:drawing>
          <wp:inline distT="0" distB="0" distL="0" distR="0" wp14:anchorId="4839B6EA" wp14:editId="692B05FF">
            <wp:extent cx="6123940" cy="2285846"/>
            <wp:effectExtent l="0" t="0" r="0" b="635"/>
            <wp:docPr id="5000019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5" t="4571" r="1451" b="6094"/>
                    <a:stretch/>
                  </pic:blipFill>
                  <pic:spPr bwMode="auto">
                    <a:xfrm>
                      <a:off x="0" y="0"/>
                      <a:ext cx="6149726" cy="229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83A8A4" w14:textId="390A8F1A" w:rsidR="00C97241" w:rsidRDefault="00C97241" w:rsidP="0061385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28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Suppl. Fig. 3 </w:t>
      </w:r>
      <w:r w:rsidRPr="00C97241">
        <w:rPr>
          <w:rFonts w:ascii="Times New Roman" w:hAnsi="Times New Roman" w:cs="Times New Roman"/>
          <w:b/>
          <w:bCs/>
          <w:sz w:val="24"/>
          <w:szCs w:val="24"/>
          <w:lang w:val="en-US"/>
        </w:rPr>
        <w:t>Protein expression of cleaved caspase-3 in HT22 cells determined by immunofluorescence staining. a.</w:t>
      </w:r>
      <w:r w:rsidRPr="00C972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7241">
        <w:rPr>
          <w:sz w:val="24"/>
          <w:szCs w:val="24"/>
          <w:lang w:val="en-US"/>
        </w:rPr>
        <w:t xml:space="preserve">HT22 cells were treated for 5 hours in cell culture medium (Control), added 4.5% ethanol (EtOH), and EtOH with co-treatment of 30 </w:t>
      </w:r>
      <w:proofErr w:type="spellStart"/>
      <w:r w:rsidRPr="00C97241">
        <w:rPr>
          <w:sz w:val="24"/>
          <w:szCs w:val="24"/>
          <w:lang w:val="en-US"/>
        </w:rPr>
        <w:t>μM</w:t>
      </w:r>
      <w:proofErr w:type="spellEnd"/>
      <w:r w:rsidRPr="00C97241">
        <w:rPr>
          <w:sz w:val="24"/>
          <w:szCs w:val="24"/>
          <w:lang w:val="en-US"/>
        </w:rPr>
        <w:t xml:space="preserve"> and 100 </w:t>
      </w:r>
      <w:proofErr w:type="spellStart"/>
      <w:r w:rsidRPr="00C97241">
        <w:rPr>
          <w:sz w:val="24"/>
          <w:szCs w:val="24"/>
          <w:lang w:val="en-US"/>
        </w:rPr>
        <w:t>μM</w:t>
      </w:r>
      <w:proofErr w:type="spellEnd"/>
      <w:r w:rsidRPr="00C97241">
        <w:rPr>
          <w:sz w:val="24"/>
          <w:szCs w:val="24"/>
          <w:lang w:val="en-US"/>
        </w:rPr>
        <w:t xml:space="preserve"> of AC102 (n = 7). Cell nuclei were stained with Hoechst, and Integrated densities of cleaved caspase-3 expression measured as arbitrary units (</w:t>
      </w:r>
      <w:proofErr w:type="spellStart"/>
      <w:r w:rsidRPr="00C97241">
        <w:rPr>
          <w:sz w:val="24"/>
          <w:szCs w:val="24"/>
          <w:lang w:val="en-US"/>
        </w:rPr>
        <w:t>a.u</w:t>
      </w:r>
      <w:proofErr w:type="spellEnd"/>
      <w:r w:rsidRPr="00C97241">
        <w:rPr>
          <w:sz w:val="24"/>
          <w:szCs w:val="24"/>
          <w:lang w:val="en-US"/>
        </w:rPr>
        <w:t xml:space="preserve">.). </w:t>
      </w:r>
      <w:r w:rsidRPr="00C97241">
        <w:rPr>
          <w:b/>
          <w:bCs/>
          <w:sz w:val="24"/>
          <w:szCs w:val="24"/>
          <w:lang w:val="en-US"/>
        </w:rPr>
        <w:t>b.</w:t>
      </w:r>
      <w:r w:rsidRPr="00C97241">
        <w:rPr>
          <w:sz w:val="24"/>
          <w:szCs w:val="24"/>
          <w:lang w:val="en-US"/>
        </w:rPr>
        <w:t xml:space="preserve"> </w:t>
      </w:r>
      <w:r w:rsidRPr="00C97241">
        <w:rPr>
          <w:rFonts w:ascii="Times New Roman" w:hAnsi="Times New Roman" w:cs="Times New Roman"/>
          <w:sz w:val="24"/>
          <w:szCs w:val="24"/>
          <w:lang w:val="en-US"/>
        </w:rPr>
        <w:t xml:space="preserve">Exemplary panel of HT22 cells following the incubation with culture medium (left column), added 4.5% EtOH (middle column) and the additional 100 </w:t>
      </w:r>
      <w:proofErr w:type="spellStart"/>
      <w:r w:rsidRPr="00C97241">
        <w:rPr>
          <w:sz w:val="24"/>
          <w:szCs w:val="24"/>
          <w:lang w:val="en-US"/>
        </w:rPr>
        <w:t>μM</w:t>
      </w:r>
      <w:proofErr w:type="spellEnd"/>
      <w:r w:rsidRPr="00C97241">
        <w:rPr>
          <w:sz w:val="24"/>
          <w:szCs w:val="24"/>
          <w:lang w:val="en-US"/>
        </w:rPr>
        <w:t xml:space="preserve"> </w:t>
      </w:r>
      <w:r w:rsidRPr="00C97241">
        <w:rPr>
          <w:rFonts w:ascii="Times New Roman" w:hAnsi="Times New Roman" w:cs="Times New Roman"/>
          <w:sz w:val="24"/>
          <w:szCs w:val="24"/>
          <w:lang w:val="en-US"/>
        </w:rPr>
        <w:t>of AC102 (right column). Rows show example images of Hoechst (first row), cleaved caspase-3 (second row) and merged images (third row, scale bar = 50 µm).  ** = p &lt; 0.01, *** = p &lt; 0.001</w:t>
      </w:r>
      <w:bookmarkEnd w:id="1"/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2269"/>
        <w:gridCol w:w="3455"/>
        <w:gridCol w:w="4483"/>
      </w:tblGrid>
      <w:tr w:rsidR="00C97241" w:rsidRPr="004408BF" w14:paraId="4BFD0665" w14:textId="77777777" w:rsidTr="00D9700B">
        <w:tc>
          <w:tcPr>
            <w:tcW w:w="2269" w:type="dxa"/>
          </w:tcPr>
          <w:p w14:paraId="41E97844" w14:textId="77777777" w:rsidR="00C97241" w:rsidRPr="003368DD" w:rsidRDefault="00C97241" w:rsidP="00D9700B">
            <w:pPr>
              <w:spacing w:after="160"/>
              <w:rPr>
                <w:rFonts w:asciiTheme="minorHAnsi" w:cstheme="minorHAnsi"/>
                <w:b/>
                <w:bCs/>
                <w:sz w:val="24"/>
                <w:szCs w:val="24"/>
                <w:lang w:val="en-US"/>
              </w:rPr>
            </w:pPr>
            <w:r w:rsidRPr="003368DD">
              <w:rPr>
                <w:rFonts w:asciiTheme="minorHAnsi" w:cstheme="minorHAnsi"/>
                <w:b/>
                <w:bCs/>
                <w:sz w:val="24"/>
                <w:szCs w:val="24"/>
                <w:lang w:val="en-US"/>
              </w:rPr>
              <w:lastRenderedPageBreak/>
              <w:t>Target mRNA</w:t>
            </w:r>
          </w:p>
        </w:tc>
        <w:tc>
          <w:tcPr>
            <w:tcW w:w="3455" w:type="dxa"/>
          </w:tcPr>
          <w:p w14:paraId="34B796A1" w14:textId="77777777" w:rsidR="00C97241" w:rsidRPr="003368DD" w:rsidRDefault="00C97241" w:rsidP="00D9700B">
            <w:pPr>
              <w:spacing w:after="160"/>
              <w:jc w:val="center"/>
              <w:rPr>
                <w:rFonts w:asciiTheme="minorHAnsi" w:cstheme="minorHAnsi"/>
                <w:b/>
                <w:bCs/>
                <w:sz w:val="24"/>
                <w:szCs w:val="24"/>
                <w:lang w:val="en-US"/>
              </w:rPr>
            </w:pPr>
            <w:r w:rsidRPr="003368DD">
              <w:rPr>
                <w:rFonts w:asciiTheme="minorHAnsi" w:cstheme="minorHAnsi"/>
                <w:b/>
                <w:bCs/>
                <w:sz w:val="24"/>
                <w:szCs w:val="24"/>
                <w:lang w:val="en-US"/>
              </w:rPr>
              <w:t>Forward (5’ to 3’) primer</w:t>
            </w:r>
          </w:p>
        </w:tc>
        <w:tc>
          <w:tcPr>
            <w:tcW w:w="4483" w:type="dxa"/>
          </w:tcPr>
          <w:p w14:paraId="021A74BC" w14:textId="77777777" w:rsidR="00C97241" w:rsidRPr="003368DD" w:rsidRDefault="00C97241" w:rsidP="00D9700B">
            <w:pPr>
              <w:spacing w:after="160"/>
              <w:jc w:val="center"/>
              <w:rPr>
                <w:rFonts w:asciiTheme="minorHAnsi" w:cstheme="minorHAnsi"/>
                <w:b/>
                <w:bCs/>
                <w:sz w:val="24"/>
                <w:szCs w:val="24"/>
                <w:lang w:val="en-US"/>
              </w:rPr>
            </w:pPr>
            <w:r w:rsidRPr="003368DD">
              <w:rPr>
                <w:rFonts w:asciiTheme="minorHAnsi" w:cstheme="minorHAnsi"/>
                <w:b/>
                <w:bCs/>
                <w:sz w:val="24"/>
                <w:szCs w:val="24"/>
                <w:lang w:val="en-US"/>
              </w:rPr>
              <w:t>Reverse (3’ to 5’) primer</w:t>
            </w:r>
          </w:p>
        </w:tc>
      </w:tr>
      <w:tr w:rsidR="00C97241" w:rsidRPr="00CF7439" w14:paraId="08977BB3" w14:textId="77777777" w:rsidTr="00D9700B">
        <w:tc>
          <w:tcPr>
            <w:tcW w:w="2269" w:type="dxa"/>
          </w:tcPr>
          <w:p w14:paraId="44EB3014" w14:textId="77777777" w:rsidR="00C97241" w:rsidRPr="003368DD" w:rsidRDefault="00C97241" w:rsidP="00D9700B">
            <w:pPr>
              <w:rPr>
                <w:rFonts w:asciiTheme="minorHAnsi" w:cstheme="minorHAnsi"/>
                <w:sz w:val="24"/>
                <w:szCs w:val="24"/>
                <w:lang w:val="en-US"/>
              </w:rPr>
            </w:pPr>
            <w:r w:rsidRPr="003368DD">
              <w:rPr>
                <w:rFonts w:asciiTheme="minorHAnsi" w:cstheme="minorHAnsi"/>
                <w:sz w:val="24"/>
                <w:szCs w:val="24"/>
                <w:lang w:val="en-US"/>
              </w:rPr>
              <w:t>β-Actin</w:t>
            </w:r>
          </w:p>
        </w:tc>
        <w:tc>
          <w:tcPr>
            <w:tcW w:w="3455" w:type="dxa"/>
            <w:vAlign w:val="center"/>
          </w:tcPr>
          <w:p w14:paraId="0DA04284" w14:textId="77777777" w:rsidR="00C97241" w:rsidRPr="003368DD" w:rsidRDefault="00C97241" w:rsidP="00D9700B">
            <w:pPr>
              <w:jc w:val="center"/>
              <w:rPr>
                <w:rFonts w:asciiTheme="minorHAnsi" w:cstheme="minorHAnsi"/>
                <w:sz w:val="24"/>
                <w:szCs w:val="24"/>
                <w:lang w:val="en-US"/>
              </w:rPr>
            </w:pPr>
            <w:r w:rsidRPr="003368DD">
              <w:rPr>
                <w:rFonts w:asciiTheme="minorHAnsi" w:cstheme="minorHAnsi"/>
                <w:sz w:val="24"/>
                <w:szCs w:val="24"/>
                <w:lang w:val="en-US"/>
              </w:rPr>
              <w:t>CTCTGTGTGGATCGGTGGCT</w:t>
            </w:r>
          </w:p>
        </w:tc>
        <w:tc>
          <w:tcPr>
            <w:tcW w:w="4483" w:type="dxa"/>
            <w:vAlign w:val="center"/>
          </w:tcPr>
          <w:p w14:paraId="58246DDC" w14:textId="77777777" w:rsidR="00C97241" w:rsidRPr="003368DD" w:rsidRDefault="00C97241" w:rsidP="00D9700B">
            <w:pPr>
              <w:jc w:val="center"/>
              <w:rPr>
                <w:rFonts w:asciiTheme="minorHAnsi" w:cstheme="minorHAnsi"/>
                <w:sz w:val="24"/>
                <w:szCs w:val="24"/>
                <w:lang w:val="en-US"/>
              </w:rPr>
            </w:pPr>
            <w:r w:rsidRPr="003368DD">
              <w:rPr>
                <w:rFonts w:asciiTheme="minorHAnsi" w:cstheme="minorHAnsi"/>
                <w:sz w:val="24"/>
                <w:szCs w:val="24"/>
                <w:lang w:val="en-US"/>
              </w:rPr>
              <w:t>CGCAGCTCAGTAACAGTCCG</w:t>
            </w:r>
          </w:p>
        </w:tc>
      </w:tr>
      <w:tr w:rsidR="00C97241" w:rsidRPr="00CF7439" w14:paraId="6BC50E4A" w14:textId="77777777" w:rsidTr="00D9700B">
        <w:tc>
          <w:tcPr>
            <w:tcW w:w="2269" w:type="dxa"/>
          </w:tcPr>
          <w:p w14:paraId="36712F49" w14:textId="77777777" w:rsidR="00C97241" w:rsidRPr="003368DD" w:rsidRDefault="00C97241" w:rsidP="00D9700B">
            <w:pPr>
              <w:rPr>
                <w:rFonts w:asciiTheme="minorHAnsi" w:cstheme="minorHAnsi"/>
                <w:sz w:val="24"/>
                <w:szCs w:val="24"/>
                <w:lang w:val="en-US"/>
              </w:rPr>
            </w:pPr>
            <w:r w:rsidRPr="003368DD">
              <w:rPr>
                <w:rFonts w:asciiTheme="minorHAnsi" w:cstheme="minorHAnsi"/>
                <w:sz w:val="24"/>
                <w:szCs w:val="24"/>
                <w:lang w:val="en-US"/>
              </w:rPr>
              <w:t xml:space="preserve">TNF-α </w:t>
            </w:r>
          </w:p>
        </w:tc>
        <w:tc>
          <w:tcPr>
            <w:tcW w:w="3455" w:type="dxa"/>
            <w:vAlign w:val="center"/>
          </w:tcPr>
          <w:p w14:paraId="2F2FD245" w14:textId="77777777" w:rsidR="00C97241" w:rsidRPr="003368DD" w:rsidRDefault="00C97241" w:rsidP="00D9700B">
            <w:pPr>
              <w:jc w:val="center"/>
              <w:rPr>
                <w:rFonts w:asciiTheme="minorHAnsi" w:cstheme="minorHAnsi"/>
                <w:sz w:val="24"/>
                <w:szCs w:val="24"/>
                <w:lang w:val="en-US"/>
              </w:rPr>
            </w:pPr>
            <w:r w:rsidRPr="003368DD">
              <w:rPr>
                <w:rFonts w:asciiTheme="minorHAnsi" w:cstheme="minorHAnsi"/>
                <w:sz w:val="24"/>
                <w:szCs w:val="24"/>
                <w:lang w:val="en-US"/>
              </w:rPr>
              <w:t>CAGGCGGTGCCTATGTCTCA</w:t>
            </w:r>
          </w:p>
        </w:tc>
        <w:tc>
          <w:tcPr>
            <w:tcW w:w="4483" w:type="dxa"/>
            <w:vAlign w:val="center"/>
          </w:tcPr>
          <w:p w14:paraId="58A2773C" w14:textId="77777777" w:rsidR="00C97241" w:rsidRPr="003368DD" w:rsidRDefault="00C97241" w:rsidP="00D9700B">
            <w:pPr>
              <w:jc w:val="center"/>
              <w:rPr>
                <w:rFonts w:asciiTheme="minorHAnsi" w:cstheme="minorHAnsi"/>
                <w:sz w:val="24"/>
                <w:szCs w:val="24"/>
                <w:lang w:val="en-US"/>
              </w:rPr>
            </w:pPr>
            <w:r w:rsidRPr="003368DD">
              <w:rPr>
                <w:rFonts w:asciiTheme="minorHAnsi" w:cstheme="minorHAnsi"/>
                <w:sz w:val="24"/>
                <w:szCs w:val="24"/>
                <w:lang w:val="en-US"/>
              </w:rPr>
              <w:t>GGCTACAGGCTTGTCACTCG</w:t>
            </w:r>
          </w:p>
        </w:tc>
      </w:tr>
      <w:tr w:rsidR="00C97241" w:rsidRPr="00CF7439" w14:paraId="5427665D" w14:textId="77777777" w:rsidTr="00D9700B">
        <w:tc>
          <w:tcPr>
            <w:tcW w:w="2269" w:type="dxa"/>
          </w:tcPr>
          <w:p w14:paraId="01C21064" w14:textId="77777777" w:rsidR="00C97241" w:rsidRPr="003368DD" w:rsidRDefault="00C97241" w:rsidP="00D9700B">
            <w:pPr>
              <w:rPr>
                <w:rFonts w:asciiTheme="minorHAnsi" w:cstheme="minorHAnsi"/>
                <w:sz w:val="24"/>
                <w:szCs w:val="24"/>
                <w:lang w:val="en-US"/>
              </w:rPr>
            </w:pPr>
            <w:r w:rsidRPr="003368DD">
              <w:rPr>
                <w:rFonts w:asciiTheme="minorHAnsi" w:cstheme="minorHAnsi"/>
                <w:sz w:val="24"/>
                <w:szCs w:val="24"/>
                <w:lang w:val="en-US"/>
              </w:rPr>
              <w:t>Cyclooxygenase 2 (COX-2)</w:t>
            </w:r>
          </w:p>
        </w:tc>
        <w:tc>
          <w:tcPr>
            <w:tcW w:w="3455" w:type="dxa"/>
            <w:vAlign w:val="center"/>
          </w:tcPr>
          <w:p w14:paraId="0CFB8833" w14:textId="77777777" w:rsidR="00C97241" w:rsidRPr="003368DD" w:rsidRDefault="00C97241" w:rsidP="00D9700B">
            <w:pPr>
              <w:jc w:val="center"/>
              <w:rPr>
                <w:rFonts w:asciiTheme="minorHAnsi" w:cstheme="minorHAnsi"/>
                <w:sz w:val="24"/>
                <w:szCs w:val="24"/>
                <w:lang w:val="en-US"/>
              </w:rPr>
            </w:pPr>
            <w:r w:rsidRPr="003368DD">
              <w:rPr>
                <w:rFonts w:asciiTheme="minorHAnsi" w:cstheme="minorHAnsi"/>
                <w:sz w:val="24"/>
                <w:szCs w:val="24"/>
                <w:lang w:val="en-US"/>
              </w:rPr>
              <w:t>ACAACATCCCCTTCCTGCGA</w:t>
            </w:r>
          </w:p>
        </w:tc>
        <w:tc>
          <w:tcPr>
            <w:tcW w:w="4483" w:type="dxa"/>
            <w:vAlign w:val="center"/>
          </w:tcPr>
          <w:p w14:paraId="28A4C507" w14:textId="77777777" w:rsidR="00C97241" w:rsidRPr="003368DD" w:rsidRDefault="00C97241" w:rsidP="00D9700B">
            <w:pPr>
              <w:jc w:val="center"/>
              <w:rPr>
                <w:rFonts w:asciiTheme="minorHAnsi" w:cstheme="minorHAnsi"/>
                <w:sz w:val="24"/>
                <w:szCs w:val="24"/>
                <w:lang w:val="en-US"/>
              </w:rPr>
            </w:pPr>
            <w:r w:rsidRPr="003368DD">
              <w:rPr>
                <w:rFonts w:asciiTheme="minorHAnsi" w:cstheme="minorHAnsi"/>
                <w:sz w:val="24"/>
                <w:szCs w:val="24"/>
                <w:lang w:val="en-US"/>
              </w:rPr>
              <w:t>TGGGCAGTCATCTGCTACGG</w:t>
            </w:r>
          </w:p>
        </w:tc>
      </w:tr>
      <w:tr w:rsidR="00C97241" w:rsidRPr="00CF7439" w14:paraId="5AA8751A" w14:textId="77777777" w:rsidTr="00D9700B">
        <w:tc>
          <w:tcPr>
            <w:tcW w:w="2269" w:type="dxa"/>
          </w:tcPr>
          <w:p w14:paraId="068EDDA9" w14:textId="77777777" w:rsidR="00C97241" w:rsidRPr="003368DD" w:rsidRDefault="00C97241" w:rsidP="00D9700B">
            <w:pPr>
              <w:rPr>
                <w:rFonts w:asciiTheme="minorHAnsi" w:cstheme="minorHAnsi"/>
                <w:sz w:val="24"/>
                <w:szCs w:val="24"/>
                <w:lang w:val="en-US"/>
              </w:rPr>
            </w:pPr>
            <w:r w:rsidRPr="003368DD">
              <w:rPr>
                <w:rFonts w:asciiTheme="minorHAnsi" w:cstheme="minorHAnsi"/>
                <w:sz w:val="24"/>
                <w:szCs w:val="24"/>
                <w:lang w:val="en-US"/>
              </w:rPr>
              <w:t>Nitric oxide synthase 2 (NOS-2)</w:t>
            </w:r>
          </w:p>
        </w:tc>
        <w:tc>
          <w:tcPr>
            <w:tcW w:w="3455" w:type="dxa"/>
            <w:vAlign w:val="center"/>
          </w:tcPr>
          <w:p w14:paraId="31DA4C5A" w14:textId="77777777" w:rsidR="00C97241" w:rsidRPr="003368DD" w:rsidRDefault="00C97241" w:rsidP="00D9700B">
            <w:pPr>
              <w:jc w:val="center"/>
              <w:rPr>
                <w:rFonts w:asciiTheme="minorHAnsi" w:cstheme="minorHAnsi"/>
                <w:sz w:val="24"/>
                <w:szCs w:val="24"/>
                <w:lang w:val="en-US"/>
              </w:rPr>
            </w:pPr>
            <w:r w:rsidRPr="003368DD">
              <w:rPr>
                <w:rFonts w:asciiTheme="minorHAnsi" w:cstheme="minorHAnsi"/>
                <w:sz w:val="24"/>
                <w:szCs w:val="24"/>
                <w:lang w:val="en-US"/>
              </w:rPr>
              <w:t>TCAGCCACCTTGGTGAAGGGA</w:t>
            </w:r>
          </w:p>
        </w:tc>
        <w:tc>
          <w:tcPr>
            <w:tcW w:w="4483" w:type="dxa"/>
            <w:vAlign w:val="center"/>
          </w:tcPr>
          <w:p w14:paraId="1EAFD5C4" w14:textId="77777777" w:rsidR="00C97241" w:rsidRPr="003368DD" w:rsidRDefault="00C97241" w:rsidP="00D9700B">
            <w:pPr>
              <w:jc w:val="center"/>
              <w:rPr>
                <w:rFonts w:asciiTheme="minorHAnsi" w:cstheme="minorHAnsi"/>
                <w:sz w:val="24"/>
                <w:szCs w:val="24"/>
                <w:lang w:val="en-US"/>
              </w:rPr>
            </w:pPr>
            <w:r w:rsidRPr="003368DD">
              <w:rPr>
                <w:rFonts w:asciiTheme="minorHAnsi" w:cstheme="minorHAnsi"/>
                <w:sz w:val="24"/>
                <w:szCs w:val="24"/>
                <w:lang w:val="en-US"/>
              </w:rPr>
              <w:t>GAAACTTCCAGGGGCAAGCCA</w:t>
            </w:r>
          </w:p>
        </w:tc>
      </w:tr>
    </w:tbl>
    <w:p w14:paraId="0D337F33" w14:textId="0AAADC58" w:rsidR="00EC226F" w:rsidRPr="00EC226F" w:rsidRDefault="00C97241" w:rsidP="00613854">
      <w:pPr>
        <w:jc w:val="both"/>
        <w:rPr>
          <w:lang w:val="en-US"/>
        </w:rPr>
      </w:pPr>
      <w:r w:rsidRPr="005D4EB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1 </w:t>
      </w:r>
      <w:r w:rsidRPr="00CA7E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List of primer sequences used for evaluation of mRNA expression in the </w:t>
      </w:r>
      <w:r w:rsidRPr="00CA7E3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ex vivo</w:t>
      </w:r>
      <w:r w:rsidRPr="00CA7E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model of electrode insertion trauma.</w:t>
      </w:r>
    </w:p>
    <w:sectPr w:rsidR="00EC226F" w:rsidRPr="00EC226F" w:rsidSect="004408BF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47C15"/>
    <w:rsid w:val="0005730B"/>
    <w:rsid w:val="000E11C9"/>
    <w:rsid w:val="00217655"/>
    <w:rsid w:val="00300254"/>
    <w:rsid w:val="0030275F"/>
    <w:rsid w:val="0033269F"/>
    <w:rsid w:val="00333752"/>
    <w:rsid w:val="003951B2"/>
    <w:rsid w:val="004408BF"/>
    <w:rsid w:val="00561D31"/>
    <w:rsid w:val="00596E64"/>
    <w:rsid w:val="00613854"/>
    <w:rsid w:val="0063748B"/>
    <w:rsid w:val="00776446"/>
    <w:rsid w:val="007C45A6"/>
    <w:rsid w:val="009C4824"/>
    <w:rsid w:val="00AE49DD"/>
    <w:rsid w:val="00B33810"/>
    <w:rsid w:val="00B71EA0"/>
    <w:rsid w:val="00C51077"/>
    <w:rsid w:val="00C97241"/>
    <w:rsid w:val="00D23D4A"/>
    <w:rsid w:val="00D35AA0"/>
    <w:rsid w:val="00D47C15"/>
    <w:rsid w:val="00D6180A"/>
    <w:rsid w:val="00D7784E"/>
    <w:rsid w:val="00E239A5"/>
    <w:rsid w:val="00E32DD8"/>
    <w:rsid w:val="00E442EA"/>
    <w:rsid w:val="00EC226F"/>
    <w:rsid w:val="00FA02E2"/>
    <w:rsid w:val="00FE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EC13E"/>
  <w15:chartTrackingRefBased/>
  <w15:docId w15:val="{D21C33EE-E829-4890-A07E-9C888D87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26F"/>
    <w:pPr>
      <w:spacing w:after="120" w:line="360" w:lineRule="auto"/>
    </w:pPr>
    <w:rPr>
      <w:rFonts w:eastAsiaTheme="minorHAnsi" w:hAnsiTheme="minorHAnsi" w:cstheme="minorBid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6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26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33269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DDDDDD" w:themeColor="accent1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69F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269F"/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69F"/>
    <w:rPr>
      <w:rFonts w:asciiTheme="majorHAnsi" w:eastAsiaTheme="majorEastAsia" w:hAnsiTheme="majorHAnsi" w:cstheme="majorBidi"/>
      <w:b/>
      <w:bCs/>
      <w:color w:val="DDDDDD" w:themeColor="accent1"/>
      <w:kern w:val="0"/>
      <w:sz w:val="24"/>
      <w:szCs w:val="24"/>
      <w:lang w:val="en-US" w:eastAsia="en-US"/>
      <w14:ligatures w14:val="none"/>
    </w:rPr>
  </w:style>
  <w:style w:type="paragraph" w:styleId="BodyText">
    <w:name w:val="Body Text"/>
    <w:basedOn w:val="Normal"/>
    <w:link w:val="BodyTextChar"/>
    <w:semiHidden/>
    <w:unhideWhenUsed/>
    <w:qFormat/>
    <w:rsid w:val="0033269F"/>
    <w:pPr>
      <w:spacing w:before="180" w:after="180" w:line="240" w:lineRule="auto"/>
    </w:pPr>
    <w:rPr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rsid w:val="0033269F"/>
    <w:rPr>
      <w:rFonts w:eastAsiaTheme="minorHAnsi" w:hAnsiTheme="minorHAnsi" w:cstheme="minorBidi"/>
      <w:kern w:val="0"/>
      <w:sz w:val="24"/>
      <w:szCs w:val="24"/>
      <w:lang w:val="en-US" w:eastAsia="en-US"/>
      <w14:ligatures w14:val="none"/>
    </w:rPr>
  </w:style>
  <w:style w:type="paragraph" w:styleId="Caption">
    <w:name w:val="caption"/>
    <w:basedOn w:val="Normal"/>
    <w:link w:val="CaptionChar"/>
    <w:semiHidden/>
    <w:unhideWhenUsed/>
    <w:qFormat/>
    <w:rsid w:val="0033269F"/>
    <w:pPr>
      <w:spacing w:line="240" w:lineRule="auto"/>
    </w:pPr>
    <w:rPr>
      <w:i/>
    </w:rPr>
  </w:style>
  <w:style w:type="character" w:customStyle="1" w:styleId="CaptionChar">
    <w:name w:val="Caption Char"/>
    <w:basedOn w:val="DefaultParagraphFont"/>
    <w:link w:val="Caption"/>
    <w:semiHidden/>
    <w:locked/>
    <w:rsid w:val="0033269F"/>
    <w:rPr>
      <w:i/>
    </w:rPr>
  </w:style>
  <w:style w:type="paragraph" w:styleId="Title">
    <w:name w:val="Title"/>
    <w:basedOn w:val="Normal"/>
    <w:next w:val="Normal"/>
    <w:link w:val="TitleChar"/>
    <w:uiPriority w:val="10"/>
    <w:qFormat/>
    <w:rsid w:val="003326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3269F"/>
    <w:pPr>
      <w:ind w:left="720"/>
      <w:contextualSpacing/>
    </w:pPr>
  </w:style>
  <w:style w:type="table" w:styleId="TableGrid">
    <w:name w:val="Table Grid"/>
    <w:basedOn w:val="TableNormal"/>
    <w:uiPriority w:val="39"/>
    <w:rsid w:val="00C97241"/>
    <w:pPr>
      <w:spacing w:after="0" w:line="240" w:lineRule="auto"/>
    </w:pPr>
    <w:rPr>
      <w:rFonts w:ascii="Calibri" w:eastAsia="Calibri" w:hAnsi="Calibri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40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5D6D6-213F-4436-B57C-00B4DB8EF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552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Nieratschker</dc:creator>
  <cp:keywords/>
  <dc:description/>
  <cp:lastModifiedBy>Michael Nieratschker</cp:lastModifiedBy>
  <cp:revision>10</cp:revision>
  <dcterms:created xsi:type="dcterms:W3CDTF">2023-12-12T17:55:00Z</dcterms:created>
  <dcterms:modified xsi:type="dcterms:W3CDTF">2024-02-05T11:37:00Z</dcterms:modified>
</cp:coreProperties>
</file>