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7F2C8B" w14:textId="402FC994" w:rsidR="00D56C02" w:rsidRPr="00313D18" w:rsidRDefault="00D56C02" w:rsidP="00BB3BCD">
      <w:pPr>
        <w:widowControl/>
        <w:spacing w:line="480" w:lineRule="auto"/>
        <w:jc w:val="left"/>
        <w:rPr>
          <w:rStyle w:val="None"/>
          <w:rFonts w:cs="Times New Roman"/>
          <w:bCs/>
          <w:szCs w:val="24"/>
        </w:rPr>
      </w:pPr>
      <w:bookmarkStart w:id="0" w:name="_Hlk155276266"/>
    </w:p>
    <w:bookmarkEnd w:id="0"/>
    <w:p w14:paraId="6ADC938E" w14:textId="77777777" w:rsidR="00D56C02" w:rsidRDefault="00000000">
      <w:pPr>
        <w:widowControl/>
        <w:spacing w:line="480" w:lineRule="auto"/>
        <w:jc w:val="center"/>
        <w:rPr>
          <w:rFonts w:cs="Times New Roman"/>
          <w:kern w:val="0"/>
          <w:sz w:val="36"/>
          <w:szCs w:val="36"/>
        </w:rPr>
      </w:pPr>
      <w:r>
        <w:rPr>
          <w:rFonts w:cs="Times New Roman"/>
          <w:color w:val="000000"/>
          <w:kern w:val="0"/>
          <w:sz w:val="36"/>
          <w:szCs w:val="36"/>
        </w:rPr>
        <w:t>Supplementary Items for</w:t>
      </w:r>
    </w:p>
    <w:p w14:paraId="2B159E3B" w14:textId="77777777" w:rsidR="00D56C02" w:rsidRDefault="00000000">
      <w:pPr>
        <w:spacing w:line="480" w:lineRule="auto"/>
        <w:jc w:val="center"/>
        <w:rPr>
          <w:rFonts w:cs="Times New Roman"/>
          <w:color w:val="000000"/>
          <w:kern w:val="0"/>
          <w:szCs w:val="24"/>
        </w:rPr>
      </w:pPr>
      <w:r>
        <w:t>Temperature-Dependent Variations in Under-Canopy Herbaceous Foliar Diseases Following Shrub Encroachment in Grasslands</w:t>
      </w:r>
      <w:r>
        <w:rPr>
          <w:rFonts w:cs="Times New Roman"/>
          <w:color w:val="000000"/>
          <w:kern w:val="0"/>
          <w:szCs w:val="24"/>
        </w:rPr>
        <w:t xml:space="preserve"> </w:t>
      </w:r>
    </w:p>
    <w:p w14:paraId="776409C8" w14:textId="4C869A54" w:rsidR="00D56C02" w:rsidRDefault="00000000">
      <w:pPr>
        <w:widowControl/>
        <w:spacing w:line="480" w:lineRule="auto"/>
        <w:jc w:val="center"/>
      </w:pPr>
      <w:r>
        <w:t>Yilin Dang</w:t>
      </w:r>
      <w:r>
        <w:rPr>
          <w:vertAlign w:val="superscript"/>
        </w:rPr>
        <w:t>1, 2</w:t>
      </w:r>
      <w:r>
        <w:t>, Peng Zhang</w:t>
      </w:r>
      <w:r>
        <w:rPr>
          <w:vertAlign w:val="superscript"/>
        </w:rPr>
        <w:t>1</w:t>
      </w:r>
      <w:r>
        <w:t>, Peixi Jiang</w:t>
      </w:r>
      <w:r>
        <w:rPr>
          <w:vertAlign w:val="superscript"/>
        </w:rPr>
        <w:t>1</w:t>
      </w:r>
      <w:r>
        <w:t xml:space="preserve">, </w:t>
      </w:r>
      <w:r>
        <w:rPr>
          <w:kern w:val="0"/>
        </w:rPr>
        <w:t>Junsheng Ke</w:t>
      </w:r>
      <w:r>
        <w:rPr>
          <w:vertAlign w:val="superscript"/>
        </w:rPr>
        <w:t>1</w:t>
      </w:r>
      <w:r>
        <w:rPr>
          <w:kern w:val="0"/>
        </w:rPr>
        <w:t xml:space="preserve">, </w:t>
      </w:r>
      <w:r>
        <w:t>Yao Xiao</w:t>
      </w:r>
      <w:r>
        <w:rPr>
          <w:vertAlign w:val="superscript"/>
        </w:rPr>
        <w:t>1</w:t>
      </w:r>
      <w:r>
        <w:t>, Mu Liu</w:t>
      </w:r>
      <w:r>
        <w:rPr>
          <w:vertAlign w:val="superscript"/>
        </w:rPr>
        <w:t>1</w:t>
      </w:r>
      <w:r>
        <w:t>, Jianquan Liu</w:t>
      </w:r>
      <w:r>
        <w:rPr>
          <w:vertAlign w:val="superscript"/>
        </w:rPr>
        <w:t>1, *</w:t>
      </w:r>
      <w:r>
        <w:t>, Bin Tian</w:t>
      </w:r>
      <w:r>
        <w:rPr>
          <w:vertAlign w:val="superscript"/>
        </w:rPr>
        <w:t>2*</w:t>
      </w:r>
      <w:r>
        <w:t>, Xiang Liu</w:t>
      </w:r>
      <w:r>
        <w:rPr>
          <w:vertAlign w:val="superscript"/>
        </w:rPr>
        <w:t>1</w:t>
      </w:r>
      <w:r w:rsidR="00313D18" w:rsidRPr="00313D18">
        <w:rPr>
          <w:rFonts w:cs="Times New Roman"/>
          <w:color w:val="000000"/>
          <w:kern w:val="0"/>
          <w:szCs w:val="24"/>
          <w:vertAlign w:val="superscript"/>
        </w:rPr>
        <w:t>†</w:t>
      </w:r>
    </w:p>
    <w:p w14:paraId="53D84161" w14:textId="6A866602" w:rsidR="00D56C02" w:rsidRDefault="00313D18">
      <w:pPr>
        <w:widowControl/>
        <w:spacing w:line="480" w:lineRule="auto"/>
        <w:jc w:val="center"/>
        <w:rPr>
          <w:rFonts w:cs="Times New Roman"/>
          <w:color w:val="000000"/>
          <w:kern w:val="0"/>
          <w:szCs w:val="24"/>
        </w:rPr>
      </w:pPr>
      <w:r>
        <w:rPr>
          <w:rFonts w:cs="Times New Roman"/>
          <w:color w:val="000000"/>
          <w:kern w:val="0"/>
          <w:szCs w:val="24"/>
        </w:rPr>
        <w:t>*Corresponding Author: liujq@nwipb.cas.cn</w:t>
      </w:r>
    </w:p>
    <w:p w14:paraId="2A510CAB" w14:textId="77777777" w:rsidR="00D56C02" w:rsidRDefault="00000000">
      <w:pPr>
        <w:widowControl/>
        <w:spacing w:line="480" w:lineRule="auto"/>
        <w:jc w:val="center"/>
        <w:rPr>
          <w:rFonts w:cs="Times New Roman"/>
          <w:color w:val="000000"/>
          <w:kern w:val="0"/>
          <w:szCs w:val="24"/>
        </w:rPr>
      </w:pPr>
      <w:r>
        <w:rPr>
          <w:rFonts w:cs="Times New Roman"/>
          <w:color w:val="000000"/>
          <w:kern w:val="0"/>
          <w:szCs w:val="24"/>
        </w:rPr>
        <w:t xml:space="preserve">*Corresponding Author: </w:t>
      </w:r>
      <w:r>
        <w:rPr>
          <w:rFonts w:cs="Times New Roman"/>
          <w:color w:val="000000"/>
          <w:kern w:val="0"/>
          <w:szCs w:val="24"/>
          <w:lang w:val="de-DE"/>
        </w:rPr>
        <w:t>tianbin@swfu.edu.cn</w:t>
      </w:r>
    </w:p>
    <w:p w14:paraId="025FBB37" w14:textId="22CFC5CB" w:rsidR="00D56C02" w:rsidRDefault="00313D18">
      <w:pPr>
        <w:widowControl/>
        <w:spacing w:line="480" w:lineRule="auto"/>
        <w:jc w:val="center"/>
        <w:rPr>
          <w:rFonts w:cs="Times New Roman"/>
          <w:color w:val="000000"/>
          <w:kern w:val="0"/>
          <w:szCs w:val="24"/>
        </w:rPr>
      </w:pPr>
      <w:r w:rsidRPr="00313D18">
        <w:rPr>
          <w:rFonts w:cs="Times New Roman"/>
          <w:color w:val="000000"/>
          <w:kern w:val="0"/>
          <w:szCs w:val="24"/>
          <w:vertAlign w:val="superscript"/>
        </w:rPr>
        <w:t>†</w:t>
      </w:r>
      <w:r>
        <w:rPr>
          <w:rFonts w:cs="Times New Roman"/>
          <w:color w:val="000000"/>
          <w:kern w:val="0"/>
          <w:szCs w:val="24"/>
        </w:rPr>
        <w:t>Corresponding Author: lx@lzu.edu.cn</w:t>
      </w:r>
    </w:p>
    <w:p w14:paraId="2D9DDE36" w14:textId="77777777" w:rsidR="00D56C02" w:rsidRDefault="00000000">
      <w:pPr>
        <w:widowControl/>
        <w:spacing w:line="480" w:lineRule="auto"/>
        <w:jc w:val="left"/>
        <w:rPr>
          <w:rFonts w:cs="Times New Roman"/>
          <w:color w:val="000000"/>
          <w:kern w:val="0"/>
          <w:szCs w:val="24"/>
        </w:rPr>
      </w:pPr>
      <w:r>
        <w:rPr>
          <w:rFonts w:cs="Times New Roman"/>
          <w:color w:val="000000"/>
          <w:kern w:val="0"/>
          <w:szCs w:val="24"/>
        </w:rPr>
        <w:br w:type="page"/>
      </w:r>
    </w:p>
    <w:p w14:paraId="1C627E0F" w14:textId="77777777" w:rsidR="00D56C02" w:rsidRDefault="00000000">
      <w:pPr>
        <w:spacing w:line="480" w:lineRule="auto"/>
        <w:jc w:val="left"/>
        <w:outlineLvl w:val="0"/>
        <w:rPr>
          <w:rFonts w:cs="Times New Roman"/>
          <w:b/>
          <w:bCs/>
          <w:color w:val="000000"/>
          <w:sz w:val="28"/>
          <w:szCs w:val="28"/>
        </w:rPr>
      </w:pPr>
      <w:r>
        <w:rPr>
          <w:rFonts w:cs="Times New Roman"/>
          <w:b/>
          <w:bCs/>
          <w:color w:val="000000"/>
          <w:sz w:val="28"/>
          <w:szCs w:val="28"/>
        </w:rPr>
        <w:lastRenderedPageBreak/>
        <w:t>Supplementary Figures and Tables</w:t>
      </w:r>
    </w:p>
    <w:p w14:paraId="098AD806" w14:textId="080A29CA" w:rsidR="00D56C02" w:rsidRDefault="00BA4E03">
      <w:pPr>
        <w:widowControl/>
        <w:spacing w:line="480" w:lineRule="auto"/>
        <w:jc w:val="center"/>
        <w:rPr>
          <w:rFonts w:cs="Times New Roman"/>
          <w:b/>
          <w:bCs/>
          <w:iCs/>
          <w:szCs w:val="24"/>
        </w:rPr>
      </w:pPr>
      <w:r>
        <w:rPr>
          <w:rFonts w:cs="Times New Roman"/>
          <w:b/>
          <w:bCs/>
          <w:iCs/>
          <w:noProof/>
          <w:szCs w:val="24"/>
        </w:rPr>
        <w:drawing>
          <wp:inline distT="0" distB="0" distL="0" distR="0" wp14:anchorId="1216C4D3" wp14:editId="57EE6A7B">
            <wp:extent cx="4320000" cy="3962377"/>
            <wp:effectExtent l="0" t="0" r="4445" b="635"/>
            <wp:docPr id="12869901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990112" name="图片 1286990112"/>
                    <pic:cNvPicPr/>
                  </pic:nvPicPr>
                  <pic:blipFill rotWithShape="1">
                    <a:blip r:embed="rId8" cstate="print">
                      <a:extLst>
                        <a:ext uri="{28A0092B-C50C-407E-A947-70E740481C1C}">
                          <a14:useLocalDpi xmlns:a14="http://schemas.microsoft.com/office/drawing/2010/main" val="0"/>
                        </a:ext>
                      </a:extLst>
                    </a:blip>
                    <a:srcRect l="22212" t="4680" r="15227" b="4491"/>
                    <a:stretch/>
                  </pic:blipFill>
                  <pic:spPr bwMode="auto">
                    <a:xfrm>
                      <a:off x="0" y="0"/>
                      <a:ext cx="4320000" cy="3962377"/>
                    </a:xfrm>
                    <a:prstGeom prst="rect">
                      <a:avLst/>
                    </a:prstGeom>
                    <a:ln>
                      <a:noFill/>
                    </a:ln>
                    <a:extLst>
                      <a:ext uri="{53640926-AAD7-44D8-BBD7-CCE9431645EC}">
                        <a14:shadowObscured xmlns:a14="http://schemas.microsoft.com/office/drawing/2010/main"/>
                      </a:ext>
                    </a:extLst>
                  </pic:spPr>
                </pic:pic>
              </a:graphicData>
            </a:graphic>
          </wp:inline>
        </w:drawing>
      </w:r>
    </w:p>
    <w:p w14:paraId="1C3F6095" w14:textId="77777777" w:rsidR="00D56C02" w:rsidRDefault="00D56C02">
      <w:pPr>
        <w:widowControl/>
        <w:spacing w:line="480" w:lineRule="auto"/>
        <w:jc w:val="center"/>
        <w:rPr>
          <w:rFonts w:cs="Times New Roman"/>
          <w:b/>
          <w:bCs/>
          <w:iCs/>
          <w:szCs w:val="24"/>
        </w:rPr>
        <w:sectPr w:rsidR="00D56C02" w:rsidSect="00AE5B83">
          <w:footerReference w:type="default" r:id="rId9"/>
          <w:pgSz w:w="11906" w:h="16838"/>
          <w:pgMar w:top="1440" w:right="1134" w:bottom="1440" w:left="1134" w:header="851" w:footer="992" w:gutter="0"/>
          <w:lnNumType w:countBy="1" w:restart="continuous"/>
          <w:cols w:space="425"/>
          <w:docGrid w:linePitch="326"/>
        </w:sectPr>
      </w:pPr>
    </w:p>
    <w:p w14:paraId="46690461" w14:textId="77777777" w:rsidR="00D56C02" w:rsidRDefault="00000000">
      <w:pPr>
        <w:widowControl/>
        <w:spacing w:line="480" w:lineRule="auto"/>
        <w:jc w:val="left"/>
        <w:outlineLvl w:val="1"/>
        <w:rPr>
          <w:rFonts w:eastAsiaTheme="minorEastAsia" w:cs="Times New Roman"/>
          <w:b/>
          <w:szCs w:val="24"/>
        </w:rPr>
      </w:pPr>
      <w:bookmarkStart w:id="1" w:name="OLE_LINK7"/>
      <w:r>
        <w:rPr>
          <w:rFonts w:cs="Times New Roman"/>
          <w:b/>
          <w:bCs/>
          <w:color w:val="000000"/>
          <w:szCs w:val="24"/>
        </w:rPr>
        <w:t xml:space="preserve">Supplementary Fig. </w:t>
      </w:r>
      <w:r>
        <w:rPr>
          <w:rFonts w:cs="Times New Roman"/>
          <w:b/>
          <w:bCs/>
          <w:color w:val="000000"/>
          <w:kern w:val="0"/>
          <w:szCs w:val="24"/>
        </w:rPr>
        <w:t xml:space="preserve">1 </w:t>
      </w:r>
      <w:bookmarkEnd w:id="1"/>
      <w:r>
        <w:rPr>
          <w:rFonts w:cs="Times New Roman"/>
          <w:b/>
          <w:bCs/>
          <w:color w:val="000000"/>
          <w:kern w:val="0"/>
          <w:szCs w:val="24"/>
        </w:rPr>
        <w:t>|</w:t>
      </w:r>
      <w:r>
        <w:rPr>
          <w:rFonts w:cs="Times New Roman"/>
          <w:b/>
          <w:bCs/>
          <w:color w:val="000000"/>
          <w:szCs w:val="24"/>
        </w:rPr>
        <w:t xml:space="preserve"> The </w:t>
      </w:r>
      <w:bookmarkStart w:id="2" w:name="OLE_LINK6"/>
      <w:r>
        <w:rPr>
          <w:rFonts w:cs="Times New Roman"/>
          <w:b/>
          <w:bCs/>
          <w:color w:val="000000"/>
          <w:szCs w:val="24"/>
        </w:rPr>
        <w:t>correlation matrix of 19 variables related to climate factors</w:t>
      </w:r>
      <w:bookmarkEnd w:id="2"/>
      <w:r>
        <w:rPr>
          <w:rFonts w:cs="Times New Roman"/>
          <w:b/>
          <w:bCs/>
          <w:color w:val="000000"/>
          <w:szCs w:val="24"/>
        </w:rPr>
        <w:t>.</w:t>
      </w:r>
      <w:r>
        <w:rPr>
          <w:rFonts w:eastAsia="DengXian" w:cs="Times New Roman"/>
          <w:szCs w:val="24"/>
          <w:lang w:val="en-GB"/>
        </w:rPr>
        <w:t xml:space="preserve"> Numbers represent the correlation coefficients, ranging from -1 to 1. Colour depth and direction of the circles indicate the correlation strength and direction. Shown are </w:t>
      </w:r>
      <w:r>
        <w:rPr>
          <w:rFonts w:eastAsia="DengXian" w:cs="Times New Roman"/>
          <w:szCs w:val="24"/>
        </w:rPr>
        <w:t>the mean annual temperature, mean diurnal range, isothermally, temperature seasonality, max temperature of warmest month, min temperature of coldest month, temperature annual range, mean temperature of wettest quarter, mean temperature of driest quarter, mean temperature of warmest quarter, mean temperature of coldest quarter, mean annual precipitation, precipitation of wettest month, precipitation of driest month, precipitation seasonality, precipitation of wettest quarter, precipitation of driest quarter, precipitation of warmest quarter and precipitation of coldest quarter.</w:t>
      </w:r>
    </w:p>
    <w:p w14:paraId="45D9C552" w14:textId="77777777" w:rsidR="00D56C02" w:rsidRDefault="00D56C02">
      <w:pPr>
        <w:widowControl/>
        <w:spacing w:line="480" w:lineRule="auto"/>
        <w:jc w:val="center"/>
        <w:rPr>
          <w:rFonts w:eastAsiaTheme="minorEastAsia" w:cs="Times New Roman"/>
          <w:b/>
          <w:bCs/>
          <w:szCs w:val="24"/>
        </w:rPr>
        <w:sectPr w:rsidR="00D56C02" w:rsidSect="00AE5B83">
          <w:type w:val="continuous"/>
          <w:pgSz w:w="11906" w:h="16838"/>
          <w:pgMar w:top="1440" w:right="1134" w:bottom="1440" w:left="1134" w:header="851" w:footer="992" w:gutter="0"/>
          <w:lnNumType w:countBy="1" w:restart="continuous"/>
          <w:cols w:space="425"/>
          <w:docGrid w:linePitch="326"/>
        </w:sectPr>
      </w:pPr>
    </w:p>
    <w:p w14:paraId="4E73AA96" w14:textId="77777777" w:rsidR="00D56C02" w:rsidRDefault="00D56C02">
      <w:pPr>
        <w:widowControl/>
        <w:spacing w:line="480" w:lineRule="auto"/>
        <w:jc w:val="center"/>
        <w:rPr>
          <w:rFonts w:eastAsiaTheme="minorEastAsia" w:cs="Times New Roman"/>
          <w:b/>
          <w:bCs/>
          <w:szCs w:val="24"/>
        </w:rPr>
      </w:pPr>
    </w:p>
    <w:p w14:paraId="09B603A6" w14:textId="071040DA" w:rsidR="00804BB1" w:rsidRDefault="00804BB1">
      <w:pPr>
        <w:widowControl/>
        <w:spacing w:line="480" w:lineRule="auto"/>
        <w:jc w:val="center"/>
        <w:rPr>
          <w:rFonts w:eastAsia="DengXian" w:cs="Times New Roman"/>
          <w:noProof/>
          <w:szCs w:val="24"/>
          <w:lang w:val="en-GB"/>
        </w:rPr>
      </w:pPr>
    </w:p>
    <w:p w14:paraId="4664277D" w14:textId="570C30B9" w:rsidR="00D56C02" w:rsidRDefault="00804BB1">
      <w:pPr>
        <w:widowControl/>
        <w:spacing w:line="480" w:lineRule="auto"/>
        <w:jc w:val="center"/>
        <w:rPr>
          <w:rFonts w:eastAsia="DengXian" w:cs="Times New Roman"/>
          <w:szCs w:val="24"/>
          <w:lang w:val="en-GB"/>
        </w:rPr>
      </w:pPr>
      <w:r>
        <w:rPr>
          <w:rFonts w:eastAsia="DengXian" w:cs="Times New Roman"/>
          <w:noProof/>
          <w:szCs w:val="24"/>
          <w:lang w:val="en-GB"/>
        </w:rPr>
        <w:lastRenderedPageBreak/>
        <w:drawing>
          <wp:inline distT="0" distB="0" distL="0" distR="0" wp14:anchorId="30DB2ABD" wp14:editId="3D846DDD">
            <wp:extent cx="3204000" cy="2995700"/>
            <wp:effectExtent l="0" t="0" r="0" b="0"/>
            <wp:docPr id="820197596" name="图片 3"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197596" name="图片 3" descr="图示&#10;&#10;中度可信度描述已自动生成"/>
                    <pic:cNvPicPr/>
                  </pic:nvPicPr>
                  <pic:blipFill rotWithShape="1">
                    <a:blip r:embed="rId10" cstate="print">
                      <a:extLst>
                        <a:ext uri="{28A0092B-C50C-407E-A947-70E740481C1C}">
                          <a14:useLocalDpi xmlns:a14="http://schemas.microsoft.com/office/drawing/2010/main" val="0"/>
                        </a:ext>
                      </a:extLst>
                    </a:blip>
                    <a:srcRect l="26441" t="17693" r="9353"/>
                    <a:stretch/>
                  </pic:blipFill>
                  <pic:spPr bwMode="auto">
                    <a:xfrm>
                      <a:off x="0" y="0"/>
                      <a:ext cx="3204000" cy="2995700"/>
                    </a:xfrm>
                    <a:prstGeom prst="rect">
                      <a:avLst/>
                    </a:prstGeom>
                    <a:ln>
                      <a:noFill/>
                    </a:ln>
                    <a:extLst>
                      <a:ext uri="{53640926-AAD7-44D8-BBD7-CCE9431645EC}">
                        <a14:shadowObscured xmlns:a14="http://schemas.microsoft.com/office/drawing/2010/main"/>
                      </a:ext>
                    </a:extLst>
                  </pic:spPr>
                </pic:pic>
              </a:graphicData>
            </a:graphic>
          </wp:inline>
        </w:drawing>
      </w:r>
    </w:p>
    <w:p w14:paraId="380764AB" w14:textId="008C5B71" w:rsidR="00D56C02" w:rsidRDefault="00000000" w:rsidP="003C6605">
      <w:pPr>
        <w:widowControl/>
        <w:spacing w:line="480" w:lineRule="auto"/>
        <w:jc w:val="left"/>
        <w:outlineLvl w:val="1"/>
        <w:rPr>
          <w:rFonts w:eastAsia="DengXian" w:cs="Times New Roman"/>
          <w:szCs w:val="24"/>
          <w:lang w:val="en-GB"/>
        </w:rPr>
        <w:sectPr w:rsidR="00D56C02" w:rsidSect="00AE5B83">
          <w:type w:val="continuous"/>
          <w:pgSz w:w="11906" w:h="16838"/>
          <w:pgMar w:top="1440" w:right="1134" w:bottom="1440" w:left="1134" w:header="851" w:footer="992" w:gutter="0"/>
          <w:lnNumType w:countBy="1" w:restart="continuous"/>
          <w:cols w:space="425"/>
          <w:docGrid w:linePitch="326"/>
        </w:sectPr>
      </w:pPr>
      <w:r>
        <w:rPr>
          <w:rFonts w:cs="Times New Roman"/>
          <w:b/>
          <w:bCs/>
          <w:color w:val="000000"/>
          <w:szCs w:val="24"/>
        </w:rPr>
        <w:t>Supplementary Fig. 2</w:t>
      </w:r>
      <w:r>
        <w:rPr>
          <w:rFonts w:eastAsiaTheme="minorEastAsia" w:cs="Times New Roman"/>
          <w:b/>
          <w:bCs/>
          <w:szCs w:val="24"/>
        </w:rPr>
        <w:t xml:space="preserve"> </w:t>
      </w:r>
      <w:r>
        <w:rPr>
          <w:rFonts w:eastAsiaTheme="minorEastAsia" w:cs="Times New Roman"/>
          <w:bCs/>
          <w:szCs w:val="24"/>
        </w:rPr>
        <w:t>|</w:t>
      </w:r>
      <w:r>
        <w:rPr>
          <w:rFonts w:eastAsiaTheme="minorEastAsia" w:cs="Times New Roman"/>
          <w:szCs w:val="24"/>
        </w:rPr>
        <w:t xml:space="preserve"> </w:t>
      </w:r>
      <w:r>
        <w:rPr>
          <w:rFonts w:eastAsia="DengXian" w:cs="Times New Roman"/>
          <w:b/>
          <w:bCs/>
          <w:szCs w:val="24"/>
          <w:lang w:val="en-GB"/>
        </w:rPr>
        <w:t>The correlation matrix of 5 variables related to soil properties.</w:t>
      </w:r>
      <w:r>
        <w:rPr>
          <w:rFonts w:eastAsia="DengXian" w:cs="Times New Roman"/>
          <w:szCs w:val="24"/>
          <w:lang w:val="en-GB"/>
        </w:rPr>
        <w:t xml:space="preserve"> Numbers represent the correlation coefficients, ranging from -1 to 1. Colour depth and direction of the circles indicate the correlation strength and direction. Shown are </w:t>
      </w:r>
      <w:r>
        <w:rPr>
          <w:rFonts w:eastAsia="DengXian" w:cs="Times New Roman"/>
          <w:szCs w:val="24"/>
        </w:rPr>
        <w:t>the soil total carbon, soil total nitrogen, soil available phosphorus, soil pH and soil water content.</w:t>
      </w:r>
      <w:r>
        <w:rPr>
          <w:rFonts w:eastAsiaTheme="minorEastAsia" w:cs="Times New Roman"/>
          <w:b/>
          <w:szCs w:val="24"/>
        </w:rPr>
        <w:t xml:space="preserve"> </w:t>
      </w:r>
    </w:p>
    <w:p w14:paraId="3BBD93CF" w14:textId="77777777" w:rsidR="00D56C02" w:rsidRDefault="00D56C02">
      <w:pPr>
        <w:widowControl/>
        <w:spacing w:line="480" w:lineRule="auto"/>
        <w:jc w:val="left"/>
        <w:rPr>
          <w:rFonts w:eastAsia="DengXian" w:cs="Times New Roman"/>
          <w:szCs w:val="24"/>
          <w:lang w:val="en-GB"/>
        </w:rPr>
        <w:sectPr w:rsidR="00D56C02" w:rsidSect="00AE5B83">
          <w:type w:val="continuous"/>
          <w:pgSz w:w="11906" w:h="16838"/>
          <w:pgMar w:top="1440" w:right="1134" w:bottom="1440" w:left="1134" w:header="851" w:footer="992" w:gutter="0"/>
          <w:lnNumType w:countBy="1" w:restart="continuous"/>
          <w:cols w:space="425"/>
          <w:docGrid w:linePitch="326"/>
        </w:sectPr>
      </w:pPr>
    </w:p>
    <w:p w14:paraId="78AAE007" w14:textId="196662B0" w:rsidR="00D56C02" w:rsidRDefault="003C6605" w:rsidP="003C6605">
      <w:pPr>
        <w:widowControl/>
        <w:spacing w:line="480" w:lineRule="auto"/>
        <w:jc w:val="center"/>
        <w:rPr>
          <w:rFonts w:cs="Times New Roman"/>
          <w:b/>
          <w:bCs/>
          <w:iCs/>
          <w:szCs w:val="24"/>
        </w:rPr>
        <w:sectPr w:rsidR="00D56C02" w:rsidSect="00AE5B83">
          <w:pgSz w:w="11906" w:h="16838"/>
          <w:pgMar w:top="1440" w:right="1134" w:bottom="1440" w:left="1134" w:header="851" w:footer="992" w:gutter="0"/>
          <w:lnNumType w:countBy="1" w:restart="continuous"/>
          <w:cols w:space="425"/>
          <w:docGrid w:linePitch="326"/>
        </w:sectPr>
      </w:pPr>
      <w:r>
        <w:rPr>
          <w:rFonts w:eastAsiaTheme="minorEastAsia" w:cs="Times New Roman"/>
          <w:b/>
          <w:bCs/>
          <w:noProof/>
          <w:szCs w:val="24"/>
        </w:rPr>
        <w:lastRenderedPageBreak/>
        <w:drawing>
          <wp:inline distT="0" distB="0" distL="0" distR="0" wp14:anchorId="0CE4C0D5" wp14:editId="7B91F891">
            <wp:extent cx="3204000" cy="1881245"/>
            <wp:effectExtent l="0" t="0" r="0" b="5080"/>
            <wp:docPr id="15748595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859540" name="图片 157485954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04000" cy="1881245"/>
                    </a:xfrm>
                    <a:prstGeom prst="rect">
                      <a:avLst/>
                    </a:prstGeom>
                  </pic:spPr>
                </pic:pic>
              </a:graphicData>
            </a:graphic>
          </wp:inline>
        </w:drawing>
      </w:r>
    </w:p>
    <w:p w14:paraId="4E616121" w14:textId="77777777" w:rsidR="00D56C02" w:rsidRDefault="00000000">
      <w:pPr>
        <w:widowControl/>
        <w:spacing w:line="480" w:lineRule="auto"/>
        <w:jc w:val="left"/>
        <w:outlineLvl w:val="1"/>
        <w:rPr>
          <w:rFonts w:eastAsiaTheme="minorEastAsia" w:cs="Times New Roman"/>
          <w:b/>
          <w:bCs/>
          <w:szCs w:val="24"/>
        </w:rPr>
      </w:pPr>
      <w:r>
        <w:rPr>
          <w:rFonts w:cs="Times New Roman"/>
          <w:b/>
          <w:bCs/>
          <w:color w:val="000000"/>
          <w:szCs w:val="24"/>
        </w:rPr>
        <w:t>Supplementary Fig.</w:t>
      </w:r>
      <w:r>
        <w:rPr>
          <w:rFonts w:cs="Times New Roman"/>
          <w:b/>
          <w:bCs/>
          <w:color w:val="000000"/>
          <w:kern w:val="0"/>
          <w:szCs w:val="24"/>
        </w:rPr>
        <w:t xml:space="preserve"> </w:t>
      </w:r>
      <w:r>
        <w:rPr>
          <w:rFonts w:cs="Times New Roman"/>
          <w:b/>
          <w:bCs/>
          <w:color w:val="000000"/>
          <w:szCs w:val="24"/>
        </w:rPr>
        <w:t>3</w:t>
      </w:r>
      <w:r>
        <w:rPr>
          <w:rFonts w:cs="Times New Roman"/>
          <w:b/>
          <w:szCs w:val="24"/>
        </w:rPr>
        <w:t xml:space="preserve"> </w:t>
      </w:r>
      <w:r>
        <w:rPr>
          <w:rStyle w:val="None"/>
          <w:rFonts w:cs="Times New Roman"/>
          <w:b/>
          <w:szCs w:val="24"/>
        </w:rPr>
        <w:t>|</w:t>
      </w:r>
      <w:r>
        <w:rPr>
          <w:rStyle w:val="None"/>
          <w:rFonts w:cs="Times New Roman"/>
          <w:b/>
          <w:bCs/>
          <w:szCs w:val="24"/>
        </w:rPr>
        <w:t xml:space="preserve"> </w:t>
      </w:r>
      <w:r>
        <w:rPr>
          <w:rFonts w:cs="Times New Roman"/>
          <w:b/>
          <w:bCs/>
          <w:szCs w:val="24"/>
        </w:rPr>
        <w:t xml:space="preserve">Principal component analysis (PCA) of soil properties. </w:t>
      </w:r>
      <w:r>
        <w:rPr>
          <w:rFonts w:cs="Times New Roman"/>
          <w:szCs w:val="24"/>
        </w:rPr>
        <w:t>Soil total carbon, soil total nitrogen, soil available phosphorus, soil pH and soil water content were included.</w:t>
      </w:r>
      <w:r>
        <w:rPr>
          <w:rFonts w:eastAsiaTheme="minorEastAsia" w:cs="Times New Roman"/>
          <w:b/>
          <w:bCs/>
          <w:szCs w:val="24"/>
        </w:rPr>
        <w:t xml:space="preserve"> </w:t>
      </w:r>
    </w:p>
    <w:p w14:paraId="08D8211C" w14:textId="77777777" w:rsidR="00D56C02" w:rsidRDefault="00D56C02">
      <w:pPr>
        <w:widowControl/>
        <w:spacing w:line="480" w:lineRule="auto"/>
        <w:jc w:val="center"/>
        <w:rPr>
          <w:rFonts w:eastAsiaTheme="minorEastAsia" w:cs="Times New Roman"/>
          <w:b/>
          <w:bCs/>
          <w:szCs w:val="24"/>
        </w:rPr>
        <w:sectPr w:rsidR="00D56C02" w:rsidSect="00AE5B83">
          <w:type w:val="continuous"/>
          <w:pgSz w:w="11906" w:h="16838"/>
          <w:pgMar w:top="1440" w:right="1134" w:bottom="1440" w:left="1134" w:header="851" w:footer="992" w:gutter="0"/>
          <w:lnNumType w:countBy="1" w:restart="continuous"/>
          <w:cols w:space="425"/>
          <w:docGrid w:linePitch="326"/>
        </w:sectPr>
      </w:pPr>
    </w:p>
    <w:p w14:paraId="667AD4C9" w14:textId="77777777" w:rsidR="00D56C02" w:rsidRDefault="00D56C02">
      <w:pPr>
        <w:widowControl/>
        <w:spacing w:line="480" w:lineRule="auto"/>
        <w:jc w:val="center"/>
        <w:rPr>
          <w:rFonts w:eastAsiaTheme="minorEastAsia" w:cs="Times New Roman"/>
          <w:b/>
          <w:bCs/>
          <w:szCs w:val="24"/>
        </w:rPr>
      </w:pPr>
    </w:p>
    <w:p w14:paraId="114203E8" w14:textId="77777777" w:rsidR="00D56C02" w:rsidRDefault="00D56C02">
      <w:pPr>
        <w:widowControl/>
        <w:spacing w:line="480" w:lineRule="auto"/>
        <w:jc w:val="left"/>
        <w:rPr>
          <w:rFonts w:eastAsiaTheme="minorEastAsia" w:cs="Times New Roman"/>
          <w:b/>
          <w:bCs/>
          <w:szCs w:val="24"/>
        </w:rPr>
        <w:sectPr w:rsidR="00D56C02" w:rsidSect="00AE5B83">
          <w:type w:val="continuous"/>
          <w:pgSz w:w="11906" w:h="16838"/>
          <w:pgMar w:top="1440" w:right="1134" w:bottom="1440" w:left="1134" w:header="851" w:footer="992" w:gutter="0"/>
          <w:lnNumType w:countBy="1" w:restart="continuous"/>
          <w:cols w:space="425"/>
          <w:docGrid w:linePitch="326"/>
        </w:sectPr>
      </w:pPr>
    </w:p>
    <w:p w14:paraId="295C7EF5" w14:textId="2051AC2F" w:rsidR="00D56C02" w:rsidRDefault="00514EDB" w:rsidP="003C6605">
      <w:pPr>
        <w:widowControl/>
        <w:spacing w:line="480" w:lineRule="auto"/>
        <w:jc w:val="center"/>
        <w:rPr>
          <w:rFonts w:cs="Times New Roman"/>
          <w:b/>
          <w:bCs/>
          <w:color w:val="000000"/>
          <w:szCs w:val="24"/>
        </w:rPr>
        <w:sectPr w:rsidR="00D56C02" w:rsidSect="00AE5B83">
          <w:pgSz w:w="11906" w:h="16838"/>
          <w:pgMar w:top="1440" w:right="1134" w:bottom="1440" w:left="1134" w:header="851" w:footer="992" w:gutter="0"/>
          <w:lnNumType w:countBy="1" w:restart="continuous"/>
          <w:cols w:space="425"/>
          <w:docGrid w:linePitch="326"/>
        </w:sectPr>
      </w:pPr>
      <w:r>
        <w:rPr>
          <w:rFonts w:cs="Times New Roman"/>
          <w:b/>
          <w:bCs/>
          <w:noProof/>
          <w:color w:val="000000"/>
          <w:szCs w:val="24"/>
        </w:rPr>
        <w:lastRenderedPageBreak/>
        <w:drawing>
          <wp:inline distT="0" distB="0" distL="0" distR="0" wp14:anchorId="7880E7B3" wp14:editId="12AE2314">
            <wp:extent cx="3204000" cy="2846034"/>
            <wp:effectExtent l="0" t="0" r="0" b="0"/>
            <wp:docPr id="7248378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83780" name="图片 72483780"/>
                    <pic:cNvPicPr/>
                  </pic:nvPicPr>
                  <pic:blipFill rotWithShape="1">
                    <a:blip r:embed="rId12" cstate="print">
                      <a:extLst>
                        <a:ext uri="{28A0092B-C50C-407E-A947-70E740481C1C}">
                          <a14:useLocalDpi xmlns:a14="http://schemas.microsoft.com/office/drawing/2010/main" val="0"/>
                        </a:ext>
                      </a:extLst>
                    </a:blip>
                    <a:srcRect l="13118" r="9988"/>
                    <a:stretch/>
                  </pic:blipFill>
                  <pic:spPr bwMode="auto">
                    <a:xfrm>
                      <a:off x="0" y="0"/>
                      <a:ext cx="3204000" cy="2846034"/>
                    </a:xfrm>
                    <a:prstGeom prst="rect">
                      <a:avLst/>
                    </a:prstGeom>
                    <a:ln>
                      <a:noFill/>
                    </a:ln>
                    <a:extLst>
                      <a:ext uri="{53640926-AAD7-44D8-BBD7-CCE9431645EC}">
                        <a14:shadowObscured xmlns:a14="http://schemas.microsoft.com/office/drawing/2010/main"/>
                      </a:ext>
                    </a:extLst>
                  </pic:spPr>
                </pic:pic>
              </a:graphicData>
            </a:graphic>
          </wp:inline>
        </w:drawing>
      </w:r>
    </w:p>
    <w:p w14:paraId="1F21FEFD" w14:textId="0A8825ED" w:rsidR="00D56C02" w:rsidRDefault="00000000" w:rsidP="00C16E43">
      <w:pPr>
        <w:widowControl/>
        <w:spacing w:line="480" w:lineRule="auto"/>
        <w:jc w:val="left"/>
        <w:outlineLvl w:val="1"/>
        <w:rPr>
          <w:rFonts w:eastAsia="DengXian" w:cs="Times New Roman"/>
          <w:szCs w:val="24"/>
        </w:rPr>
      </w:pPr>
      <w:r>
        <w:rPr>
          <w:rFonts w:cs="Times New Roman"/>
          <w:b/>
          <w:bCs/>
          <w:color w:val="000000"/>
          <w:szCs w:val="24"/>
        </w:rPr>
        <w:t xml:space="preserve">Supplementary Fig. 4 </w:t>
      </w:r>
      <w:r>
        <w:rPr>
          <w:rFonts w:eastAsiaTheme="minorEastAsia" w:cs="Times New Roman"/>
          <w:bCs/>
          <w:szCs w:val="24"/>
        </w:rPr>
        <w:t>|</w:t>
      </w:r>
      <w:r>
        <w:rPr>
          <w:rFonts w:eastAsiaTheme="minorEastAsia" w:cs="Times New Roman"/>
          <w:szCs w:val="24"/>
        </w:rPr>
        <w:t xml:space="preserve"> </w:t>
      </w:r>
      <w:r>
        <w:rPr>
          <w:rFonts w:eastAsia="DengXian" w:cs="Times New Roman"/>
          <w:b/>
          <w:bCs/>
          <w:szCs w:val="24"/>
          <w:lang w:val="en-GB"/>
        </w:rPr>
        <w:t>The correlation matrix of 10 explanatory variables.</w:t>
      </w:r>
      <w:r>
        <w:rPr>
          <w:rFonts w:eastAsia="DengXian" w:cs="Times New Roman"/>
          <w:szCs w:val="24"/>
          <w:lang w:val="en-GB"/>
        </w:rPr>
        <w:t xml:space="preserve"> Numbers represent the correlation coefficients, ranging from -1 to 1. Colour depth and direction of the circles indicate the correlation strength and direction. Shown are </w:t>
      </w:r>
      <w:r>
        <w:rPr>
          <w:rFonts w:eastAsia="DengXian" w:cs="Times New Roman"/>
          <w:szCs w:val="24"/>
        </w:rPr>
        <w:t>the mean annual temperature (MAT), mean annual precipitation (MAP),</w:t>
      </w:r>
      <w:r>
        <w:rPr>
          <w:rFonts w:eastAsiaTheme="minorEastAsia" w:cs="Times New Roman"/>
          <w:szCs w:val="24"/>
        </w:rPr>
        <w:t xml:space="preserve"> </w:t>
      </w:r>
      <w:r>
        <w:rPr>
          <w:rFonts w:cs="Times New Roman"/>
          <w:iCs/>
          <w:szCs w:val="24"/>
        </w:rPr>
        <w:t>grassland patches’ plots herbaceous plant community species richness</w:t>
      </w:r>
      <w:r>
        <w:rPr>
          <w:rStyle w:val="15"/>
          <w:rFonts w:ascii="Times New Roman" w:hAnsi="Times New Roman" w:cs="Times New Roman"/>
          <w:bCs/>
          <w:szCs w:val="24"/>
        </w:rPr>
        <w:t xml:space="preserve"> (</w:t>
      </w:r>
      <w:r>
        <w:rPr>
          <w:rStyle w:val="15"/>
          <w:rFonts w:ascii="Times New Roman" w:hAnsi="Times New Roman" w:cs="Times New Roman"/>
          <w:bCs/>
          <w:i/>
          <w:szCs w:val="24"/>
        </w:rPr>
        <w:t xml:space="preserve">Species </w:t>
      </w:r>
      <w:r>
        <w:rPr>
          <w:rFonts w:eastAsia="DengXian" w:cs="Times New Roman"/>
          <w:i/>
          <w:szCs w:val="24"/>
        </w:rPr>
        <w:t>r</w:t>
      </w:r>
      <w:r>
        <w:rPr>
          <w:rStyle w:val="15"/>
          <w:rFonts w:ascii="Times New Roman" w:hAnsi="Times New Roman" w:cs="Times New Roman"/>
          <w:bCs/>
          <w:i/>
          <w:szCs w:val="24"/>
        </w:rPr>
        <w:t>ichness</w:t>
      </w:r>
      <w:r>
        <w:rPr>
          <w:rStyle w:val="15"/>
          <w:rFonts w:ascii="Times New Roman" w:hAnsi="Times New Roman" w:cs="Times New Roman"/>
          <w:bCs/>
          <w:szCs w:val="24"/>
        </w:rPr>
        <w:t>),</w:t>
      </w:r>
      <w:r>
        <w:rPr>
          <w:rFonts w:cs="Times New Roman"/>
          <w:iCs/>
          <w:szCs w:val="24"/>
        </w:rPr>
        <w:t xml:space="preserve"> </w:t>
      </w:r>
      <w:r>
        <w:rPr>
          <w:rStyle w:val="None"/>
          <w:rFonts w:eastAsia="Arial Unicode MS" w:cs="Times New Roman"/>
          <w:szCs w:val="24"/>
        </w:rPr>
        <w:t>Shannon diversity index</w:t>
      </w:r>
      <w:r>
        <w:rPr>
          <w:rFonts w:eastAsiaTheme="minorEastAsia" w:cs="Times New Roman"/>
          <w:szCs w:val="24"/>
        </w:rPr>
        <w:t xml:space="preserve"> (</w:t>
      </w:r>
      <w:r>
        <w:rPr>
          <w:rFonts w:eastAsia="DengXian" w:cs="Times New Roman"/>
          <w:i/>
          <w:szCs w:val="24"/>
        </w:rPr>
        <w:t>Shannon</w:t>
      </w:r>
      <w:r>
        <w:rPr>
          <w:rFonts w:eastAsiaTheme="minorEastAsia" w:cs="Times New Roman"/>
          <w:szCs w:val="24"/>
        </w:rPr>
        <w:t xml:space="preserve">), </w:t>
      </w:r>
      <w:r>
        <w:rPr>
          <w:rStyle w:val="None"/>
          <w:rFonts w:eastAsia="Arial Unicode MS" w:cs="Times New Roman"/>
          <w:szCs w:val="24"/>
        </w:rPr>
        <w:t>Simpson diversity index</w:t>
      </w:r>
      <w:r>
        <w:rPr>
          <w:rFonts w:eastAsiaTheme="minorEastAsia" w:cs="Times New Roman"/>
          <w:szCs w:val="24"/>
        </w:rPr>
        <w:t xml:space="preserve"> (</w:t>
      </w:r>
      <w:r>
        <w:rPr>
          <w:rFonts w:eastAsia="DengXian" w:cs="Times New Roman"/>
          <w:i/>
          <w:szCs w:val="24"/>
        </w:rPr>
        <w:t>S</w:t>
      </w:r>
      <w:r>
        <w:rPr>
          <w:rFonts w:eastAsiaTheme="minorEastAsia" w:cs="Times New Roman"/>
          <w:i/>
          <w:szCs w:val="24"/>
        </w:rPr>
        <w:t>impson</w:t>
      </w:r>
      <w:r>
        <w:rPr>
          <w:rFonts w:eastAsiaTheme="minorEastAsia" w:cs="Times New Roman"/>
          <w:szCs w:val="24"/>
        </w:rPr>
        <w:t>),</w:t>
      </w:r>
      <w:r>
        <w:rPr>
          <w:rFonts w:cs="Times New Roman"/>
          <w:szCs w:val="24"/>
        </w:rPr>
        <w:t xml:space="preserve"> aboveground biomass</w:t>
      </w:r>
      <w:r>
        <w:rPr>
          <w:rFonts w:eastAsiaTheme="minorEastAsia" w:cs="Times New Roman"/>
          <w:szCs w:val="24"/>
        </w:rPr>
        <w:t xml:space="preserve"> (</w:t>
      </w:r>
      <w:r>
        <w:rPr>
          <w:rFonts w:eastAsia="DengXian" w:cs="Times New Roman"/>
          <w:i/>
          <w:szCs w:val="24"/>
        </w:rPr>
        <w:t>Biomass</w:t>
      </w:r>
      <w:r>
        <w:rPr>
          <w:rFonts w:eastAsiaTheme="minorEastAsia" w:cs="Times New Roman"/>
          <w:szCs w:val="24"/>
        </w:rPr>
        <w:t xml:space="preserve">) </w:t>
      </w:r>
      <w:r>
        <w:rPr>
          <w:rFonts w:eastAsia="DengXian" w:cs="Times New Roman"/>
          <w:szCs w:val="24"/>
        </w:rPr>
        <w:t>and</w:t>
      </w:r>
      <w:r>
        <w:rPr>
          <w:rFonts w:eastAsiaTheme="minorEastAsia" w:cs="Times New Roman"/>
          <w:szCs w:val="24"/>
        </w:rPr>
        <w:t xml:space="preserve"> the first principal component of </w:t>
      </w:r>
      <w:r>
        <w:rPr>
          <w:rFonts w:cs="Times New Roman"/>
          <w:iCs/>
          <w:szCs w:val="24"/>
        </w:rPr>
        <w:t xml:space="preserve">grassland patches’ plots </w:t>
      </w:r>
      <w:r>
        <w:rPr>
          <w:rFonts w:eastAsiaTheme="minorEastAsia" w:cs="Times New Roman"/>
          <w:szCs w:val="24"/>
        </w:rPr>
        <w:t>soil variables (</w:t>
      </w:r>
      <w:r>
        <w:rPr>
          <w:rFonts w:eastAsia="DengXian" w:cs="Times New Roman"/>
          <w:szCs w:val="24"/>
        </w:rPr>
        <w:t>S</w:t>
      </w:r>
      <w:r>
        <w:rPr>
          <w:rFonts w:eastAsiaTheme="minorEastAsia" w:cs="Times New Roman"/>
          <w:szCs w:val="24"/>
        </w:rPr>
        <w:t>oil PC1)</w:t>
      </w:r>
      <w:r>
        <w:rPr>
          <w:rFonts w:eastAsia="DengXian" w:cs="Times New Roman"/>
          <w:szCs w:val="24"/>
        </w:rPr>
        <w:t>.</w:t>
      </w:r>
    </w:p>
    <w:p w14:paraId="763FF3A4" w14:textId="77777777" w:rsidR="00D56C02" w:rsidRDefault="00D56C02">
      <w:pPr>
        <w:widowControl/>
        <w:spacing w:line="480" w:lineRule="auto"/>
        <w:outlineLvl w:val="1"/>
        <w:rPr>
          <w:rFonts w:cs="Times New Roman"/>
          <w:szCs w:val="24"/>
        </w:rPr>
        <w:sectPr w:rsidR="00D56C02" w:rsidSect="00AE5B83">
          <w:type w:val="continuous"/>
          <w:pgSz w:w="11906" w:h="16838"/>
          <w:pgMar w:top="1440" w:right="1134" w:bottom="1440" w:left="1134" w:header="851" w:footer="992" w:gutter="0"/>
          <w:lnNumType w:countBy="1" w:restart="continuous"/>
          <w:cols w:space="425"/>
          <w:docGrid w:linePitch="326"/>
        </w:sectPr>
      </w:pPr>
    </w:p>
    <w:p w14:paraId="695DE067" w14:textId="5524EC27" w:rsidR="00D56C02" w:rsidRDefault="00000000" w:rsidP="003C6605">
      <w:pPr>
        <w:widowControl/>
        <w:spacing w:line="480" w:lineRule="auto"/>
        <w:jc w:val="center"/>
        <w:rPr>
          <w:rFonts w:cs="Times New Roman"/>
          <w:b/>
          <w:bCs/>
          <w:iCs/>
          <w:szCs w:val="24"/>
        </w:rPr>
        <w:sectPr w:rsidR="00D56C02" w:rsidSect="00AE5B83">
          <w:pgSz w:w="11906" w:h="16838"/>
          <w:pgMar w:top="1440" w:right="1134" w:bottom="1440" w:left="1134" w:header="851" w:footer="992" w:gutter="0"/>
          <w:lnNumType w:countBy="1" w:restart="continuous"/>
          <w:cols w:space="425"/>
          <w:docGrid w:linePitch="326"/>
        </w:sectPr>
      </w:pPr>
      <w:r>
        <w:rPr>
          <w:rFonts w:eastAsiaTheme="minorEastAsia" w:cs="Times New Roman"/>
          <w:b/>
          <w:bCs/>
          <w:noProof/>
          <w:szCs w:val="24"/>
        </w:rPr>
        <w:lastRenderedPageBreak/>
        <w:drawing>
          <wp:inline distT="0" distB="0" distL="0" distR="0" wp14:anchorId="3B7AA744" wp14:editId="6B6FB970">
            <wp:extent cx="3203575" cy="2051050"/>
            <wp:effectExtent l="0" t="0" r="0" b="6350"/>
            <wp:docPr id="1532737737" name="图片 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737737" name="图片 3" descr="图示&#10;&#10;描述已自动生成"/>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04000" cy="2051451"/>
                    </a:xfrm>
                    <a:prstGeom prst="rect">
                      <a:avLst/>
                    </a:prstGeom>
                  </pic:spPr>
                </pic:pic>
              </a:graphicData>
            </a:graphic>
          </wp:inline>
        </w:drawing>
      </w:r>
    </w:p>
    <w:p w14:paraId="5176C07C" w14:textId="77777777" w:rsidR="00D56C02" w:rsidRDefault="00000000">
      <w:pPr>
        <w:widowControl/>
        <w:spacing w:line="480" w:lineRule="auto"/>
        <w:jc w:val="left"/>
        <w:outlineLvl w:val="1"/>
        <w:rPr>
          <w:rStyle w:val="None"/>
          <w:rFonts w:cs="Times New Roman"/>
          <w:bCs/>
          <w:szCs w:val="24"/>
        </w:rPr>
      </w:pPr>
      <w:r>
        <w:rPr>
          <w:rFonts w:cs="Times New Roman"/>
          <w:b/>
          <w:bCs/>
          <w:color w:val="000000"/>
          <w:szCs w:val="24"/>
        </w:rPr>
        <w:t xml:space="preserve">Supplementary Fig. 5 </w:t>
      </w:r>
      <w:r>
        <w:rPr>
          <w:rStyle w:val="None"/>
          <w:rFonts w:cs="Times New Roman"/>
          <w:b/>
          <w:szCs w:val="24"/>
        </w:rPr>
        <w:t>|</w:t>
      </w:r>
      <w:r>
        <w:rPr>
          <w:rStyle w:val="None"/>
          <w:rFonts w:cs="Times New Roman"/>
          <w:b/>
          <w:bCs/>
          <w:szCs w:val="24"/>
        </w:rPr>
        <w:t xml:space="preserve"> A priori of the </w:t>
      </w:r>
      <w:r>
        <w:rPr>
          <w:rStyle w:val="15"/>
          <w:rFonts w:ascii="Times New Roman" w:hAnsi="Times New Roman" w:cs="Times New Roman"/>
          <w:b/>
          <w:szCs w:val="24"/>
        </w:rPr>
        <w:t xml:space="preserve">structural equation models </w:t>
      </w:r>
      <w:r>
        <w:rPr>
          <w:rFonts w:cs="Times New Roman"/>
          <w:b/>
          <w:szCs w:val="24"/>
        </w:rPr>
        <w:t>on</w:t>
      </w:r>
      <w:r>
        <w:rPr>
          <w:rStyle w:val="None"/>
          <w:rFonts w:cs="Times New Roman"/>
          <w:b/>
          <w:bCs/>
          <w:kern w:val="0"/>
          <w:szCs w:val="24"/>
        </w:rPr>
        <w:t xml:space="preserve"> </w:t>
      </w:r>
      <w:r>
        <w:rPr>
          <w:rStyle w:val="None"/>
          <w:rFonts w:cs="Times New Roman"/>
          <w:b/>
          <w:bCs/>
          <w:szCs w:val="24"/>
        </w:rPr>
        <w:t xml:space="preserve">log-transformed response ratio of herbaceous </w:t>
      </w:r>
      <w:r>
        <w:rPr>
          <w:rStyle w:val="None"/>
          <w:rFonts w:cs="Times New Roman"/>
          <w:b/>
          <w:kern w:val="0"/>
          <w:szCs w:val="24"/>
        </w:rPr>
        <w:t xml:space="preserve">community foliar fungal pathogen load </w:t>
      </w:r>
      <w:r>
        <w:rPr>
          <w:rStyle w:val="None"/>
          <w:rFonts w:cs="Times New Roman"/>
          <w:b/>
          <w:bCs/>
          <w:szCs w:val="24"/>
        </w:rPr>
        <w:t xml:space="preserve">between </w:t>
      </w:r>
      <w:r>
        <w:rPr>
          <w:rStyle w:val="None"/>
          <w:rFonts w:cs="Times New Roman"/>
          <w:b/>
          <w:kern w:val="0"/>
          <w:szCs w:val="24"/>
        </w:rPr>
        <w:t>shrub patches</w:t>
      </w:r>
      <w:r>
        <w:rPr>
          <w:rStyle w:val="None"/>
          <w:rFonts w:cs="Times New Roman"/>
          <w:b/>
          <w:bCs/>
          <w:szCs w:val="24"/>
        </w:rPr>
        <w:t xml:space="preserve"> and grassland patches’ plots </w:t>
      </w:r>
      <w:r>
        <w:rPr>
          <w:rStyle w:val="None"/>
          <w:rFonts w:cs="Times New Roman"/>
          <w:b/>
          <w:kern w:val="0"/>
          <w:szCs w:val="24"/>
        </w:rPr>
        <w:t>(i.e., LRR pathogen load)</w:t>
      </w:r>
      <w:r>
        <w:rPr>
          <w:rStyle w:val="None"/>
          <w:rFonts w:cs="Times New Roman"/>
          <w:b/>
          <w:bCs/>
          <w:szCs w:val="24"/>
        </w:rPr>
        <w:t>.</w:t>
      </w:r>
      <w:r>
        <w:rPr>
          <w:rStyle w:val="None"/>
          <w:rFonts w:cs="Times New Roman"/>
          <w:b/>
          <w:bCs/>
          <w:kern w:val="0"/>
          <w:szCs w:val="24"/>
        </w:rPr>
        <w:t xml:space="preserve"> </w:t>
      </w:r>
    </w:p>
    <w:p w14:paraId="53C3328E" w14:textId="77777777" w:rsidR="00D56C02" w:rsidRPr="003C6605" w:rsidRDefault="00D56C02">
      <w:pPr>
        <w:widowControl/>
        <w:spacing w:line="480" w:lineRule="auto"/>
        <w:jc w:val="center"/>
        <w:rPr>
          <w:rFonts w:eastAsiaTheme="minorEastAsia" w:cs="Times New Roman"/>
          <w:b/>
          <w:bCs/>
          <w:szCs w:val="24"/>
        </w:rPr>
        <w:sectPr w:rsidR="00D56C02" w:rsidRPr="003C6605" w:rsidSect="00AE5B83">
          <w:type w:val="continuous"/>
          <w:pgSz w:w="11906" w:h="16838"/>
          <w:pgMar w:top="1440" w:right="1134" w:bottom="1440" w:left="1134" w:header="851" w:footer="992" w:gutter="0"/>
          <w:lnNumType w:countBy="1" w:restart="continuous"/>
          <w:cols w:space="425"/>
          <w:docGrid w:linePitch="326"/>
        </w:sectPr>
      </w:pPr>
    </w:p>
    <w:p w14:paraId="398938BF" w14:textId="1F516E60" w:rsidR="00D56C02" w:rsidRDefault="0013158E" w:rsidP="003C6605">
      <w:pPr>
        <w:widowControl/>
        <w:spacing w:line="480" w:lineRule="auto"/>
        <w:jc w:val="center"/>
        <w:rPr>
          <w:rFonts w:cs="Times New Roman"/>
          <w:b/>
          <w:bCs/>
          <w:iCs/>
          <w:szCs w:val="24"/>
        </w:rPr>
        <w:sectPr w:rsidR="00D56C02" w:rsidSect="00AE5B83">
          <w:pgSz w:w="11906" w:h="16838"/>
          <w:pgMar w:top="1440" w:right="1134" w:bottom="1440" w:left="1134" w:header="851" w:footer="992" w:gutter="0"/>
          <w:lnNumType w:countBy="1" w:restart="continuous"/>
          <w:cols w:space="425"/>
          <w:docGrid w:linePitch="326"/>
        </w:sectPr>
      </w:pPr>
      <w:r>
        <w:rPr>
          <w:rFonts w:cs="Times New Roman"/>
          <w:bCs/>
          <w:noProof/>
          <w:szCs w:val="24"/>
          <w:lang w:bidi="ar"/>
        </w:rPr>
        <w:lastRenderedPageBreak/>
        <w:drawing>
          <wp:inline distT="0" distB="0" distL="0" distR="0" wp14:anchorId="0FF1F3FA" wp14:editId="1072363A">
            <wp:extent cx="4320000" cy="2089125"/>
            <wp:effectExtent l="0" t="0" r="4445" b="6985"/>
            <wp:docPr id="494153817" name="图片 6"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153817" name="图片 6" descr="图示&#10;&#10;描述已自动生成"/>
                    <pic:cNvPicPr/>
                  </pic:nvPicPr>
                  <pic:blipFill rotWithShape="1">
                    <a:blip r:embed="rId14" cstate="print">
                      <a:extLst>
                        <a:ext uri="{28A0092B-C50C-407E-A947-70E740481C1C}">
                          <a14:useLocalDpi xmlns:a14="http://schemas.microsoft.com/office/drawing/2010/main" val="0"/>
                        </a:ext>
                      </a:extLst>
                    </a:blip>
                    <a:srcRect t="4203" b="9832"/>
                    <a:stretch/>
                  </pic:blipFill>
                  <pic:spPr bwMode="auto">
                    <a:xfrm>
                      <a:off x="0" y="0"/>
                      <a:ext cx="4320000" cy="2089125"/>
                    </a:xfrm>
                    <a:prstGeom prst="rect">
                      <a:avLst/>
                    </a:prstGeom>
                    <a:ln>
                      <a:noFill/>
                    </a:ln>
                    <a:extLst>
                      <a:ext uri="{53640926-AAD7-44D8-BBD7-CCE9431645EC}">
                        <a14:shadowObscured xmlns:a14="http://schemas.microsoft.com/office/drawing/2010/main"/>
                      </a:ext>
                    </a:extLst>
                  </pic:spPr>
                </pic:pic>
              </a:graphicData>
            </a:graphic>
          </wp:inline>
        </w:drawing>
      </w:r>
    </w:p>
    <w:p w14:paraId="6052D7F8" w14:textId="77777777" w:rsidR="00D56C02" w:rsidRDefault="00000000">
      <w:pPr>
        <w:widowControl/>
        <w:spacing w:line="480" w:lineRule="auto"/>
        <w:jc w:val="left"/>
        <w:outlineLvl w:val="1"/>
        <w:rPr>
          <w:rFonts w:cs="Times New Roman"/>
          <w:bCs/>
          <w:szCs w:val="24"/>
          <w:lang w:bidi="ar"/>
        </w:rPr>
      </w:pPr>
      <w:r>
        <w:rPr>
          <w:rFonts w:cs="Times New Roman"/>
          <w:b/>
          <w:bCs/>
          <w:color w:val="000000"/>
          <w:szCs w:val="24"/>
        </w:rPr>
        <w:t xml:space="preserve">Supplementary Fig. 6 </w:t>
      </w:r>
      <w:r>
        <w:rPr>
          <w:rStyle w:val="None"/>
          <w:rFonts w:cs="Times New Roman"/>
          <w:b/>
          <w:szCs w:val="24"/>
        </w:rPr>
        <w:t>|</w:t>
      </w:r>
      <w:r>
        <w:rPr>
          <w:rStyle w:val="None"/>
          <w:rFonts w:cs="Times New Roman"/>
          <w:b/>
          <w:bCs/>
          <w:szCs w:val="24"/>
        </w:rPr>
        <w:t xml:space="preserve"> The effects of shrub and grassland treatments on </w:t>
      </w:r>
      <w:r>
        <w:rPr>
          <w:rStyle w:val="15"/>
          <w:rFonts w:ascii="Times New Roman" w:hAnsi="Times New Roman" w:cs="Times New Roman"/>
          <w:b/>
          <w:szCs w:val="24"/>
        </w:rPr>
        <w:t xml:space="preserve">a </w:t>
      </w:r>
      <w:r>
        <w:rPr>
          <w:rStyle w:val="15"/>
          <w:rFonts w:ascii="Times New Roman" w:hAnsi="Times New Roman" w:cs="Times New Roman"/>
          <w:bCs/>
          <w:szCs w:val="24"/>
        </w:rPr>
        <w:t xml:space="preserve">air temperature, </w:t>
      </w:r>
      <w:r>
        <w:rPr>
          <w:rStyle w:val="15"/>
          <w:rFonts w:ascii="Times New Roman" w:hAnsi="Times New Roman" w:cs="Times New Roman"/>
          <w:b/>
          <w:szCs w:val="24"/>
        </w:rPr>
        <w:t>b</w:t>
      </w:r>
      <w:r>
        <w:rPr>
          <w:rStyle w:val="15"/>
          <w:rFonts w:ascii="Times New Roman" w:hAnsi="Times New Roman" w:cs="Times New Roman"/>
          <w:bCs/>
          <w:szCs w:val="24"/>
        </w:rPr>
        <w:t xml:space="preserve"> air humidity.</w:t>
      </w:r>
      <w:r>
        <w:rPr>
          <w:rFonts w:cs="Times New Roman"/>
          <w:bCs/>
          <w:szCs w:val="24"/>
          <w:lang w:bidi="ar"/>
        </w:rPr>
        <w:t xml:space="preserve"> B</w:t>
      </w:r>
      <w:r>
        <w:rPr>
          <w:rFonts w:cs="Times New Roman"/>
          <w:szCs w:val="24"/>
        </w:rPr>
        <w:t>lue and orange data points represent the shrub and grassland treatment of original data.</w:t>
      </w:r>
    </w:p>
    <w:p w14:paraId="65343B1B" w14:textId="77777777" w:rsidR="00D56C02" w:rsidRDefault="00D56C02" w:rsidP="0013158E">
      <w:pPr>
        <w:widowControl/>
        <w:spacing w:line="480" w:lineRule="auto"/>
        <w:rPr>
          <w:rFonts w:cs="Times New Roman"/>
          <w:bCs/>
          <w:szCs w:val="24"/>
          <w:lang w:bidi="ar"/>
        </w:rPr>
        <w:sectPr w:rsidR="00D56C02" w:rsidSect="00AE5B83">
          <w:type w:val="continuous"/>
          <w:pgSz w:w="11906" w:h="16838"/>
          <w:pgMar w:top="1440" w:right="1134" w:bottom="1440" w:left="1134" w:header="851" w:footer="992" w:gutter="0"/>
          <w:lnNumType w:countBy="1" w:restart="continuous"/>
          <w:cols w:space="425"/>
          <w:docGrid w:linePitch="326"/>
        </w:sectPr>
      </w:pPr>
    </w:p>
    <w:p w14:paraId="136F5A83" w14:textId="1CBA086E" w:rsidR="0013158E" w:rsidRDefault="002655C4" w:rsidP="003C6605">
      <w:pPr>
        <w:widowControl/>
        <w:spacing w:line="480" w:lineRule="auto"/>
        <w:jc w:val="center"/>
        <w:rPr>
          <w:rFonts w:cs="Times New Roman"/>
          <w:b/>
          <w:bCs/>
          <w:iCs/>
          <w:szCs w:val="24"/>
        </w:rPr>
        <w:sectPr w:rsidR="0013158E" w:rsidSect="00AE5B83">
          <w:pgSz w:w="11906" w:h="16838"/>
          <w:pgMar w:top="1440" w:right="1134" w:bottom="1440" w:left="1134" w:header="851" w:footer="992" w:gutter="0"/>
          <w:lnNumType w:countBy="1" w:restart="continuous"/>
          <w:cols w:space="425"/>
          <w:docGrid w:linePitch="326"/>
        </w:sectPr>
      </w:pPr>
      <w:r>
        <w:rPr>
          <w:rFonts w:cs="Times New Roman"/>
          <w:b/>
          <w:bCs/>
          <w:iCs/>
          <w:noProof/>
          <w:szCs w:val="24"/>
        </w:rPr>
        <w:lastRenderedPageBreak/>
        <w:drawing>
          <wp:inline distT="0" distB="0" distL="0" distR="0" wp14:anchorId="6942B042" wp14:editId="27642165">
            <wp:extent cx="3204000" cy="3176491"/>
            <wp:effectExtent l="0" t="0" r="0" b="5080"/>
            <wp:docPr id="39269443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694436" name="图片 392694436"/>
                    <pic:cNvPicPr/>
                  </pic:nvPicPr>
                  <pic:blipFill rotWithShape="1">
                    <a:blip r:embed="rId15" cstate="print">
                      <a:extLst>
                        <a:ext uri="{28A0092B-C50C-407E-A947-70E740481C1C}">
                          <a14:useLocalDpi xmlns:a14="http://schemas.microsoft.com/office/drawing/2010/main" val="0"/>
                        </a:ext>
                      </a:extLst>
                    </a:blip>
                    <a:srcRect l="22783" r="20476"/>
                    <a:stretch/>
                  </pic:blipFill>
                  <pic:spPr bwMode="auto">
                    <a:xfrm>
                      <a:off x="0" y="0"/>
                      <a:ext cx="3204000" cy="3176491"/>
                    </a:xfrm>
                    <a:prstGeom prst="rect">
                      <a:avLst/>
                    </a:prstGeom>
                    <a:ln>
                      <a:noFill/>
                    </a:ln>
                    <a:extLst>
                      <a:ext uri="{53640926-AAD7-44D8-BBD7-CCE9431645EC}">
                        <a14:shadowObscured xmlns:a14="http://schemas.microsoft.com/office/drawing/2010/main"/>
                      </a:ext>
                    </a:extLst>
                  </pic:spPr>
                </pic:pic>
              </a:graphicData>
            </a:graphic>
          </wp:inline>
        </w:drawing>
      </w:r>
    </w:p>
    <w:p w14:paraId="31F00B90" w14:textId="77777777" w:rsidR="00D56C02" w:rsidRDefault="00000000">
      <w:pPr>
        <w:widowControl/>
        <w:spacing w:line="480" w:lineRule="auto"/>
        <w:jc w:val="left"/>
        <w:outlineLvl w:val="1"/>
        <w:rPr>
          <w:rFonts w:eastAsiaTheme="minorEastAsia" w:cs="Times New Roman"/>
          <w:b/>
          <w:bCs/>
          <w:szCs w:val="24"/>
        </w:rPr>
        <w:sectPr w:rsidR="00D56C02" w:rsidSect="00AE5B83">
          <w:type w:val="continuous"/>
          <w:pgSz w:w="11906" w:h="16838"/>
          <w:pgMar w:top="1440" w:right="1134" w:bottom="1440" w:left="1134" w:header="851" w:footer="992" w:gutter="0"/>
          <w:lnNumType w:countBy="1" w:restart="continuous"/>
          <w:cols w:space="425"/>
          <w:docGrid w:linePitch="326"/>
        </w:sectPr>
      </w:pPr>
      <w:r>
        <w:rPr>
          <w:rFonts w:cs="Times New Roman"/>
          <w:b/>
          <w:bCs/>
          <w:color w:val="000000"/>
          <w:szCs w:val="24"/>
        </w:rPr>
        <w:t xml:space="preserve">Supplementary Fig. 7 </w:t>
      </w:r>
      <w:r>
        <w:rPr>
          <w:rStyle w:val="None"/>
          <w:rFonts w:cs="Times New Roman"/>
          <w:b/>
          <w:szCs w:val="24"/>
        </w:rPr>
        <w:t>|</w:t>
      </w:r>
      <w:r>
        <w:rPr>
          <w:rStyle w:val="None"/>
          <w:rFonts w:cs="Times New Roman"/>
          <w:b/>
          <w:bCs/>
          <w:szCs w:val="24"/>
        </w:rPr>
        <w:t xml:space="preserve"> </w:t>
      </w:r>
      <w:r>
        <w:rPr>
          <w:rStyle w:val="15"/>
          <w:rFonts w:ascii="Times New Roman" w:hAnsi="Times New Roman" w:cs="Times New Roman"/>
          <w:b/>
          <w:szCs w:val="24"/>
        </w:rPr>
        <w:t>The linear mixed-effects models show the effects of</w:t>
      </w:r>
      <w:r>
        <w:rPr>
          <w:rStyle w:val="15"/>
          <w:rFonts w:ascii="Times New Roman" w:hAnsi="Times New Roman" w:cs="Times New Roman"/>
          <w:bCs/>
          <w:szCs w:val="24"/>
        </w:rPr>
        <w:t xml:space="preserve"> </w:t>
      </w:r>
      <w:r>
        <w:rPr>
          <w:rStyle w:val="15"/>
          <w:rFonts w:ascii="Times New Roman" w:hAnsi="Times New Roman" w:cs="Times New Roman"/>
          <w:b/>
          <w:szCs w:val="24"/>
        </w:rPr>
        <w:t xml:space="preserve">a, c </w:t>
      </w:r>
      <w:r>
        <w:rPr>
          <w:rStyle w:val="15"/>
          <w:rFonts w:ascii="Times New Roman" w:hAnsi="Times New Roman" w:cs="Times New Roman"/>
          <w:bCs/>
          <w:szCs w:val="24"/>
        </w:rPr>
        <w:t xml:space="preserve">mean annual temperature (MAT), </w:t>
      </w:r>
      <w:r>
        <w:rPr>
          <w:rStyle w:val="15"/>
          <w:rFonts w:ascii="Times New Roman" w:hAnsi="Times New Roman" w:cs="Times New Roman"/>
          <w:b/>
          <w:szCs w:val="24"/>
        </w:rPr>
        <w:t>b,</w:t>
      </w:r>
      <w:r>
        <w:rPr>
          <w:rStyle w:val="15"/>
          <w:rFonts w:ascii="Times New Roman" w:hAnsi="Times New Roman" w:cs="Times New Roman"/>
          <w:bCs/>
          <w:szCs w:val="24"/>
        </w:rPr>
        <w:t xml:space="preserve"> </w:t>
      </w:r>
      <w:r>
        <w:rPr>
          <w:rStyle w:val="15"/>
          <w:rFonts w:ascii="Times New Roman" w:hAnsi="Times New Roman" w:cs="Times New Roman"/>
          <w:b/>
          <w:szCs w:val="24"/>
        </w:rPr>
        <w:t>d</w:t>
      </w:r>
      <w:r>
        <w:rPr>
          <w:rStyle w:val="15"/>
          <w:rFonts w:ascii="Times New Roman" w:hAnsi="Times New Roman" w:cs="Times New Roman"/>
          <w:bCs/>
          <w:szCs w:val="24"/>
        </w:rPr>
        <w:t xml:space="preserve"> mean annual precipitation (MAP) </w:t>
      </w:r>
      <w:r>
        <w:rPr>
          <w:rFonts w:cs="Times New Roman"/>
          <w:szCs w:val="24"/>
        </w:rPr>
        <w:t xml:space="preserve">on </w:t>
      </w:r>
      <w:r>
        <w:rPr>
          <w:rFonts w:cs="Times New Roman"/>
          <w:kern w:val="0"/>
          <w:szCs w:val="24"/>
          <w:lang w:bidi="ar"/>
        </w:rPr>
        <w:t xml:space="preserve">log-transformed response ratio of </w:t>
      </w:r>
      <w:r>
        <w:rPr>
          <w:rFonts w:cs="Times New Roman"/>
          <w:bCs/>
          <w:szCs w:val="24"/>
          <w:lang w:bidi="ar"/>
        </w:rPr>
        <w:t xml:space="preserve">air humidity and air temperature </w:t>
      </w:r>
      <w:r>
        <w:rPr>
          <w:rFonts w:cs="Times New Roman"/>
          <w:kern w:val="0"/>
          <w:szCs w:val="24"/>
          <w:lang w:bidi="ar"/>
        </w:rPr>
        <w:t xml:space="preserve">between </w:t>
      </w:r>
      <w:r>
        <w:rPr>
          <w:rFonts w:cs="Times New Roman"/>
          <w:bCs/>
          <w:szCs w:val="24"/>
          <w:lang w:bidi="ar"/>
        </w:rPr>
        <w:t>shrub patches</w:t>
      </w:r>
      <w:r>
        <w:rPr>
          <w:rFonts w:cs="Times New Roman"/>
          <w:kern w:val="0"/>
          <w:szCs w:val="24"/>
          <w:lang w:bidi="ar"/>
        </w:rPr>
        <w:t xml:space="preserve"> and grassland patches’ plots </w:t>
      </w:r>
      <w:r>
        <w:rPr>
          <w:rFonts w:cs="Times New Roman"/>
          <w:bCs/>
          <w:szCs w:val="24"/>
          <w:lang w:bidi="ar"/>
        </w:rPr>
        <w:t>(i.e., LRR air humidity and LRR air temperature, respectively)</w:t>
      </w:r>
      <w:r>
        <w:rPr>
          <w:rFonts w:cs="Times New Roman"/>
          <w:szCs w:val="24"/>
        </w:rPr>
        <w:t>.</w:t>
      </w:r>
    </w:p>
    <w:p w14:paraId="3A487319" w14:textId="77777777" w:rsidR="00D56C02" w:rsidRDefault="00000000">
      <w:pPr>
        <w:widowControl/>
        <w:spacing w:line="480" w:lineRule="auto"/>
        <w:jc w:val="left"/>
        <w:outlineLvl w:val="1"/>
        <w:rPr>
          <w:rFonts w:cs="Times New Roman"/>
          <w:szCs w:val="24"/>
        </w:rPr>
      </w:pPr>
      <w:r>
        <w:rPr>
          <w:rFonts w:cs="Times New Roman"/>
          <w:b/>
          <w:bCs/>
          <w:color w:val="000000"/>
          <w:szCs w:val="24"/>
        </w:rPr>
        <w:lastRenderedPageBreak/>
        <w:t xml:space="preserve">Supplementary </w:t>
      </w:r>
      <w:r>
        <w:rPr>
          <w:rFonts w:cs="Times New Roman"/>
          <w:b/>
          <w:bCs/>
          <w:szCs w:val="24"/>
        </w:rPr>
        <w:t xml:space="preserve">Table 1 | The effect of abiotic and biotic factors on herbaceous plant community aboveground biomass, and </w:t>
      </w:r>
      <w:r>
        <w:rPr>
          <w:rFonts w:cs="Times New Roman"/>
          <w:b/>
          <w:bCs/>
          <w:szCs w:val="24"/>
          <w:lang w:bidi="ar"/>
        </w:rPr>
        <w:t>effect of shrubs on</w:t>
      </w:r>
      <w:r>
        <w:rPr>
          <w:rFonts w:cs="Times New Roman"/>
          <w:b/>
          <w:bCs/>
          <w:szCs w:val="24"/>
        </w:rPr>
        <w:t xml:space="preserve"> LRR herbaceous biomass and LRR pathogen load</w:t>
      </w:r>
      <w:r>
        <w:rPr>
          <w:rFonts w:cs="Times New Roman"/>
          <w:b/>
          <w:bCs/>
          <w:szCs w:val="24"/>
          <w:lang w:bidi="ar"/>
        </w:rPr>
        <w:t>.</w:t>
      </w:r>
      <w:r>
        <w:rPr>
          <w:rFonts w:cs="Times New Roman"/>
          <w:bCs/>
          <w:szCs w:val="24"/>
          <w:lang w:bidi="ar"/>
        </w:rPr>
        <w:t xml:space="preserve"> </w:t>
      </w:r>
      <w:r>
        <w:rPr>
          <w:rFonts w:cs="Times New Roman"/>
          <w:szCs w:val="24"/>
        </w:rPr>
        <w:t xml:space="preserve">Response variables include mean annual temperature (MAT), mean annual precipitation (MAP) and </w:t>
      </w:r>
      <w:r>
        <w:rPr>
          <w:rStyle w:val="None"/>
          <w:rFonts w:cs="Times New Roman"/>
          <w:kern w:val="0"/>
          <w:szCs w:val="24"/>
        </w:rPr>
        <w:t>LRR pathogen load</w:t>
      </w:r>
      <w:r>
        <w:rPr>
          <w:rStyle w:val="None"/>
          <w:rFonts w:cs="Times New Roman"/>
          <w:szCs w:val="24"/>
        </w:rPr>
        <w:t xml:space="preserve"> (i.e., log-transformed response ratio of</w:t>
      </w:r>
      <w:r>
        <w:rPr>
          <w:rStyle w:val="None"/>
          <w:rFonts w:cs="Times New Roman"/>
          <w:kern w:val="0"/>
          <w:szCs w:val="24"/>
        </w:rPr>
        <w:t xml:space="preserve"> </w:t>
      </w:r>
      <w:r>
        <w:rPr>
          <w:rFonts w:cs="Times New Roman"/>
          <w:bCs/>
          <w:szCs w:val="24"/>
          <w:lang w:bidi="ar"/>
        </w:rPr>
        <w:t>herbaceous community foliar fungal pathogen load</w:t>
      </w:r>
      <w:r>
        <w:rPr>
          <w:rFonts w:cs="Times New Roman"/>
          <w:szCs w:val="24"/>
        </w:rPr>
        <w:t xml:space="preserve"> </w:t>
      </w:r>
      <w:r>
        <w:rPr>
          <w:rStyle w:val="None"/>
          <w:rFonts w:cs="Times New Roman"/>
          <w:szCs w:val="24"/>
        </w:rPr>
        <w:t xml:space="preserve">between </w:t>
      </w:r>
      <w:r>
        <w:rPr>
          <w:rStyle w:val="None"/>
          <w:rFonts w:cs="Times New Roman"/>
          <w:kern w:val="0"/>
          <w:szCs w:val="24"/>
        </w:rPr>
        <w:t>shrub patches</w:t>
      </w:r>
      <w:r>
        <w:rPr>
          <w:rStyle w:val="None"/>
          <w:rFonts w:cs="Times New Roman"/>
          <w:szCs w:val="24"/>
        </w:rPr>
        <w:t xml:space="preserve"> and grassland patches’ plots</w:t>
      </w:r>
      <w:r>
        <w:rPr>
          <w:rStyle w:val="None"/>
          <w:rFonts w:cs="Times New Roman"/>
          <w:kern w:val="0"/>
          <w:szCs w:val="24"/>
        </w:rPr>
        <w:t xml:space="preserve">). </w:t>
      </w:r>
      <w:r>
        <w:rPr>
          <w:rStyle w:val="None"/>
          <w:rFonts w:cs="Times New Roman"/>
          <w:szCs w:val="24"/>
        </w:rPr>
        <w:t xml:space="preserve"> Predictor </w:t>
      </w:r>
      <w:r>
        <w:rPr>
          <w:rFonts w:cs="Times New Roman"/>
          <w:szCs w:val="24"/>
        </w:rPr>
        <w:t xml:space="preserve">variables include </w:t>
      </w:r>
      <w:r>
        <w:rPr>
          <w:rStyle w:val="None"/>
          <w:rFonts w:cs="Times New Roman"/>
          <w:kern w:val="0"/>
          <w:szCs w:val="24"/>
        </w:rPr>
        <w:t>LRR pathogen load</w:t>
      </w:r>
      <w:r>
        <w:rPr>
          <w:rFonts w:cs="Times New Roman"/>
          <w:bCs/>
          <w:szCs w:val="24"/>
          <w:lang w:bidi="ar"/>
        </w:rPr>
        <w:t xml:space="preserve"> and </w:t>
      </w:r>
      <w:r>
        <w:rPr>
          <w:rStyle w:val="None"/>
          <w:rFonts w:cs="Times New Roman"/>
          <w:kern w:val="0"/>
          <w:szCs w:val="24"/>
        </w:rPr>
        <w:t xml:space="preserve">LRR </w:t>
      </w:r>
      <w:r>
        <w:rPr>
          <w:rFonts w:cs="Times New Roman"/>
          <w:iCs/>
          <w:szCs w:val="24"/>
        </w:rPr>
        <w:t xml:space="preserve">herbaceous </w:t>
      </w:r>
      <w:r>
        <w:rPr>
          <w:rStyle w:val="None"/>
          <w:rFonts w:cs="Times New Roman"/>
          <w:kern w:val="0"/>
          <w:szCs w:val="24"/>
        </w:rPr>
        <w:t>biomass</w:t>
      </w:r>
      <w:r>
        <w:rPr>
          <w:rFonts w:cs="Times New Roman"/>
          <w:bCs/>
          <w:szCs w:val="24"/>
          <w:lang w:bidi="ar"/>
        </w:rPr>
        <w:t xml:space="preserve"> </w:t>
      </w:r>
      <w:r>
        <w:rPr>
          <w:rFonts w:cs="Times New Roman"/>
          <w:szCs w:val="24"/>
        </w:rPr>
        <w:t xml:space="preserve">(i.e., </w:t>
      </w:r>
      <w:r>
        <w:rPr>
          <w:rStyle w:val="None"/>
          <w:rFonts w:cs="Times New Roman"/>
          <w:szCs w:val="24"/>
        </w:rPr>
        <w:t xml:space="preserve">log-transformed response ratio of </w:t>
      </w:r>
      <w:r>
        <w:rPr>
          <w:rFonts w:cs="Times New Roman"/>
          <w:iCs/>
          <w:szCs w:val="24"/>
        </w:rPr>
        <w:t>herbaceous</w:t>
      </w:r>
      <w:r>
        <w:rPr>
          <w:rFonts w:cs="Times New Roman"/>
          <w:szCs w:val="24"/>
        </w:rPr>
        <w:t xml:space="preserve"> plant community aboveground biomass </w:t>
      </w:r>
      <w:r>
        <w:rPr>
          <w:rStyle w:val="None"/>
          <w:rFonts w:cs="Times New Roman"/>
          <w:szCs w:val="24"/>
        </w:rPr>
        <w:t xml:space="preserve">between </w:t>
      </w:r>
      <w:r>
        <w:rPr>
          <w:rStyle w:val="None"/>
          <w:rFonts w:cs="Times New Roman"/>
          <w:kern w:val="0"/>
          <w:szCs w:val="24"/>
        </w:rPr>
        <w:t>shrub patches</w:t>
      </w:r>
      <w:r>
        <w:rPr>
          <w:rStyle w:val="None"/>
          <w:rFonts w:cs="Times New Roman"/>
          <w:szCs w:val="24"/>
        </w:rPr>
        <w:t xml:space="preserve"> and grassland patches’ plots</w:t>
      </w:r>
      <w:r>
        <w:rPr>
          <w:rStyle w:val="None"/>
          <w:rFonts w:cs="Times New Roman"/>
          <w:kern w:val="0"/>
          <w:szCs w:val="24"/>
        </w:rPr>
        <w:t>).</w:t>
      </w:r>
      <w:r>
        <w:rPr>
          <w:rFonts w:cs="Times New Roman"/>
          <w:szCs w:val="24"/>
        </w:rPr>
        <w:t xml:space="preserve"> </w:t>
      </w:r>
      <w:r>
        <w:rPr>
          <w:rFonts w:eastAsiaTheme="minorEastAsia" w:cs="Times New Roman"/>
          <w:szCs w:val="24"/>
        </w:rPr>
        <w:t>Shown are the results of linear mixed-effects models with ‘site’ as a random effect. num</w:t>
      </w:r>
      <w:r>
        <w:rPr>
          <w:rFonts w:eastAsiaTheme="minorEastAsia" w:cs="Times New Roman"/>
          <w:i/>
          <w:iCs/>
          <w:szCs w:val="24"/>
        </w:rPr>
        <w:t>DF</w:t>
      </w:r>
      <w:r>
        <w:rPr>
          <w:rFonts w:eastAsiaTheme="minorEastAsia" w:cs="Times New Roman"/>
          <w:szCs w:val="24"/>
        </w:rPr>
        <w:t xml:space="preserve"> and den</w:t>
      </w:r>
      <w:r>
        <w:rPr>
          <w:rFonts w:eastAsiaTheme="minorEastAsia" w:cs="Times New Roman"/>
          <w:i/>
          <w:iCs/>
          <w:szCs w:val="24"/>
        </w:rPr>
        <w:t>DF</w:t>
      </w:r>
      <w:r>
        <w:rPr>
          <w:rFonts w:eastAsiaTheme="minorEastAsia" w:cs="Times New Roman"/>
          <w:szCs w:val="24"/>
        </w:rPr>
        <w:t xml:space="preserve"> denote the numerator and denominator degrees of freedom, the levels of significance for corresponding pathways (</w:t>
      </w:r>
      <w:r>
        <w:rPr>
          <w:rFonts w:eastAsiaTheme="minorEastAsia" w:cs="Times New Roman"/>
          <w:i/>
          <w:iCs/>
          <w:szCs w:val="24"/>
        </w:rPr>
        <w:t xml:space="preserve">P </w:t>
      </w:r>
      <w:r>
        <w:rPr>
          <w:rFonts w:eastAsiaTheme="minorEastAsia" w:cs="Times New Roman"/>
          <w:szCs w:val="24"/>
        </w:rPr>
        <w:t>value), respec</w:t>
      </w:r>
      <w:r>
        <w:rPr>
          <w:rFonts w:cs="Times New Roman"/>
          <w:szCs w:val="24"/>
        </w:rPr>
        <w:t>tively. Significant results (</w:t>
      </w:r>
      <w:r>
        <w:rPr>
          <w:rFonts w:cs="Times New Roman"/>
          <w:i/>
          <w:szCs w:val="24"/>
        </w:rPr>
        <w:t>P</w:t>
      </w:r>
      <w:r>
        <w:rPr>
          <w:rFonts w:cs="Times New Roman"/>
          <w:szCs w:val="24"/>
        </w:rPr>
        <w:t xml:space="preserve"> &lt; 0.05) are given in bold.</w:t>
      </w:r>
    </w:p>
    <w:tbl>
      <w:tblPr>
        <w:tblW w:w="10206" w:type="dxa"/>
        <w:jc w:val="center"/>
        <w:tblLayout w:type="fixed"/>
        <w:tblLook w:val="04A0" w:firstRow="1" w:lastRow="0" w:firstColumn="1" w:lastColumn="0" w:noHBand="0" w:noVBand="1"/>
      </w:tblPr>
      <w:tblGrid>
        <w:gridCol w:w="2881"/>
        <w:gridCol w:w="2222"/>
        <w:gridCol w:w="1134"/>
        <w:gridCol w:w="993"/>
        <w:gridCol w:w="1134"/>
        <w:gridCol w:w="1842"/>
      </w:tblGrid>
      <w:tr w:rsidR="00D56C02" w14:paraId="3B388062" w14:textId="77777777">
        <w:trPr>
          <w:trHeight w:val="341"/>
          <w:jc w:val="center"/>
        </w:trPr>
        <w:tc>
          <w:tcPr>
            <w:tcW w:w="2881" w:type="dxa"/>
            <w:tcBorders>
              <w:top w:val="single" w:sz="8" w:space="0" w:color="000000"/>
              <w:left w:val="nil"/>
              <w:bottom w:val="single" w:sz="8" w:space="0" w:color="000000"/>
              <w:right w:val="nil"/>
            </w:tcBorders>
            <w:shd w:val="clear" w:color="auto" w:fill="auto"/>
            <w:noWrap/>
            <w:vAlign w:val="center"/>
          </w:tcPr>
          <w:p w14:paraId="087464B8"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sz w:val="14"/>
                <w:szCs w:val="14"/>
                <w:shd w:val="clear" w:color="auto" w:fill="FFFFFF"/>
              </w:rPr>
              <w:t>Predictor</w:t>
            </w:r>
          </w:p>
        </w:tc>
        <w:tc>
          <w:tcPr>
            <w:tcW w:w="2222" w:type="dxa"/>
            <w:tcBorders>
              <w:top w:val="single" w:sz="8" w:space="0" w:color="000000"/>
              <w:left w:val="nil"/>
              <w:bottom w:val="single" w:sz="8" w:space="0" w:color="000000"/>
              <w:right w:val="nil"/>
            </w:tcBorders>
            <w:shd w:val="clear" w:color="auto" w:fill="auto"/>
            <w:noWrap/>
            <w:vAlign w:val="center"/>
          </w:tcPr>
          <w:p w14:paraId="7448AA20"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Response</w:t>
            </w:r>
          </w:p>
        </w:tc>
        <w:tc>
          <w:tcPr>
            <w:tcW w:w="1134" w:type="dxa"/>
            <w:tcBorders>
              <w:top w:val="single" w:sz="8" w:space="0" w:color="000000"/>
              <w:left w:val="nil"/>
              <w:bottom w:val="single" w:sz="8" w:space="0" w:color="000000"/>
              <w:right w:val="nil"/>
            </w:tcBorders>
            <w:shd w:val="clear" w:color="auto" w:fill="auto"/>
            <w:noWrap/>
            <w:vAlign w:val="center"/>
          </w:tcPr>
          <w:p w14:paraId="22B3922D"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num</w:t>
            </w:r>
            <w:r>
              <w:rPr>
                <w:rFonts w:ascii="Arial" w:hAnsi="Arial" w:cs="Arial"/>
                <w:b/>
                <w:bCs/>
                <w:i/>
                <w:iCs/>
                <w:kern w:val="0"/>
                <w:sz w:val="14"/>
                <w:szCs w:val="14"/>
              </w:rPr>
              <w:t>DF</w:t>
            </w:r>
          </w:p>
        </w:tc>
        <w:tc>
          <w:tcPr>
            <w:tcW w:w="993" w:type="dxa"/>
            <w:tcBorders>
              <w:top w:val="single" w:sz="8" w:space="0" w:color="000000"/>
              <w:left w:val="nil"/>
              <w:bottom w:val="single" w:sz="8" w:space="0" w:color="000000"/>
              <w:right w:val="nil"/>
            </w:tcBorders>
            <w:shd w:val="clear" w:color="auto" w:fill="auto"/>
            <w:noWrap/>
            <w:vAlign w:val="center"/>
          </w:tcPr>
          <w:p w14:paraId="5DFB8843"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den</w:t>
            </w:r>
            <w:r>
              <w:rPr>
                <w:rFonts w:ascii="Arial" w:hAnsi="Arial" w:cs="Arial"/>
                <w:b/>
                <w:bCs/>
                <w:i/>
                <w:iCs/>
                <w:kern w:val="0"/>
                <w:sz w:val="14"/>
                <w:szCs w:val="14"/>
              </w:rPr>
              <w:t>DF</w:t>
            </w:r>
          </w:p>
        </w:tc>
        <w:tc>
          <w:tcPr>
            <w:tcW w:w="1134" w:type="dxa"/>
            <w:tcBorders>
              <w:top w:val="single" w:sz="8" w:space="0" w:color="000000"/>
              <w:left w:val="nil"/>
              <w:bottom w:val="single" w:sz="8" w:space="0" w:color="000000"/>
              <w:right w:val="nil"/>
            </w:tcBorders>
            <w:shd w:val="clear" w:color="auto" w:fill="auto"/>
            <w:noWrap/>
            <w:vAlign w:val="center"/>
          </w:tcPr>
          <w:p w14:paraId="15A749DC" w14:textId="77777777" w:rsidR="00D56C02" w:rsidRDefault="00000000">
            <w:pPr>
              <w:widowControl/>
              <w:spacing w:line="480" w:lineRule="auto"/>
              <w:jc w:val="center"/>
              <w:rPr>
                <w:rFonts w:ascii="Arial" w:hAnsi="Arial" w:cs="Arial"/>
                <w:b/>
                <w:bCs/>
                <w:i/>
                <w:iCs/>
                <w:kern w:val="0"/>
                <w:sz w:val="14"/>
                <w:szCs w:val="14"/>
              </w:rPr>
            </w:pPr>
            <w:r>
              <w:rPr>
                <w:rFonts w:ascii="Arial" w:hAnsi="Arial" w:cs="Arial"/>
                <w:b/>
                <w:bCs/>
                <w:i/>
                <w:iCs/>
                <w:kern w:val="0"/>
                <w:sz w:val="14"/>
                <w:szCs w:val="14"/>
              </w:rPr>
              <w:t>F</w:t>
            </w:r>
          </w:p>
        </w:tc>
        <w:tc>
          <w:tcPr>
            <w:tcW w:w="1842" w:type="dxa"/>
            <w:tcBorders>
              <w:top w:val="single" w:sz="8" w:space="0" w:color="000000"/>
              <w:left w:val="nil"/>
              <w:bottom w:val="single" w:sz="8" w:space="0" w:color="000000"/>
              <w:right w:val="nil"/>
            </w:tcBorders>
            <w:shd w:val="clear" w:color="auto" w:fill="auto"/>
            <w:noWrap/>
            <w:vAlign w:val="center"/>
          </w:tcPr>
          <w:p w14:paraId="4DC93664" w14:textId="77777777" w:rsidR="00D56C02" w:rsidRDefault="00000000">
            <w:pPr>
              <w:widowControl/>
              <w:spacing w:line="480" w:lineRule="auto"/>
              <w:jc w:val="center"/>
              <w:rPr>
                <w:rFonts w:ascii="Arial" w:hAnsi="Arial" w:cs="Arial"/>
                <w:b/>
                <w:bCs/>
                <w:i/>
                <w:iCs/>
                <w:kern w:val="0"/>
                <w:sz w:val="14"/>
                <w:szCs w:val="14"/>
              </w:rPr>
            </w:pPr>
            <w:r>
              <w:rPr>
                <w:rFonts w:ascii="Arial" w:hAnsi="Arial" w:cs="Arial"/>
                <w:b/>
                <w:bCs/>
                <w:i/>
                <w:iCs/>
                <w:kern w:val="0"/>
                <w:sz w:val="14"/>
                <w:szCs w:val="14"/>
              </w:rPr>
              <w:t>P</w:t>
            </w:r>
          </w:p>
        </w:tc>
      </w:tr>
      <w:tr w:rsidR="00D56C02" w14:paraId="4BC86D50" w14:textId="77777777">
        <w:trPr>
          <w:trHeight w:val="284"/>
          <w:jc w:val="center"/>
        </w:trPr>
        <w:tc>
          <w:tcPr>
            <w:tcW w:w="2881" w:type="dxa"/>
            <w:tcBorders>
              <w:top w:val="single" w:sz="8" w:space="0" w:color="000000"/>
              <w:left w:val="nil"/>
              <w:bottom w:val="nil"/>
              <w:right w:val="nil"/>
            </w:tcBorders>
            <w:shd w:val="clear" w:color="auto" w:fill="auto"/>
            <w:noWrap/>
            <w:vAlign w:val="center"/>
          </w:tcPr>
          <w:p w14:paraId="01A1F238"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LRR pathogen load</w:t>
            </w:r>
          </w:p>
        </w:tc>
        <w:tc>
          <w:tcPr>
            <w:tcW w:w="2222" w:type="dxa"/>
            <w:tcBorders>
              <w:top w:val="single" w:sz="8" w:space="0" w:color="000000"/>
              <w:left w:val="nil"/>
              <w:bottom w:val="nil"/>
              <w:right w:val="nil"/>
            </w:tcBorders>
            <w:shd w:val="clear" w:color="auto" w:fill="auto"/>
            <w:noWrap/>
            <w:vAlign w:val="center"/>
          </w:tcPr>
          <w:p w14:paraId="3CD5EDD0"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MAT</w:t>
            </w:r>
          </w:p>
        </w:tc>
        <w:tc>
          <w:tcPr>
            <w:tcW w:w="1134" w:type="dxa"/>
            <w:tcBorders>
              <w:top w:val="single" w:sz="8" w:space="0" w:color="000000"/>
              <w:left w:val="nil"/>
              <w:bottom w:val="nil"/>
              <w:right w:val="nil"/>
            </w:tcBorders>
            <w:shd w:val="clear" w:color="auto" w:fill="auto"/>
            <w:noWrap/>
            <w:vAlign w:val="center"/>
          </w:tcPr>
          <w:p w14:paraId="7611297D"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1</w:t>
            </w:r>
          </w:p>
        </w:tc>
        <w:tc>
          <w:tcPr>
            <w:tcW w:w="993" w:type="dxa"/>
            <w:tcBorders>
              <w:top w:val="single" w:sz="8" w:space="0" w:color="000000"/>
              <w:left w:val="nil"/>
              <w:bottom w:val="nil"/>
              <w:right w:val="nil"/>
            </w:tcBorders>
            <w:shd w:val="clear" w:color="auto" w:fill="auto"/>
            <w:noWrap/>
            <w:vAlign w:val="center"/>
          </w:tcPr>
          <w:p w14:paraId="0B719F6B"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240</w:t>
            </w:r>
          </w:p>
        </w:tc>
        <w:tc>
          <w:tcPr>
            <w:tcW w:w="1134" w:type="dxa"/>
            <w:tcBorders>
              <w:top w:val="single" w:sz="8" w:space="0" w:color="000000"/>
              <w:left w:val="nil"/>
              <w:bottom w:val="nil"/>
              <w:right w:val="nil"/>
            </w:tcBorders>
            <w:shd w:val="clear" w:color="auto" w:fill="auto"/>
            <w:noWrap/>
            <w:vAlign w:val="center"/>
          </w:tcPr>
          <w:p w14:paraId="20FD7ADA"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8.960</w:t>
            </w:r>
          </w:p>
        </w:tc>
        <w:tc>
          <w:tcPr>
            <w:tcW w:w="1842" w:type="dxa"/>
            <w:tcBorders>
              <w:top w:val="single" w:sz="8" w:space="0" w:color="000000"/>
              <w:left w:val="nil"/>
              <w:bottom w:val="nil"/>
              <w:right w:val="nil"/>
            </w:tcBorders>
            <w:shd w:val="clear" w:color="auto" w:fill="auto"/>
            <w:noWrap/>
            <w:vAlign w:val="center"/>
          </w:tcPr>
          <w:p w14:paraId="375ED2C4"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0.003</w:t>
            </w:r>
          </w:p>
        </w:tc>
      </w:tr>
      <w:tr w:rsidR="00D56C02" w14:paraId="392A0F04" w14:textId="77777777">
        <w:trPr>
          <w:trHeight w:val="284"/>
          <w:jc w:val="center"/>
        </w:trPr>
        <w:tc>
          <w:tcPr>
            <w:tcW w:w="2881" w:type="dxa"/>
            <w:tcBorders>
              <w:top w:val="nil"/>
              <w:left w:val="nil"/>
              <w:bottom w:val="nil"/>
              <w:right w:val="nil"/>
            </w:tcBorders>
            <w:shd w:val="clear" w:color="auto" w:fill="auto"/>
            <w:noWrap/>
            <w:vAlign w:val="center"/>
          </w:tcPr>
          <w:p w14:paraId="6316742C"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LRR pathogen load</w:t>
            </w:r>
          </w:p>
        </w:tc>
        <w:tc>
          <w:tcPr>
            <w:tcW w:w="2222" w:type="dxa"/>
            <w:tcBorders>
              <w:top w:val="nil"/>
              <w:left w:val="nil"/>
              <w:bottom w:val="nil"/>
              <w:right w:val="nil"/>
            </w:tcBorders>
            <w:shd w:val="clear" w:color="auto" w:fill="auto"/>
            <w:noWrap/>
            <w:vAlign w:val="center"/>
          </w:tcPr>
          <w:p w14:paraId="6F739B37"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MAP</w:t>
            </w:r>
          </w:p>
        </w:tc>
        <w:tc>
          <w:tcPr>
            <w:tcW w:w="1134" w:type="dxa"/>
            <w:tcBorders>
              <w:top w:val="nil"/>
              <w:left w:val="nil"/>
              <w:bottom w:val="nil"/>
              <w:right w:val="nil"/>
            </w:tcBorders>
            <w:shd w:val="clear" w:color="auto" w:fill="auto"/>
            <w:noWrap/>
            <w:vAlign w:val="center"/>
          </w:tcPr>
          <w:p w14:paraId="41168803"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1</w:t>
            </w:r>
          </w:p>
        </w:tc>
        <w:tc>
          <w:tcPr>
            <w:tcW w:w="993" w:type="dxa"/>
            <w:tcBorders>
              <w:top w:val="nil"/>
              <w:left w:val="nil"/>
              <w:bottom w:val="nil"/>
              <w:right w:val="nil"/>
            </w:tcBorders>
            <w:shd w:val="clear" w:color="auto" w:fill="auto"/>
            <w:noWrap/>
            <w:vAlign w:val="center"/>
          </w:tcPr>
          <w:p w14:paraId="186CBED2"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240</w:t>
            </w:r>
          </w:p>
        </w:tc>
        <w:tc>
          <w:tcPr>
            <w:tcW w:w="1134" w:type="dxa"/>
            <w:tcBorders>
              <w:top w:val="nil"/>
              <w:left w:val="nil"/>
              <w:bottom w:val="nil"/>
              <w:right w:val="nil"/>
            </w:tcBorders>
            <w:shd w:val="clear" w:color="auto" w:fill="auto"/>
            <w:noWrap/>
            <w:vAlign w:val="center"/>
          </w:tcPr>
          <w:p w14:paraId="1EE14F10"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2.316</w:t>
            </w:r>
          </w:p>
        </w:tc>
        <w:tc>
          <w:tcPr>
            <w:tcW w:w="1842" w:type="dxa"/>
            <w:tcBorders>
              <w:top w:val="nil"/>
              <w:left w:val="nil"/>
              <w:bottom w:val="nil"/>
              <w:right w:val="nil"/>
            </w:tcBorders>
            <w:shd w:val="clear" w:color="auto" w:fill="auto"/>
            <w:noWrap/>
            <w:vAlign w:val="center"/>
          </w:tcPr>
          <w:p w14:paraId="44A2EB4F"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0.132</w:t>
            </w:r>
          </w:p>
        </w:tc>
      </w:tr>
      <w:tr w:rsidR="00D56C02" w14:paraId="56C14F43" w14:textId="77777777">
        <w:trPr>
          <w:trHeight w:val="284"/>
          <w:jc w:val="center"/>
        </w:trPr>
        <w:tc>
          <w:tcPr>
            <w:tcW w:w="2881" w:type="dxa"/>
            <w:tcBorders>
              <w:top w:val="nil"/>
              <w:left w:val="nil"/>
              <w:bottom w:val="nil"/>
              <w:right w:val="nil"/>
            </w:tcBorders>
            <w:shd w:val="clear" w:color="auto" w:fill="auto"/>
            <w:noWrap/>
            <w:vAlign w:val="center"/>
          </w:tcPr>
          <w:p w14:paraId="1D8ED3B6"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LRR herbaceous biomass</w:t>
            </w:r>
          </w:p>
        </w:tc>
        <w:tc>
          <w:tcPr>
            <w:tcW w:w="2222" w:type="dxa"/>
            <w:tcBorders>
              <w:top w:val="nil"/>
              <w:left w:val="nil"/>
              <w:bottom w:val="nil"/>
              <w:right w:val="nil"/>
            </w:tcBorders>
            <w:shd w:val="clear" w:color="auto" w:fill="auto"/>
            <w:noWrap/>
            <w:vAlign w:val="center"/>
          </w:tcPr>
          <w:p w14:paraId="0B5CBCFF"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MAT</w:t>
            </w:r>
          </w:p>
        </w:tc>
        <w:tc>
          <w:tcPr>
            <w:tcW w:w="1134" w:type="dxa"/>
            <w:tcBorders>
              <w:top w:val="nil"/>
              <w:left w:val="nil"/>
              <w:bottom w:val="nil"/>
              <w:right w:val="nil"/>
            </w:tcBorders>
            <w:shd w:val="clear" w:color="auto" w:fill="auto"/>
            <w:noWrap/>
            <w:vAlign w:val="center"/>
          </w:tcPr>
          <w:p w14:paraId="7FCB27DF"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1</w:t>
            </w:r>
          </w:p>
        </w:tc>
        <w:tc>
          <w:tcPr>
            <w:tcW w:w="993" w:type="dxa"/>
            <w:tcBorders>
              <w:top w:val="nil"/>
              <w:left w:val="nil"/>
              <w:bottom w:val="nil"/>
              <w:right w:val="nil"/>
            </w:tcBorders>
            <w:shd w:val="clear" w:color="auto" w:fill="auto"/>
            <w:noWrap/>
            <w:vAlign w:val="center"/>
          </w:tcPr>
          <w:p w14:paraId="2FC5A0C8"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240</w:t>
            </w:r>
          </w:p>
        </w:tc>
        <w:tc>
          <w:tcPr>
            <w:tcW w:w="1134" w:type="dxa"/>
            <w:tcBorders>
              <w:top w:val="nil"/>
              <w:left w:val="nil"/>
              <w:bottom w:val="nil"/>
              <w:right w:val="nil"/>
            </w:tcBorders>
            <w:shd w:val="clear" w:color="auto" w:fill="auto"/>
            <w:noWrap/>
            <w:vAlign w:val="center"/>
          </w:tcPr>
          <w:p w14:paraId="4BB5DB6B"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14.644</w:t>
            </w:r>
          </w:p>
        </w:tc>
        <w:tc>
          <w:tcPr>
            <w:tcW w:w="1842" w:type="dxa"/>
            <w:tcBorders>
              <w:top w:val="nil"/>
              <w:left w:val="nil"/>
              <w:bottom w:val="nil"/>
              <w:right w:val="nil"/>
            </w:tcBorders>
            <w:shd w:val="clear" w:color="auto" w:fill="auto"/>
            <w:noWrap/>
          </w:tcPr>
          <w:p w14:paraId="1AAF6BA5"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&lt;0.001</w:t>
            </w:r>
          </w:p>
        </w:tc>
      </w:tr>
      <w:tr w:rsidR="00D56C02" w14:paraId="1B342DE1" w14:textId="77777777">
        <w:trPr>
          <w:trHeight w:val="284"/>
          <w:jc w:val="center"/>
        </w:trPr>
        <w:tc>
          <w:tcPr>
            <w:tcW w:w="2881" w:type="dxa"/>
            <w:tcBorders>
              <w:top w:val="nil"/>
              <w:left w:val="nil"/>
              <w:right w:val="nil"/>
            </w:tcBorders>
            <w:shd w:val="clear" w:color="auto" w:fill="auto"/>
            <w:noWrap/>
          </w:tcPr>
          <w:p w14:paraId="510AB1A1"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LRR herbaceous biomass</w:t>
            </w:r>
          </w:p>
        </w:tc>
        <w:tc>
          <w:tcPr>
            <w:tcW w:w="2222" w:type="dxa"/>
            <w:tcBorders>
              <w:top w:val="nil"/>
              <w:left w:val="nil"/>
              <w:right w:val="nil"/>
            </w:tcBorders>
            <w:shd w:val="clear" w:color="auto" w:fill="auto"/>
            <w:noWrap/>
            <w:vAlign w:val="center"/>
          </w:tcPr>
          <w:p w14:paraId="224D43BC"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MAP</w:t>
            </w:r>
          </w:p>
        </w:tc>
        <w:tc>
          <w:tcPr>
            <w:tcW w:w="1134" w:type="dxa"/>
            <w:tcBorders>
              <w:top w:val="nil"/>
              <w:left w:val="nil"/>
              <w:right w:val="nil"/>
            </w:tcBorders>
            <w:shd w:val="clear" w:color="auto" w:fill="auto"/>
            <w:noWrap/>
            <w:vAlign w:val="center"/>
          </w:tcPr>
          <w:p w14:paraId="092C3966"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1</w:t>
            </w:r>
          </w:p>
        </w:tc>
        <w:tc>
          <w:tcPr>
            <w:tcW w:w="993" w:type="dxa"/>
            <w:tcBorders>
              <w:top w:val="nil"/>
              <w:left w:val="nil"/>
              <w:right w:val="nil"/>
            </w:tcBorders>
            <w:shd w:val="clear" w:color="auto" w:fill="auto"/>
            <w:noWrap/>
            <w:vAlign w:val="center"/>
          </w:tcPr>
          <w:p w14:paraId="00A2B714"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240</w:t>
            </w:r>
          </w:p>
        </w:tc>
        <w:tc>
          <w:tcPr>
            <w:tcW w:w="1134" w:type="dxa"/>
            <w:tcBorders>
              <w:top w:val="nil"/>
              <w:left w:val="nil"/>
              <w:right w:val="nil"/>
            </w:tcBorders>
            <w:shd w:val="clear" w:color="auto" w:fill="auto"/>
            <w:noWrap/>
            <w:vAlign w:val="center"/>
          </w:tcPr>
          <w:p w14:paraId="7D563681"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10.722</w:t>
            </w:r>
          </w:p>
        </w:tc>
        <w:tc>
          <w:tcPr>
            <w:tcW w:w="1842" w:type="dxa"/>
            <w:tcBorders>
              <w:top w:val="nil"/>
              <w:left w:val="nil"/>
              <w:right w:val="nil"/>
            </w:tcBorders>
            <w:shd w:val="clear" w:color="auto" w:fill="auto"/>
            <w:noWrap/>
            <w:vAlign w:val="center"/>
          </w:tcPr>
          <w:p w14:paraId="6F75F490" w14:textId="77777777" w:rsidR="00D56C02" w:rsidRDefault="00000000">
            <w:pPr>
              <w:widowControl/>
              <w:spacing w:line="480" w:lineRule="auto"/>
              <w:jc w:val="center"/>
              <w:rPr>
                <w:rFonts w:ascii="Arial" w:hAnsi="Arial" w:cs="Arial"/>
                <w:kern w:val="0"/>
                <w:sz w:val="14"/>
                <w:szCs w:val="14"/>
              </w:rPr>
            </w:pPr>
            <w:r>
              <w:rPr>
                <w:rFonts w:ascii="Arial" w:hAnsi="Arial" w:cs="Arial"/>
                <w:sz w:val="14"/>
                <w:szCs w:val="14"/>
              </w:rPr>
              <w:t>0.001</w:t>
            </w:r>
          </w:p>
        </w:tc>
      </w:tr>
      <w:tr w:rsidR="00D56C02" w14:paraId="710C614E" w14:textId="77777777">
        <w:trPr>
          <w:trHeight w:val="284"/>
          <w:jc w:val="center"/>
        </w:trPr>
        <w:tc>
          <w:tcPr>
            <w:tcW w:w="2881" w:type="dxa"/>
            <w:tcBorders>
              <w:top w:val="nil"/>
              <w:left w:val="nil"/>
              <w:bottom w:val="single" w:sz="8" w:space="0" w:color="000000"/>
              <w:right w:val="nil"/>
            </w:tcBorders>
            <w:shd w:val="clear" w:color="auto" w:fill="auto"/>
            <w:noWrap/>
          </w:tcPr>
          <w:p w14:paraId="3BD0C411" w14:textId="77777777" w:rsidR="00D56C02" w:rsidRDefault="00000000">
            <w:pPr>
              <w:widowControl/>
              <w:spacing w:line="480" w:lineRule="auto"/>
              <w:jc w:val="left"/>
              <w:rPr>
                <w:rFonts w:ascii="Arial" w:hAnsi="Arial" w:cs="Arial"/>
                <w:kern w:val="0"/>
                <w:sz w:val="14"/>
                <w:szCs w:val="14"/>
                <w:lang w:bidi="ar"/>
              </w:rPr>
            </w:pPr>
            <w:r>
              <w:rPr>
                <w:rFonts w:ascii="Arial" w:hAnsi="Arial" w:cs="Arial"/>
                <w:kern w:val="0"/>
                <w:sz w:val="14"/>
                <w:szCs w:val="14"/>
              </w:rPr>
              <w:t>LRR herbaceous biomass</w:t>
            </w:r>
          </w:p>
        </w:tc>
        <w:tc>
          <w:tcPr>
            <w:tcW w:w="2222" w:type="dxa"/>
            <w:tcBorders>
              <w:top w:val="nil"/>
              <w:left w:val="nil"/>
              <w:bottom w:val="single" w:sz="8" w:space="0" w:color="000000"/>
              <w:right w:val="nil"/>
            </w:tcBorders>
            <w:shd w:val="clear" w:color="auto" w:fill="auto"/>
            <w:noWrap/>
            <w:vAlign w:val="center"/>
          </w:tcPr>
          <w:p w14:paraId="52FE83E9"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 xml:space="preserve">LRR pathogen load </w:t>
            </w:r>
          </w:p>
        </w:tc>
        <w:tc>
          <w:tcPr>
            <w:tcW w:w="1134" w:type="dxa"/>
            <w:tcBorders>
              <w:top w:val="nil"/>
              <w:left w:val="nil"/>
              <w:bottom w:val="single" w:sz="8" w:space="0" w:color="000000"/>
              <w:right w:val="nil"/>
            </w:tcBorders>
            <w:shd w:val="clear" w:color="auto" w:fill="auto"/>
            <w:noWrap/>
            <w:vAlign w:val="center"/>
          </w:tcPr>
          <w:p w14:paraId="09176348"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1</w:t>
            </w:r>
          </w:p>
        </w:tc>
        <w:tc>
          <w:tcPr>
            <w:tcW w:w="993" w:type="dxa"/>
            <w:tcBorders>
              <w:top w:val="nil"/>
              <w:left w:val="nil"/>
              <w:bottom w:val="single" w:sz="8" w:space="0" w:color="000000"/>
              <w:right w:val="nil"/>
            </w:tcBorders>
            <w:shd w:val="clear" w:color="auto" w:fill="auto"/>
            <w:noWrap/>
            <w:vAlign w:val="center"/>
          </w:tcPr>
          <w:p w14:paraId="61486844"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239</w:t>
            </w:r>
          </w:p>
        </w:tc>
        <w:tc>
          <w:tcPr>
            <w:tcW w:w="1134" w:type="dxa"/>
            <w:tcBorders>
              <w:top w:val="nil"/>
              <w:left w:val="nil"/>
              <w:bottom w:val="single" w:sz="8" w:space="0" w:color="000000"/>
              <w:right w:val="nil"/>
            </w:tcBorders>
            <w:shd w:val="clear" w:color="auto" w:fill="auto"/>
            <w:noWrap/>
            <w:vAlign w:val="center"/>
          </w:tcPr>
          <w:p w14:paraId="31D4F1DD"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21.828</w:t>
            </w:r>
          </w:p>
        </w:tc>
        <w:tc>
          <w:tcPr>
            <w:tcW w:w="1842" w:type="dxa"/>
            <w:tcBorders>
              <w:top w:val="nil"/>
              <w:left w:val="nil"/>
              <w:bottom w:val="single" w:sz="8" w:space="0" w:color="000000"/>
              <w:right w:val="nil"/>
            </w:tcBorders>
            <w:shd w:val="clear" w:color="auto" w:fill="auto"/>
            <w:noWrap/>
          </w:tcPr>
          <w:p w14:paraId="514F7A1C"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&lt;0.001</w:t>
            </w:r>
          </w:p>
        </w:tc>
      </w:tr>
    </w:tbl>
    <w:p w14:paraId="6149C791" w14:textId="77777777" w:rsidR="00D56C02" w:rsidRDefault="00000000">
      <w:pPr>
        <w:widowControl/>
        <w:spacing w:line="480" w:lineRule="auto"/>
        <w:jc w:val="left"/>
        <w:rPr>
          <w:rFonts w:eastAsiaTheme="minorEastAsia" w:cs="Times New Roman"/>
          <w:b/>
          <w:bCs/>
          <w:szCs w:val="24"/>
        </w:rPr>
      </w:pPr>
      <w:r>
        <w:rPr>
          <w:rFonts w:eastAsiaTheme="minorEastAsia" w:cs="Times New Roman"/>
          <w:b/>
          <w:bCs/>
          <w:szCs w:val="24"/>
        </w:rPr>
        <w:br w:type="page"/>
      </w:r>
    </w:p>
    <w:p w14:paraId="6679F252" w14:textId="77777777" w:rsidR="00D56C02" w:rsidRDefault="00000000">
      <w:pPr>
        <w:widowControl/>
        <w:spacing w:line="480" w:lineRule="auto"/>
        <w:jc w:val="left"/>
        <w:outlineLvl w:val="1"/>
        <w:rPr>
          <w:rStyle w:val="None"/>
          <w:rFonts w:cs="Times New Roman"/>
          <w:b/>
          <w:kern w:val="0"/>
          <w:szCs w:val="24"/>
        </w:rPr>
      </w:pPr>
      <w:r>
        <w:rPr>
          <w:rFonts w:cs="Times New Roman"/>
          <w:b/>
          <w:bCs/>
          <w:color w:val="000000"/>
          <w:szCs w:val="24"/>
        </w:rPr>
        <w:lastRenderedPageBreak/>
        <w:t>Supplementary</w:t>
      </w:r>
      <w:r>
        <w:rPr>
          <w:rFonts w:eastAsiaTheme="minorEastAsia" w:cs="Times New Roman"/>
          <w:b/>
          <w:bCs/>
          <w:szCs w:val="24"/>
        </w:rPr>
        <w:t xml:space="preserve"> </w:t>
      </w:r>
      <w:r>
        <w:rPr>
          <w:rStyle w:val="None"/>
          <w:rFonts w:cs="Times New Roman"/>
          <w:b/>
          <w:kern w:val="0"/>
          <w:szCs w:val="24"/>
        </w:rPr>
        <w:t>Table 2</w:t>
      </w:r>
      <w:r>
        <w:rPr>
          <w:rFonts w:cs="Times New Roman"/>
          <w:b/>
          <w:bCs/>
          <w:szCs w:val="24"/>
        </w:rPr>
        <w:t xml:space="preserve"> | </w:t>
      </w:r>
      <w:r>
        <w:rPr>
          <w:rFonts w:eastAsiaTheme="minorEastAsia" w:cs="Times New Roman"/>
          <w:b/>
          <w:bCs/>
          <w:szCs w:val="24"/>
        </w:rPr>
        <w:t>Results of parameter estimation by using Bayesian mixed-effects models.</w:t>
      </w:r>
      <w:r>
        <w:rPr>
          <w:rFonts w:eastAsiaTheme="minorEastAsia" w:cs="Times New Roman"/>
          <w:szCs w:val="24"/>
        </w:rPr>
        <w:t xml:space="preserve"> The effects of mean annual temperature (MAT), mean annual </w:t>
      </w:r>
      <w:r>
        <w:rPr>
          <w:rFonts w:cs="Times New Roman"/>
          <w:szCs w:val="24"/>
        </w:rPr>
        <w:t xml:space="preserve">precipitation </w:t>
      </w:r>
      <w:r>
        <w:rPr>
          <w:rFonts w:eastAsiaTheme="minorEastAsia" w:cs="Times New Roman"/>
          <w:szCs w:val="24"/>
        </w:rPr>
        <w:t>(MAP),</w:t>
      </w:r>
      <w:r>
        <w:rPr>
          <w:rFonts w:cs="Times New Roman"/>
          <w:kern w:val="0"/>
          <w:szCs w:val="24"/>
        </w:rPr>
        <w:t xml:space="preserve"> grassland</w:t>
      </w:r>
      <w:r>
        <w:rPr>
          <w:rStyle w:val="None"/>
          <w:rFonts w:cs="Times New Roman"/>
          <w:szCs w:val="24"/>
        </w:rPr>
        <w:t xml:space="preserve"> patches’ plots</w:t>
      </w:r>
      <w:r>
        <w:rPr>
          <w:rFonts w:eastAsiaTheme="minorEastAsia" w:cs="Times New Roman"/>
          <w:szCs w:val="24"/>
        </w:rPr>
        <w:t xml:space="preserve"> </w:t>
      </w:r>
      <w:r>
        <w:rPr>
          <w:rFonts w:cs="Times New Roman"/>
          <w:iCs/>
          <w:szCs w:val="24"/>
        </w:rPr>
        <w:t>herbaceous plant community species richness</w:t>
      </w:r>
      <w:r>
        <w:rPr>
          <w:rFonts w:eastAsiaTheme="minorEastAsia" w:cs="Times New Roman"/>
          <w:szCs w:val="24"/>
        </w:rPr>
        <w:t xml:space="preserve"> (</w:t>
      </w:r>
      <w:r>
        <w:rPr>
          <w:rFonts w:eastAsiaTheme="minorEastAsia" w:cs="Times New Roman"/>
          <w:i/>
          <w:iCs/>
          <w:szCs w:val="24"/>
        </w:rPr>
        <w:t xml:space="preserve">Species </w:t>
      </w:r>
      <w:r>
        <w:rPr>
          <w:rFonts w:cs="Times New Roman"/>
          <w:i/>
          <w:iCs/>
          <w:kern w:val="0"/>
          <w:szCs w:val="24"/>
          <w:lang w:bidi="ar"/>
        </w:rPr>
        <w:t>richness</w:t>
      </w:r>
      <w:r>
        <w:rPr>
          <w:rFonts w:eastAsiaTheme="minorEastAsia" w:cs="Times New Roman"/>
          <w:szCs w:val="24"/>
        </w:rPr>
        <w:t>),</w:t>
      </w:r>
      <w:r>
        <w:rPr>
          <w:rFonts w:cs="Times New Roman"/>
          <w:kern w:val="0"/>
          <w:szCs w:val="24"/>
        </w:rPr>
        <w:t xml:space="preserve"> </w:t>
      </w:r>
      <w:r>
        <w:rPr>
          <w:rStyle w:val="None"/>
          <w:rFonts w:eastAsia="Arial Unicode MS" w:cs="Times New Roman"/>
          <w:szCs w:val="24"/>
        </w:rPr>
        <w:t>Shannon diversity index</w:t>
      </w:r>
      <w:r>
        <w:rPr>
          <w:rFonts w:eastAsiaTheme="minorEastAsia" w:cs="Times New Roman"/>
          <w:szCs w:val="24"/>
        </w:rPr>
        <w:t xml:space="preserve"> (</w:t>
      </w:r>
      <w:r>
        <w:rPr>
          <w:rFonts w:eastAsiaTheme="minorEastAsia" w:cs="Times New Roman"/>
          <w:i/>
          <w:iCs/>
          <w:szCs w:val="24"/>
        </w:rPr>
        <w:t>Shannon</w:t>
      </w:r>
      <w:r>
        <w:rPr>
          <w:rFonts w:eastAsiaTheme="minorEastAsia" w:cs="Times New Roman"/>
          <w:szCs w:val="24"/>
        </w:rPr>
        <w:t xml:space="preserve">), </w:t>
      </w:r>
      <w:r>
        <w:rPr>
          <w:rStyle w:val="None"/>
          <w:rFonts w:eastAsia="Arial Unicode MS" w:cs="Times New Roman"/>
          <w:szCs w:val="24"/>
        </w:rPr>
        <w:t>Simpson diversity index</w:t>
      </w:r>
      <w:r>
        <w:rPr>
          <w:rFonts w:eastAsiaTheme="minorEastAsia" w:cs="Times New Roman"/>
          <w:szCs w:val="24"/>
        </w:rPr>
        <w:t xml:space="preserve"> (</w:t>
      </w:r>
      <w:r>
        <w:rPr>
          <w:rFonts w:eastAsiaTheme="minorEastAsia" w:cs="Times New Roman"/>
          <w:i/>
          <w:iCs/>
          <w:szCs w:val="24"/>
        </w:rPr>
        <w:t>Simpson</w:t>
      </w:r>
      <w:r>
        <w:rPr>
          <w:rFonts w:eastAsiaTheme="minorEastAsia" w:cs="Times New Roman"/>
          <w:szCs w:val="24"/>
        </w:rPr>
        <w:t xml:space="preserve">), </w:t>
      </w:r>
      <w:r>
        <w:rPr>
          <w:rFonts w:cs="Times New Roman"/>
          <w:szCs w:val="24"/>
        </w:rPr>
        <w:t>aboveground biomass (</w:t>
      </w:r>
      <w:r>
        <w:rPr>
          <w:rFonts w:cs="Times New Roman"/>
          <w:i/>
          <w:iCs/>
          <w:kern w:val="0"/>
          <w:szCs w:val="24"/>
        </w:rPr>
        <w:t>B</w:t>
      </w:r>
      <w:r>
        <w:rPr>
          <w:rFonts w:cs="Times New Roman"/>
          <w:i/>
          <w:iCs/>
          <w:szCs w:val="24"/>
        </w:rPr>
        <w:t>iomass</w:t>
      </w:r>
      <w:r>
        <w:rPr>
          <w:rFonts w:cs="Times New Roman"/>
          <w:szCs w:val="24"/>
        </w:rPr>
        <w:t>) and</w:t>
      </w:r>
      <w:r>
        <w:rPr>
          <w:rFonts w:eastAsiaTheme="minorEastAsia" w:cs="Times New Roman"/>
          <w:szCs w:val="24"/>
        </w:rPr>
        <w:t xml:space="preserve"> the first principal component of </w:t>
      </w:r>
      <w:r>
        <w:rPr>
          <w:rFonts w:cs="Times New Roman"/>
          <w:kern w:val="0"/>
          <w:szCs w:val="24"/>
        </w:rPr>
        <w:t>grassland</w:t>
      </w:r>
      <w:r>
        <w:rPr>
          <w:rStyle w:val="None"/>
          <w:rFonts w:cs="Times New Roman"/>
          <w:szCs w:val="24"/>
        </w:rPr>
        <w:t xml:space="preserve"> patches’ plots</w:t>
      </w:r>
      <w:r>
        <w:rPr>
          <w:rFonts w:eastAsiaTheme="minorEastAsia" w:cs="Times New Roman"/>
          <w:szCs w:val="24"/>
        </w:rPr>
        <w:t xml:space="preserve"> soil variables (</w:t>
      </w:r>
      <w:r>
        <w:rPr>
          <w:rFonts w:cs="Times New Roman"/>
          <w:kern w:val="0"/>
          <w:szCs w:val="24"/>
        </w:rPr>
        <w:t>S</w:t>
      </w:r>
      <w:r>
        <w:rPr>
          <w:rFonts w:eastAsiaTheme="minorEastAsia" w:cs="Times New Roman"/>
          <w:szCs w:val="24"/>
        </w:rPr>
        <w:t xml:space="preserve">oil PC1) </w:t>
      </w:r>
      <w:r>
        <w:rPr>
          <w:rFonts w:cs="Times New Roman"/>
          <w:szCs w:val="24"/>
        </w:rPr>
        <w:t xml:space="preserve">on </w:t>
      </w:r>
      <w:r>
        <w:rPr>
          <w:rStyle w:val="None"/>
          <w:rFonts w:cs="Times New Roman"/>
          <w:szCs w:val="24"/>
        </w:rPr>
        <w:t xml:space="preserve">log-transformed response ratio of </w:t>
      </w:r>
      <w:r>
        <w:rPr>
          <w:rFonts w:cs="Times New Roman"/>
          <w:iCs/>
          <w:szCs w:val="24"/>
        </w:rPr>
        <w:t xml:space="preserve">herbaceous </w:t>
      </w:r>
      <w:r>
        <w:rPr>
          <w:rStyle w:val="None"/>
          <w:rFonts w:cs="Times New Roman"/>
          <w:kern w:val="0"/>
          <w:szCs w:val="24"/>
        </w:rPr>
        <w:t>community foliar fungal pathogen load</w:t>
      </w:r>
      <w:r>
        <w:rPr>
          <w:rStyle w:val="None"/>
          <w:rFonts w:cs="Times New Roman"/>
          <w:szCs w:val="24"/>
        </w:rPr>
        <w:t xml:space="preserve"> between </w:t>
      </w:r>
      <w:r>
        <w:rPr>
          <w:rStyle w:val="None"/>
          <w:rFonts w:cs="Times New Roman"/>
          <w:kern w:val="0"/>
          <w:szCs w:val="24"/>
        </w:rPr>
        <w:t>shrub patches</w:t>
      </w:r>
      <w:r>
        <w:rPr>
          <w:rStyle w:val="None"/>
          <w:rFonts w:cs="Times New Roman"/>
          <w:szCs w:val="24"/>
        </w:rPr>
        <w:t xml:space="preserve"> and grassland patches’ plots</w:t>
      </w:r>
      <w:r>
        <w:rPr>
          <w:rStyle w:val="15"/>
          <w:rFonts w:ascii="Times New Roman" w:hAnsi="Times New Roman" w:cs="Times New Roman"/>
          <w:b/>
          <w:szCs w:val="24"/>
        </w:rPr>
        <w:t xml:space="preserve"> </w:t>
      </w:r>
      <w:r>
        <w:rPr>
          <w:rStyle w:val="None"/>
          <w:rFonts w:cs="Times New Roman"/>
          <w:kern w:val="0"/>
          <w:szCs w:val="24"/>
        </w:rPr>
        <w:t>(i.e., LRR pathogen load)</w:t>
      </w:r>
      <w:r>
        <w:rPr>
          <w:rFonts w:eastAsiaTheme="minorEastAsia" w:cs="Times New Roman"/>
          <w:szCs w:val="24"/>
        </w:rPr>
        <w:t>.</w:t>
      </w:r>
    </w:p>
    <w:tbl>
      <w:tblPr>
        <w:tblW w:w="10206" w:type="dxa"/>
        <w:jc w:val="center"/>
        <w:tblLook w:val="04A0" w:firstRow="1" w:lastRow="0" w:firstColumn="1" w:lastColumn="0" w:noHBand="0" w:noVBand="1"/>
      </w:tblPr>
      <w:tblGrid>
        <w:gridCol w:w="2513"/>
        <w:gridCol w:w="2984"/>
        <w:gridCol w:w="1412"/>
        <w:gridCol w:w="1413"/>
        <w:gridCol w:w="1884"/>
      </w:tblGrid>
      <w:tr w:rsidR="00D56C02" w14:paraId="0635CF21" w14:textId="77777777">
        <w:trPr>
          <w:trHeight w:val="295"/>
          <w:jc w:val="center"/>
        </w:trPr>
        <w:tc>
          <w:tcPr>
            <w:tcW w:w="2513" w:type="dxa"/>
            <w:tcBorders>
              <w:top w:val="single" w:sz="8" w:space="0" w:color="000000"/>
              <w:left w:val="nil"/>
              <w:bottom w:val="single" w:sz="8" w:space="0" w:color="000000"/>
              <w:right w:val="nil"/>
            </w:tcBorders>
            <w:vAlign w:val="center"/>
          </w:tcPr>
          <w:p w14:paraId="6F52332A" w14:textId="77777777" w:rsidR="00D56C02" w:rsidRDefault="00000000">
            <w:pPr>
              <w:widowControl/>
              <w:jc w:val="center"/>
              <w:textAlignment w:val="center"/>
              <w:rPr>
                <w:rFonts w:ascii="Arial" w:hAnsi="Arial" w:cs="Arial"/>
                <w:kern w:val="0"/>
                <w:sz w:val="14"/>
                <w:szCs w:val="14"/>
                <w:lang w:bidi="ar"/>
              </w:rPr>
            </w:pPr>
            <w:bookmarkStart w:id="3" w:name="_Hlk156571827"/>
            <w:r>
              <w:rPr>
                <w:rFonts w:ascii="Arial" w:hAnsi="Arial" w:cs="Arial"/>
                <w:b/>
                <w:bCs/>
                <w:kern w:val="0"/>
                <w:sz w:val="14"/>
                <w:szCs w:val="14"/>
                <w:lang w:bidi="ar"/>
              </w:rPr>
              <w:t>Response</w:t>
            </w:r>
          </w:p>
        </w:tc>
        <w:tc>
          <w:tcPr>
            <w:tcW w:w="2984" w:type="dxa"/>
            <w:tcBorders>
              <w:top w:val="single" w:sz="8" w:space="0" w:color="000000"/>
              <w:left w:val="nil"/>
              <w:bottom w:val="single" w:sz="8" w:space="0" w:color="000000"/>
              <w:right w:val="nil"/>
            </w:tcBorders>
            <w:shd w:val="clear" w:color="auto" w:fill="auto"/>
            <w:noWrap/>
            <w:vAlign w:val="center"/>
          </w:tcPr>
          <w:p w14:paraId="3F81CA5E" w14:textId="77777777" w:rsidR="00D56C02" w:rsidRDefault="00000000">
            <w:pPr>
              <w:widowControl/>
              <w:jc w:val="center"/>
              <w:textAlignment w:val="center"/>
              <w:rPr>
                <w:rFonts w:ascii="Arial" w:hAnsi="Arial" w:cs="Arial"/>
                <w:sz w:val="14"/>
                <w:szCs w:val="14"/>
              </w:rPr>
            </w:pPr>
            <w:r>
              <w:rPr>
                <w:rFonts w:ascii="Arial" w:hAnsi="Arial" w:cs="Arial"/>
                <w:b/>
                <w:bCs/>
                <w:kern w:val="0"/>
                <w:sz w:val="14"/>
                <w:szCs w:val="14"/>
                <w:lang w:bidi="ar"/>
              </w:rPr>
              <w:t>Predictors</w:t>
            </w:r>
          </w:p>
        </w:tc>
        <w:tc>
          <w:tcPr>
            <w:tcW w:w="1412" w:type="dxa"/>
            <w:tcBorders>
              <w:top w:val="single" w:sz="8" w:space="0" w:color="000000"/>
              <w:left w:val="nil"/>
              <w:bottom w:val="single" w:sz="8" w:space="0" w:color="000000"/>
              <w:right w:val="nil"/>
            </w:tcBorders>
            <w:shd w:val="clear" w:color="auto" w:fill="auto"/>
            <w:noWrap/>
            <w:vAlign w:val="center"/>
          </w:tcPr>
          <w:p w14:paraId="713D5894" w14:textId="77777777" w:rsidR="00D56C02" w:rsidRDefault="00000000">
            <w:pPr>
              <w:widowControl/>
              <w:jc w:val="center"/>
              <w:textAlignment w:val="center"/>
              <w:rPr>
                <w:rFonts w:ascii="Arial" w:hAnsi="Arial" w:cs="Arial"/>
                <w:sz w:val="14"/>
                <w:szCs w:val="14"/>
              </w:rPr>
            </w:pPr>
            <w:r>
              <w:rPr>
                <w:rFonts w:ascii="Arial" w:hAnsi="Arial" w:cs="Arial"/>
                <w:b/>
                <w:bCs/>
                <w:kern w:val="0"/>
                <w:sz w:val="14"/>
                <w:szCs w:val="14"/>
                <w:lang w:bidi="ar"/>
              </w:rPr>
              <w:t>Estimate</w:t>
            </w:r>
          </w:p>
        </w:tc>
        <w:tc>
          <w:tcPr>
            <w:tcW w:w="1413" w:type="dxa"/>
            <w:tcBorders>
              <w:top w:val="single" w:sz="8" w:space="0" w:color="000000"/>
              <w:left w:val="nil"/>
              <w:bottom w:val="single" w:sz="8" w:space="0" w:color="000000"/>
              <w:right w:val="nil"/>
            </w:tcBorders>
            <w:shd w:val="clear" w:color="auto" w:fill="auto"/>
            <w:noWrap/>
            <w:vAlign w:val="center"/>
          </w:tcPr>
          <w:p w14:paraId="597C1D33" w14:textId="77777777" w:rsidR="00D56C02" w:rsidRDefault="00000000">
            <w:pPr>
              <w:widowControl/>
              <w:jc w:val="center"/>
              <w:textAlignment w:val="center"/>
              <w:rPr>
                <w:rFonts w:ascii="Arial" w:hAnsi="Arial" w:cs="Arial"/>
                <w:sz w:val="14"/>
                <w:szCs w:val="14"/>
              </w:rPr>
            </w:pPr>
            <w:r>
              <w:rPr>
                <w:rFonts w:ascii="Arial" w:hAnsi="Arial" w:cs="Arial"/>
                <w:b/>
                <w:bCs/>
                <w:kern w:val="0"/>
                <w:sz w:val="14"/>
                <w:szCs w:val="14"/>
                <w:lang w:bidi="ar"/>
              </w:rPr>
              <w:t>Est. Error</w:t>
            </w:r>
          </w:p>
        </w:tc>
        <w:tc>
          <w:tcPr>
            <w:tcW w:w="1884" w:type="dxa"/>
            <w:tcBorders>
              <w:top w:val="single" w:sz="8" w:space="0" w:color="000000"/>
              <w:left w:val="nil"/>
              <w:bottom w:val="single" w:sz="8" w:space="0" w:color="000000"/>
              <w:right w:val="nil"/>
            </w:tcBorders>
            <w:shd w:val="clear" w:color="auto" w:fill="auto"/>
            <w:noWrap/>
            <w:vAlign w:val="center"/>
          </w:tcPr>
          <w:p w14:paraId="09791C0D" w14:textId="77777777" w:rsidR="00D56C02" w:rsidRDefault="00000000">
            <w:pPr>
              <w:widowControl/>
              <w:jc w:val="center"/>
              <w:textAlignment w:val="center"/>
              <w:rPr>
                <w:rFonts w:ascii="Arial" w:hAnsi="Arial" w:cs="Arial"/>
                <w:sz w:val="14"/>
                <w:szCs w:val="14"/>
              </w:rPr>
            </w:pPr>
            <w:r>
              <w:rPr>
                <w:rFonts w:ascii="Arial" w:hAnsi="Arial" w:cs="Arial"/>
                <w:b/>
                <w:bCs/>
                <w:kern w:val="0"/>
                <w:sz w:val="14"/>
                <w:szCs w:val="14"/>
                <w:lang w:bidi="ar"/>
              </w:rPr>
              <w:t>95%CI</w:t>
            </w:r>
          </w:p>
        </w:tc>
      </w:tr>
      <w:tr w:rsidR="00D56C02" w14:paraId="240A38F8" w14:textId="77777777">
        <w:trPr>
          <w:trHeight w:val="295"/>
          <w:jc w:val="center"/>
        </w:trPr>
        <w:tc>
          <w:tcPr>
            <w:tcW w:w="2513" w:type="dxa"/>
            <w:tcBorders>
              <w:top w:val="single" w:sz="8" w:space="0" w:color="000000"/>
              <w:left w:val="nil"/>
              <w:bottom w:val="nil"/>
              <w:right w:val="nil"/>
            </w:tcBorders>
            <w:vAlign w:val="center"/>
          </w:tcPr>
          <w:p w14:paraId="5957E580" w14:textId="77777777" w:rsidR="00D56C02" w:rsidRDefault="00000000">
            <w:pPr>
              <w:widowControl/>
              <w:jc w:val="left"/>
              <w:textAlignment w:val="center"/>
              <w:rPr>
                <w:rFonts w:ascii="Arial" w:hAnsi="Arial" w:cs="Arial"/>
                <w:kern w:val="0"/>
                <w:sz w:val="14"/>
                <w:szCs w:val="14"/>
              </w:rPr>
            </w:pPr>
            <w:r>
              <w:rPr>
                <w:rFonts w:ascii="Arial" w:hAnsi="Arial" w:cs="Arial"/>
                <w:kern w:val="0"/>
                <w:sz w:val="14"/>
                <w:szCs w:val="14"/>
              </w:rPr>
              <w:t>LRR pathogen load</w:t>
            </w:r>
          </w:p>
        </w:tc>
        <w:tc>
          <w:tcPr>
            <w:tcW w:w="2984" w:type="dxa"/>
            <w:tcBorders>
              <w:top w:val="single" w:sz="8" w:space="0" w:color="000000"/>
              <w:left w:val="nil"/>
              <w:bottom w:val="nil"/>
              <w:right w:val="nil"/>
            </w:tcBorders>
            <w:shd w:val="clear" w:color="auto" w:fill="auto"/>
            <w:noWrap/>
            <w:vAlign w:val="center"/>
          </w:tcPr>
          <w:p w14:paraId="1C0C4867" w14:textId="77777777" w:rsidR="00D56C02" w:rsidRDefault="00000000">
            <w:pPr>
              <w:widowControl/>
              <w:jc w:val="left"/>
              <w:textAlignment w:val="center"/>
              <w:rPr>
                <w:rFonts w:ascii="Arial" w:hAnsi="Arial" w:cs="Arial"/>
                <w:sz w:val="14"/>
                <w:szCs w:val="14"/>
              </w:rPr>
            </w:pPr>
            <w:r>
              <w:rPr>
                <w:rFonts w:ascii="Arial" w:hAnsi="Arial" w:cs="Arial"/>
                <w:sz w:val="14"/>
                <w:szCs w:val="14"/>
              </w:rPr>
              <w:t>MAT</w:t>
            </w:r>
          </w:p>
        </w:tc>
        <w:tc>
          <w:tcPr>
            <w:tcW w:w="1412" w:type="dxa"/>
            <w:tcBorders>
              <w:top w:val="single" w:sz="8" w:space="0" w:color="000000"/>
              <w:left w:val="nil"/>
              <w:bottom w:val="nil"/>
              <w:right w:val="nil"/>
            </w:tcBorders>
            <w:shd w:val="clear" w:color="auto" w:fill="auto"/>
            <w:noWrap/>
            <w:vAlign w:val="center"/>
          </w:tcPr>
          <w:p w14:paraId="1E425649" w14:textId="77777777" w:rsidR="00D56C02" w:rsidRDefault="00000000">
            <w:pPr>
              <w:widowControl/>
              <w:jc w:val="center"/>
              <w:textAlignment w:val="center"/>
              <w:rPr>
                <w:rFonts w:ascii="Arial" w:hAnsi="Arial" w:cs="Arial"/>
                <w:sz w:val="14"/>
                <w:szCs w:val="14"/>
              </w:rPr>
            </w:pPr>
            <w:r>
              <w:rPr>
                <w:rFonts w:ascii="Arial" w:hAnsi="Arial" w:cs="Arial"/>
                <w:sz w:val="14"/>
                <w:szCs w:val="14"/>
              </w:rPr>
              <w:t>0.20</w:t>
            </w:r>
          </w:p>
        </w:tc>
        <w:tc>
          <w:tcPr>
            <w:tcW w:w="1413" w:type="dxa"/>
            <w:tcBorders>
              <w:top w:val="single" w:sz="8" w:space="0" w:color="000000"/>
              <w:left w:val="nil"/>
              <w:bottom w:val="nil"/>
              <w:right w:val="nil"/>
            </w:tcBorders>
            <w:shd w:val="clear" w:color="auto" w:fill="auto"/>
            <w:noWrap/>
            <w:vAlign w:val="center"/>
          </w:tcPr>
          <w:p w14:paraId="71F4F134" w14:textId="77777777" w:rsidR="00D56C02" w:rsidRDefault="00000000">
            <w:pPr>
              <w:widowControl/>
              <w:jc w:val="center"/>
              <w:textAlignment w:val="center"/>
              <w:rPr>
                <w:rFonts w:ascii="Arial" w:hAnsi="Arial" w:cs="Arial"/>
                <w:sz w:val="14"/>
                <w:szCs w:val="14"/>
              </w:rPr>
            </w:pPr>
            <w:r>
              <w:rPr>
                <w:rFonts w:ascii="Arial" w:hAnsi="Arial" w:cs="Arial"/>
                <w:sz w:val="14"/>
                <w:szCs w:val="14"/>
              </w:rPr>
              <w:t>0.12</w:t>
            </w:r>
          </w:p>
        </w:tc>
        <w:tc>
          <w:tcPr>
            <w:tcW w:w="1884" w:type="dxa"/>
            <w:tcBorders>
              <w:top w:val="single" w:sz="8" w:space="0" w:color="000000"/>
              <w:left w:val="nil"/>
              <w:bottom w:val="nil"/>
              <w:right w:val="nil"/>
            </w:tcBorders>
            <w:shd w:val="clear" w:color="auto" w:fill="auto"/>
            <w:noWrap/>
            <w:vAlign w:val="center"/>
          </w:tcPr>
          <w:p w14:paraId="5CD64B0E" w14:textId="77777777" w:rsidR="00D56C02" w:rsidRDefault="00000000">
            <w:pPr>
              <w:widowControl/>
              <w:jc w:val="center"/>
              <w:textAlignment w:val="center"/>
              <w:rPr>
                <w:rFonts w:ascii="Arial" w:hAnsi="Arial" w:cs="Arial"/>
                <w:sz w:val="14"/>
                <w:szCs w:val="14"/>
              </w:rPr>
            </w:pPr>
            <w:r>
              <w:rPr>
                <w:rFonts w:ascii="Arial" w:hAnsi="Arial" w:cs="Arial"/>
                <w:sz w:val="14"/>
                <w:szCs w:val="14"/>
              </w:rPr>
              <w:t>-0.03</w:t>
            </w:r>
            <w:r>
              <w:rPr>
                <w:rFonts w:ascii="Arial" w:hAnsi="Arial" w:cs="Arial"/>
                <w:kern w:val="0"/>
                <w:sz w:val="14"/>
                <w:szCs w:val="14"/>
                <w:lang w:bidi="ar"/>
              </w:rPr>
              <w:t>~</w:t>
            </w:r>
            <w:r>
              <w:rPr>
                <w:rFonts w:ascii="Arial" w:hAnsi="Arial" w:cs="Arial"/>
                <w:sz w:val="14"/>
                <w:szCs w:val="14"/>
              </w:rPr>
              <w:t>0.42</w:t>
            </w:r>
          </w:p>
        </w:tc>
      </w:tr>
      <w:tr w:rsidR="00D56C02" w14:paraId="7724E6C7" w14:textId="77777777">
        <w:trPr>
          <w:trHeight w:val="280"/>
          <w:jc w:val="center"/>
        </w:trPr>
        <w:tc>
          <w:tcPr>
            <w:tcW w:w="2513" w:type="dxa"/>
            <w:tcBorders>
              <w:top w:val="nil"/>
              <w:left w:val="nil"/>
              <w:bottom w:val="nil"/>
              <w:right w:val="nil"/>
            </w:tcBorders>
          </w:tcPr>
          <w:p w14:paraId="3738569D" w14:textId="77777777" w:rsidR="00D56C02" w:rsidRDefault="00000000">
            <w:pPr>
              <w:widowControl/>
              <w:jc w:val="left"/>
              <w:textAlignment w:val="center"/>
              <w:rPr>
                <w:rFonts w:ascii="Arial" w:hAnsi="Arial" w:cs="Arial"/>
                <w:kern w:val="0"/>
                <w:sz w:val="14"/>
                <w:szCs w:val="14"/>
                <w:lang w:bidi="ar"/>
              </w:rPr>
            </w:pPr>
            <w:r>
              <w:rPr>
                <w:rFonts w:ascii="Arial" w:hAnsi="Arial" w:cs="Arial"/>
                <w:kern w:val="0"/>
                <w:sz w:val="14"/>
                <w:szCs w:val="14"/>
              </w:rPr>
              <w:t>LRR pathogen load</w:t>
            </w:r>
          </w:p>
        </w:tc>
        <w:tc>
          <w:tcPr>
            <w:tcW w:w="2984" w:type="dxa"/>
            <w:tcBorders>
              <w:top w:val="nil"/>
              <w:left w:val="nil"/>
              <w:bottom w:val="nil"/>
              <w:right w:val="nil"/>
            </w:tcBorders>
            <w:shd w:val="clear" w:color="auto" w:fill="auto"/>
            <w:noWrap/>
            <w:vAlign w:val="center"/>
          </w:tcPr>
          <w:p w14:paraId="075F9AAF" w14:textId="77777777" w:rsidR="00D56C02" w:rsidRDefault="00000000">
            <w:pPr>
              <w:widowControl/>
              <w:jc w:val="left"/>
              <w:textAlignment w:val="center"/>
              <w:rPr>
                <w:rFonts w:ascii="Arial" w:hAnsi="Arial" w:cs="Arial"/>
                <w:sz w:val="14"/>
                <w:szCs w:val="14"/>
              </w:rPr>
            </w:pPr>
            <w:r>
              <w:rPr>
                <w:rFonts w:ascii="Arial" w:hAnsi="Arial" w:cs="Arial"/>
                <w:sz w:val="14"/>
                <w:szCs w:val="14"/>
              </w:rPr>
              <w:t>MAP</w:t>
            </w:r>
          </w:p>
        </w:tc>
        <w:tc>
          <w:tcPr>
            <w:tcW w:w="1412" w:type="dxa"/>
            <w:tcBorders>
              <w:top w:val="nil"/>
              <w:left w:val="nil"/>
              <w:bottom w:val="nil"/>
              <w:right w:val="nil"/>
            </w:tcBorders>
            <w:shd w:val="clear" w:color="auto" w:fill="auto"/>
            <w:noWrap/>
            <w:vAlign w:val="center"/>
          </w:tcPr>
          <w:p w14:paraId="79BDD049" w14:textId="77777777" w:rsidR="00D56C02" w:rsidRDefault="00000000">
            <w:pPr>
              <w:widowControl/>
              <w:jc w:val="center"/>
              <w:textAlignment w:val="center"/>
              <w:rPr>
                <w:rFonts w:ascii="Arial" w:hAnsi="Arial" w:cs="Arial"/>
                <w:sz w:val="14"/>
                <w:szCs w:val="14"/>
              </w:rPr>
            </w:pPr>
            <w:r>
              <w:rPr>
                <w:rFonts w:ascii="Arial" w:hAnsi="Arial" w:cs="Arial"/>
                <w:sz w:val="14"/>
                <w:szCs w:val="14"/>
              </w:rPr>
              <w:t>-0.01</w:t>
            </w:r>
          </w:p>
        </w:tc>
        <w:tc>
          <w:tcPr>
            <w:tcW w:w="1413" w:type="dxa"/>
            <w:tcBorders>
              <w:top w:val="nil"/>
              <w:left w:val="nil"/>
              <w:bottom w:val="nil"/>
              <w:right w:val="nil"/>
            </w:tcBorders>
            <w:shd w:val="clear" w:color="auto" w:fill="auto"/>
            <w:noWrap/>
            <w:vAlign w:val="center"/>
          </w:tcPr>
          <w:p w14:paraId="01EC80E0" w14:textId="77777777" w:rsidR="00D56C02" w:rsidRDefault="00000000">
            <w:pPr>
              <w:widowControl/>
              <w:jc w:val="center"/>
              <w:textAlignment w:val="center"/>
              <w:rPr>
                <w:rFonts w:ascii="Arial" w:hAnsi="Arial" w:cs="Arial"/>
                <w:sz w:val="14"/>
                <w:szCs w:val="14"/>
              </w:rPr>
            </w:pPr>
            <w:r>
              <w:rPr>
                <w:rFonts w:ascii="Arial" w:hAnsi="Arial" w:cs="Arial"/>
                <w:sz w:val="14"/>
                <w:szCs w:val="14"/>
              </w:rPr>
              <w:t>0.15</w:t>
            </w:r>
          </w:p>
        </w:tc>
        <w:tc>
          <w:tcPr>
            <w:tcW w:w="1884" w:type="dxa"/>
            <w:tcBorders>
              <w:top w:val="nil"/>
              <w:left w:val="nil"/>
              <w:bottom w:val="nil"/>
              <w:right w:val="nil"/>
            </w:tcBorders>
            <w:shd w:val="clear" w:color="auto" w:fill="auto"/>
            <w:noWrap/>
            <w:vAlign w:val="center"/>
          </w:tcPr>
          <w:p w14:paraId="6918CAB1" w14:textId="77777777" w:rsidR="00D56C02" w:rsidRDefault="00000000">
            <w:pPr>
              <w:widowControl/>
              <w:jc w:val="center"/>
              <w:textAlignment w:val="center"/>
              <w:rPr>
                <w:rFonts w:ascii="Arial" w:hAnsi="Arial" w:cs="Arial"/>
                <w:sz w:val="14"/>
                <w:szCs w:val="14"/>
              </w:rPr>
            </w:pPr>
            <w:r>
              <w:rPr>
                <w:rFonts w:ascii="Arial" w:hAnsi="Arial" w:cs="Arial"/>
                <w:sz w:val="14"/>
                <w:szCs w:val="14"/>
              </w:rPr>
              <w:t>-0.30</w:t>
            </w:r>
            <w:r>
              <w:rPr>
                <w:rFonts w:ascii="Arial" w:hAnsi="Arial" w:cs="Arial"/>
                <w:kern w:val="0"/>
                <w:sz w:val="14"/>
                <w:szCs w:val="14"/>
                <w:lang w:bidi="ar"/>
              </w:rPr>
              <w:t>~</w:t>
            </w:r>
            <w:r>
              <w:rPr>
                <w:rFonts w:ascii="Arial" w:hAnsi="Arial" w:cs="Arial"/>
                <w:sz w:val="14"/>
                <w:szCs w:val="14"/>
              </w:rPr>
              <w:t>0.27</w:t>
            </w:r>
          </w:p>
        </w:tc>
      </w:tr>
      <w:tr w:rsidR="00D56C02" w14:paraId="3362344F" w14:textId="77777777">
        <w:trPr>
          <w:trHeight w:val="280"/>
          <w:jc w:val="center"/>
        </w:trPr>
        <w:tc>
          <w:tcPr>
            <w:tcW w:w="2513" w:type="dxa"/>
            <w:tcBorders>
              <w:top w:val="nil"/>
              <w:left w:val="nil"/>
              <w:bottom w:val="nil"/>
              <w:right w:val="nil"/>
            </w:tcBorders>
          </w:tcPr>
          <w:p w14:paraId="5DB66883" w14:textId="77777777" w:rsidR="00D56C02" w:rsidRDefault="00000000">
            <w:pPr>
              <w:widowControl/>
              <w:jc w:val="left"/>
              <w:textAlignment w:val="center"/>
              <w:rPr>
                <w:rFonts w:ascii="Arial" w:hAnsi="Arial" w:cs="Arial"/>
                <w:kern w:val="0"/>
                <w:sz w:val="14"/>
                <w:szCs w:val="14"/>
                <w:lang w:bidi="ar"/>
              </w:rPr>
            </w:pPr>
            <w:r>
              <w:rPr>
                <w:rFonts w:ascii="Arial" w:hAnsi="Arial" w:cs="Arial"/>
                <w:kern w:val="0"/>
                <w:sz w:val="14"/>
                <w:szCs w:val="14"/>
              </w:rPr>
              <w:t>LRR pathogen load</w:t>
            </w:r>
          </w:p>
        </w:tc>
        <w:tc>
          <w:tcPr>
            <w:tcW w:w="2984" w:type="dxa"/>
            <w:tcBorders>
              <w:top w:val="nil"/>
              <w:left w:val="nil"/>
              <w:bottom w:val="nil"/>
              <w:right w:val="nil"/>
            </w:tcBorders>
            <w:shd w:val="clear" w:color="auto" w:fill="auto"/>
            <w:noWrap/>
            <w:vAlign w:val="center"/>
          </w:tcPr>
          <w:p w14:paraId="39D44C1F" w14:textId="77777777" w:rsidR="00D56C02" w:rsidRDefault="00000000">
            <w:pPr>
              <w:widowControl/>
              <w:jc w:val="left"/>
              <w:textAlignment w:val="center"/>
              <w:rPr>
                <w:rFonts w:ascii="Arial" w:hAnsi="Arial" w:cs="Arial"/>
                <w:sz w:val="14"/>
                <w:szCs w:val="14"/>
              </w:rPr>
            </w:pPr>
            <w:r>
              <w:rPr>
                <w:rFonts w:ascii="Arial" w:hAnsi="Arial" w:cs="Arial"/>
                <w:kern w:val="0"/>
                <w:sz w:val="14"/>
                <w:szCs w:val="14"/>
                <w:lang w:bidi="ar"/>
              </w:rPr>
              <w:t>Shannon</w:t>
            </w:r>
          </w:p>
        </w:tc>
        <w:tc>
          <w:tcPr>
            <w:tcW w:w="1412" w:type="dxa"/>
            <w:tcBorders>
              <w:top w:val="nil"/>
              <w:left w:val="nil"/>
              <w:bottom w:val="nil"/>
              <w:right w:val="nil"/>
            </w:tcBorders>
            <w:shd w:val="clear" w:color="auto" w:fill="auto"/>
            <w:noWrap/>
            <w:vAlign w:val="center"/>
          </w:tcPr>
          <w:p w14:paraId="207915A2" w14:textId="77777777" w:rsidR="00D56C02" w:rsidRDefault="00000000">
            <w:pPr>
              <w:widowControl/>
              <w:jc w:val="center"/>
              <w:textAlignment w:val="center"/>
              <w:rPr>
                <w:rFonts w:ascii="Arial" w:hAnsi="Arial" w:cs="Arial"/>
                <w:sz w:val="14"/>
                <w:szCs w:val="14"/>
              </w:rPr>
            </w:pPr>
            <w:r>
              <w:rPr>
                <w:rFonts w:ascii="Arial" w:hAnsi="Arial" w:cs="Arial"/>
                <w:sz w:val="14"/>
                <w:szCs w:val="14"/>
              </w:rPr>
              <w:t>-0.49</w:t>
            </w:r>
          </w:p>
        </w:tc>
        <w:tc>
          <w:tcPr>
            <w:tcW w:w="1413" w:type="dxa"/>
            <w:tcBorders>
              <w:top w:val="nil"/>
              <w:left w:val="nil"/>
              <w:bottom w:val="nil"/>
              <w:right w:val="nil"/>
            </w:tcBorders>
            <w:shd w:val="clear" w:color="auto" w:fill="auto"/>
            <w:noWrap/>
            <w:vAlign w:val="center"/>
          </w:tcPr>
          <w:p w14:paraId="603FAF8E" w14:textId="77777777" w:rsidR="00D56C02" w:rsidRDefault="00000000">
            <w:pPr>
              <w:widowControl/>
              <w:jc w:val="center"/>
              <w:textAlignment w:val="center"/>
              <w:rPr>
                <w:rFonts w:ascii="Arial" w:hAnsi="Arial" w:cs="Arial"/>
                <w:sz w:val="14"/>
                <w:szCs w:val="14"/>
              </w:rPr>
            </w:pPr>
            <w:r>
              <w:rPr>
                <w:rFonts w:ascii="Arial" w:hAnsi="Arial" w:cs="Arial"/>
                <w:sz w:val="14"/>
                <w:szCs w:val="14"/>
              </w:rPr>
              <w:t>0.47</w:t>
            </w:r>
          </w:p>
        </w:tc>
        <w:tc>
          <w:tcPr>
            <w:tcW w:w="1884" w:type="dxa"/>
            <w:tcBorders>
              <w:top w:val="nil"/>
              <w:left w:val="nil"/>
              <w:bottom w:val="nil"/>
              <w:right w:val="nil"/>
            </w:tcBorders>
            <w:shd w:val="clear" w:color="auto" w:fill="auto"/>
            <w:noWrap/>
            <w:vAlign w:val="center"/>
          </w:tcPr>
          <w:p w14:paraId="063ED446" w14:textId="77777777" w:rsidR="00D56C02" w:rsidRDefault="00000000">
            <w:pPr>
              <w:widowControl/>
              <w:jc w:val="center"/>
              <w:textAlignment w:val="center"/>
              <w:rPr>
                <w:rFonts w:ascii="Arial" w:hAnsi="Arial" w:cs="Arial"/>
                <w:sz w:val="14"/>
                <w:szCs w:val="14"/>
              </w:rPr>
            </w:pPr>
            <w:r>
              <w:rPr>
                <w:rFonts w:ascii="Arial" w:hAnsi="Arial" w:cs="Arial"/>
                <w:sz w:val="14"/>
                <w:szCs w:val="14"/>
              </w:rPr>
              <w:t>-1.39</w:t>
            </w:r>
            <w:r>
              <w:rPr>
                <w:rFonts w:ascii="Arial" w:hAnsi="Arial" w:cs="Arial"/>
                <w:kern w:val="0"/>
                <w:sz w:val="14"/>
                <w:szCs w:val="14"/>
                <w:lang w:bidi="ar"/>
              </w:rPr>
              <w:t>~</w:t>
            </w:r>
            <w:r>
              <w:rPr>
                <w:rFonts w:ascii="Arial" w:hAnsi="Arial" w:cs="Arial"/>
                <w:sz w:val="14"/>
                <w:szCs w:val="14"/>
              </w:rPr>
              <w:t>0.44</w:t>
            </w:r>
          </w:p>
        </w:tc>
      </w:tr>
      <w:tr w:rsidR="00D56C02" w14:paraId="7F4B9189" w14:textId="77777777">
        <w:trPr>
          <w:trHeight w:val="280"/>
          <w:jc w:val="center"/>
        </w:trPr>
        <w:tc>
          <w:tcPr>
            <w:tcW w:w="2513" w:type="dxa"/>
            <w:tcBorders>
              <w:top w:val="nil"/>
              <w:left w:val="nil"/>
              <w:bottom w:val="nil"/>
              <w:right w:val="nil"/>
            </w:tcBorders>
          </w:tcPr>
          <w:p w14:paraId="597D7AFD" w14:textId="77777777" w:rsidR="00D56C02" w:rsidRDefault="00000000">
            <w:pPr>
              <w:widowControl/>
              <w:jc w:val="left"/>
              <w:textAlignment w:val="center"/>
              <w:rPr>
                <w:rFonts w:ascii="Arial" w:hAnsi="Arial" w:cs="Arial"/>
                <w:kern w:val="0"/>
                <w:sz w:val="14"/>
                <w:szCs w:val="14"/>
                <w:lang w:bidi="ar"/>
              </w:rPr>
            </w:pPr>
            <w:r>
              <w:rPr>
                <w:rFonts w:ascii="Arial" w:hAnsi="Arial" w:cs="Arial"/>
                <w:kern w:val="0"/>
                <w:sz w:val="14"/>
                <w:szCs w:val="14"/>
              </w:rPr>
              <w:t>LRR pathogen load</w:t>
            </w:r>
          </w:p>
        </w:tc>
        <w:tc>
          <w:tcPr>
            <w:tcW w:w="2984" w:type="dxa"/>
            <w:tcBorders>
              <w:top w:val="nil"/>
              <w:left w:val="nil"/>
              <w:bottom w:val="nil"/>
              <w:right w:val="nil"/>
            </w:tcBorders>
            <w:shd w:val="clear" w:color="auto" w:fill="auto"/>
            <w:noWrap/>
            <w:vAlign w:val="center"/>
          </w:tcPr>
          <w:p w14:paraId="3DE40FE8" w14:textId="77777777" w:rsidR="00D56C02" w:rsidRDefault="00000000">
            <w:pPr>
              <w:widowControl/>
              <w:jc w:val="left"/>
              <w:textAlignment w:val="center"/>
              <w:rPr>
                <w:rFonts w:ascii="Arial" w:hAnsi="Arial" w:cs="Arial"/>
                <w:sz w:val="14"/>
                <w:szCs w:val="14"/>
              </w:rPr>
            </w:pPr>
            <w:r>
              <w:rPr>
                <w:rFonts w:ascii="Arial" w:hAnsi="Arial" w:cs="Arial"/>
                <w:sz w:val="14"/>
                <w:szCs w:val="14"/>
              </w:rPr>
              <w:t>Simpson</w:t>
            </w:r>
          </w:p>
        </w:tc>
        <w:tc>
          <w:tcPr>
            <w:tcW w:w="1412" w:type="dxa"/>
            <w:tcBorders>
              <w:top w:val="nil"/>
              <w:left w:val="nil"/>
              <w:bottom w:val="nil"/>
              <w:right w:val="nil"/>
            </w:tcBorders>
            <w:shd w:val="clear" w:color="auto" w:fill="auto"/>
            <w:noWrap/>
            <w:vAlign w:val="center"/>
          </w:tcPr>
          <w:p w14:paraId="71430282" w14:textId="77777777" w:rsidR="00D56C02" w:rsidRDefault="00000000">
            <w:pPr>
              <w:widowControl/>
              <w:jc w:val="center"/>
              <w:textAlignment w:val="center"/>
              <w:rPr>
                <w:rFonts w:ascii="Arial" w:hAnsi="Arial" w:cs="Arial"/>
                <w:sz w:val="14"/>
                <w:szCs w:val="14"/>
              </w:rPr>
            </w:pPr>
            <w:r>
              <w:rPr>
                <w:rFonts w:ascii="Arial" w:hAnsi="Arial" w:cs="Arial"/>
                <w:sz w:val="14"/>
                <w:szCs w:val="14"/>
              </w:rPr>
              <w:t>0.42</w:t>
            </w:r>
          </w:p>
        </w:tc>
        <w:tc>
          <w:tcPr>
            <w:tcW w:w="1413" w:type="dxa"/>
            <w:tcBorders>
              <w:top w:val="nil"/>
              <w:left w:val="nil"/>
              <w:bottom w:val="nil"/>
              <w:right w:val="nil"/>
            </w:tcBorders>
            <w:shd w:val="clear" w:color="auto" w:fill="auto"/>
            <w:noWrap/>
            <w:vAlign w:val="center"/>
          </w:tcPr>
          <w:p w14:paraId="32C41D27" w14:textId="77777777" w:rsidR="00D56C02" w:rsidRDefault="00000000">
            <w:pPr>
              <w:widowControl/>
              <w:jc w:val="center"/>
              <w:textAlignment w:val="center"/>
              <w:rPr>
                <w:rFonts w:ascii="Arial" w:hAnsi="Arial" w:cs="Arial"/>
                <w:sz w:val="14"/>
                <w:szCs w:val="14"/>
              </w:rPr>
            </w:pPr>
            <w:r>
              <w:rPr>
                <w:rFonts w:ascii="Arial" w:hAnsi="Arial" w:cs="Arial"/>
                <w:sz w:val="14"/>
                <w:szCs w:val="14"/>
              </w:rPr>
              <w:t>0.34</w:t>
            </w:r>
          </w:p>
        </w:tc>
        <w:tc>
          <w:tcPr>
            <w:tcW w:w="1884" w:type="dxa"/>
            <w:tcBorders>
              <w:top w:val="nil"/>
              <w:left w:val="nil"/>
              <w:bottom w:val="nil"/>
              <w:right w:val="nil"/>
            </w:tcBorders>
            <w:shd w:val="clear" w:color="auto" w:fill="auto"/>
            <w:noWrap/>
            <w:vAlign w:val="center"/>
          </w:tcPr>
          <w:p w14:paraId="289F389C" w14:textId="77777777" w:rsidR="00D56C02" w:rsidRDefault="00000000">
            <w:pPr>
              <w:widowControl/>
              <w:jc w:val="center"/>
              <w:textAlignment w:val="center"/>
              <w:rPr>
                <w:rFonts w:ascii="Arial" w:hAnsi="Arial" w:cs="Arial"/>
                <w:sz w:val="14"/>
                <w:szCs w:val="14"/>
              </w:rPr>
            </w:pPr>
            <w:r>
              <w:rPr>
                <w:rFonts w:ascii="Arial" w:hAnsi="Arial" w:cs="Arial"/>
                <w:sz w:val="14"/>
                <w:szCs w:val="14"/>
              </w:rPr>
              <w:t>-0.25</w:t>
            </w:r>
            <w:r>
              <w:rPr>
                <w:rFonts w:ascii="Arial" w:hAnsi="Arial" w:cs="Arial"/>
                <w:kern w:val="0"/>
                <w:sz w:val="14"/>
                <w:szCs w:val="14"/>
                <w:lang w:bidi="ar"/>
              </w:rPr>
              <w:t>~</w:t>
            </w:r>
            <w:r>
              <w:rPr>
                <w:rFonts w:ascii="Arial" w:hAnsi="Arial" w:cs="Arial"/>
                <w:sz w:val="14"/>
                <w:szCs w:val="14"/>
                <w:lang w:bidi="ar"/>
              </w:rPr>
              <w:t>1.09</w:t>
            </w:r>
          </w:p>
        </w:tc>
      </w:tr>
      <w:tr w:rsidR="00D56C02" w14:paraId="49E0DC66" w14:textId="77777777">
        <w:trPr>
          <w:trHeight w:val="280"/>
          <w:jc w:val="center"/>
        </w:trPr>
        <w:tc>
          <w:tcPr>
            <w:tcW w:w="2513" w:type="dxa"/>
            <w:tcBorders>
              <w:top w:val="nil"/>
              <w:left w:val="nil"/>
              <w:bottom w:val="nil"/>
              <w:right w:val="nil"/>
            </w:tcBorders>
          </w:tcPr>
          <w:p w14:paraId="111B1EF2" w14:textId="77777777" w:rsidR="00D56C02" w:rsidRDefault="00000000">
            <w:pPr>
              <w:widowControl/>
              <w:jc w:val="left"/>
              <w:textAlignment w:val="center"/>
              <w:rPr>
                <w:rFonts w:ascii="Arial" w:hAnsi="Arial" w:cs="Arial"/>
                <w:kern w:val="0"/>
                <w:sz w:val="14"/>
                <w:szCs w:val="14"/>
                <w:lang w:bidi="ar"/>
              </w:rPr>
            </w:pPr>
            <w:r>
              <w:rPr>
                <w:rFonts w:ascii="Arial" w:hAnsi="Arial" w:cs="Arial"/>
                <w:kern w:val="0"/>
                <w:sz w:val="14"/>
                <w:szCs w:val="14"/>
              </w:rPr>
              <w:t>LRR pathogen load</w:t>
            </w:r>
          </w:p>
        </w:tc>
        <w:tc>
          <w:tcPr>
            <w:tcW w:w="2984" w:type="dxa"/>
            <w:tcBorders>
              <w:top w:val="nil"/>
              <w:left w:val="nil"/>
              <w:bottom w:val="nil"/>
              <w:right w:val="nil"/>
            </w:tcBorders>
            <w:shd w:val="clear" w:color="auto" w:fill="auto"/>
            <w:noWrap/>
            <w:vAlign w:val="center"/>
          </w:tcPr>
          <w:p w14:paraId="587EEC39" w14:textId="77777777" w:rsidR="00D56C02" w:rsidRDefault="00000000">
            <w:pPr>
              <w:widowControl/>
              <w:jc w:val="left"/>
              <w:textAlignment w:val="center"/>
              <w:rPr>
                <w:rFonts w:ascii="Arial" w:hAnsi="Arial" w:cs="Arial"/>
                <w:sz w:val="14"/>
                <w:szCs w:val="14"/>
              </w:rPr>
            </w:pPr>
            <w:r>
              <w:rPr>
                <w:rFonts w:ascii="Arial" w:hAnsi="Arial" w:cs="Arial"/>
                <w:kern w:val="0"/>
                <w:sz w:val="14"/>
                <w:szCs w:val="14"/>
                <w:lang w:bidi="ar"/>
              </w:rPr>
              <w:t>Species richness</w:t>
            </w:r>
          </w:p>
        </w:tc>
        <w:tc>
          <w:tcPr>
            <w:tcW w:w="1412" w:type="dxa"/>
            <w:tcBorders>
              <w:top w:val="nil"/>
              <w:left w:val="nil"/>
              <w:bottom w:val="nil"/>
              <w:right w:val="nil"/>
            </w:tcBorders>
            <w:shd w:val="clear" w:color="auto" w:fill="auto"/>
            <w:noWrap/>
            <w:vAlign w:val="center"/>
          </w:tcPr>
          <w:p w14:paraId="18393D65" w14:textId="77777777" w:rsidR="00D56C02" w:rsidRDefault="00000000">
            <w:pPr>
              <w:widowControl/>
              <w:jc w:val="center"/>
              <w:textAlignment w:val="center"/>
              <w:rPr>
                <w:rFonts w:ascii="Arial" w:hAnsi="Arial" w:cs="Arial"/>
                <w:sz w:val="14"/>
                <w:szCs w:val="14"/>
              </w:rPr>
            </w:pPr>
            <w:r>
              <w:rPr>
                <w:rFonts w:ascii="Arial" w:hAnsi="Arial" w:cs="Arial"/>
                <w:sz w:val="14"/>
                <w:szCs w:val="14"/>
              </w:rPr>
              <w:t>0.06</w:t>
            </w:r>
          </w:p>
        </w:tc>
        <w:tc>
          <w:tcPr>
            <w:tcW w:w="1413" w:type="dxa"/>
            <w:tcBorders>
              <w:top w:val="nil"/>
              <w:left w:val="nil"/>
              <w:bottom w:val="nil"/>
              <w:right w:val="nil"/>
            </w:tcBorders>
            <w:shd w:val="clear" w:color="auto" w:fill="auto"/>
            <w:noWrap/>
            <w:vAlign w:val="center"/>
          </w:tcPr>
          <w:p w14:paraId="66F51ABD" w14:textId="77777777" w:rsidR="00D56C02" w:rsidRDefault="00000000">
            <w:pPr>
              <w:widowControl/>
              <w:jc w:val="center"/>
              <w:textAlignment w:val="center"/>
              <w:rPr>
                <w:rFonts w:ascii="Arial" w:hAnsi="Arial" w:cs="Arial"/>
                <w:sz w:val="14"/>
                <w:szCs w:val="14"/>
              </w:rPr>
            </w:pPr>
            <w:r>
              <w:rPr>
                <w:rFonts w:ascii="Arial" w:hAnsi="Arial" w:cs="Arial"/>
                <w:sz w:val="14"/>
                <w:szCs w:val="14"/>
              </w:rPr>
              <w:t>0.24</w:t>
            </w:r>
          </w:p>
        </w:tc>
        <w:tc>
          <w:tcPr>
            <w:tcW w:w="1884" w:type="dxa"/>
            <w:tcBorders>
              <w:top w:val="nil"/>
              <w:left w:val="nil"/>
              <w:bottom w:val="nil"/>
              <w:right w:val="nil"/>
            </w:tcBorders>
            <w:shd w:val="clear" w:color="auto" w:fill="auto"/>
            <w:noWrap/>
            <w:vAlign w:val="center"/>
          </w:tcPr>
          <w:p w14:paraId="640FB6B3" w14:textId="77777777" w:rsidR="00D56C02" w:rsidRDefault="00000000">
            <w:pPr>
              <w:widowControl/>
              <w:jc w:val="center"/>
              <w:textAlignment w:val="center"/>
              <w:rPr>
                <w:rFonts w:ascii="Arial" w:hAnsi="Arial" w:cs="Arial"/>
                <w:sz w:val="14"/>
                <w:szCs w:val="14"/>
              </w:rPr>
            </w:pPr>
            <w:r>
              <w:rPr>
                <w:rFonts w:ascii="Arial" w:hAnsi="Arial" w:cs="Arial"/>
                <w:sz w:val="14"/>
                <w:szCs w:val="14"/>
              </w:rPr>
              <w:t>-0.43</w:t>
            </w:r>
            <w:r>
              <w:rPr>
                <w:rFonts w:ascii="Arial" w:hAnsi="Arial" w:cs="Arial"/>
                <w:kern w:val="0"/>
                <w:sz w:val="14"/>
                <w:szCs w:val="14"/>
                <w:lang w:bidi="ar"/>
              </w:rPr>
              <w:t>~</w:t>
            </w:r>
            <w:r>
              <w:rPr>
                <w:rFonts w:ascii="Arial" w:hAnsi="Arial" w:cs="Arial"/>
                <w:sz w:val="14"/>
                <w:szCs w:val="14"/>
              </w:rPr>
              <w:t>0.53</w:t>
            </w:r>
          </w:p>
        </w:tc>
      </w:tr>
      <w:tr w:rsidR="00D56C02" w14:paraId="55E8DC11" w14:textId="77777777">
        <w:trPr>
          <w:trHeight w:val="280"/>
          <w:jc w:val="center"/>
        </w:trPr>
        <w:tc>
          <w:tcPr>
            <w:tcW w:w="2513" w:type="dxa"/>
            <w:tcBorders>
              <w:top w:val="nil"/>
              <w:left w:val="nil"/>
              <w:bottom w:val="nil"/>
              <w:right w:val="nil"/>
            </w:tcBorders>
          </w:tcPr>
          <w:p w14:paraId="52741A0F" w14:textId="77777777" w:rsidR="00D56C02" w:rsidRDefault="00000000">
            <w:pPr>
              <w:widowControl/>
              <w:jc w:val="left"/>
              <w:textAlignment w:val="center"/>
              <w:rPr>
                <w:rFonts w:ascii="Arial" w:hAnsi="Arial" w:cs="Arial"/>
                <w:kern w:val="0"/>
                <w:sz w:val="14"/>
                <w:szCs w:val="14"/>
                <w:lang w:bidi="ar"/>
              </w:rPr>
            </w:pPr>
            <w:r>
              <w:rPr>
                <w:rFonts w:ascii="Arial" w:hAnsi="Arial" w:cs="Arial"/>
                <w:kern w:val="0"/>
                <w:sz w:val="14"/>
                <w:szCs w:val="14"/>
              </w:rPr>
              <w:t>LRR pathogen load</w:t>
            </w:r>
          </w:p>
        </w:tc>
        <w:tc>
          <w:tcPr>
            <w:tcW w:w="2984" w:type="dxa"/>
            <w:tcBorders>
              <w:top w:val="nil"/>
              <w:left w:val="nil"/>
              <w:bottom w:val="nil"/>
              <w:right w:val="nil"/>
            </w:tcBorders>
            <w:shd w:val="clear" w:color="auto" w:fill="auto"/>
            <w:noWrap/>
            <w:vAlign w:val="center"/>
          </w:tcPr>
          <w:p w14:paraId="4B188598" w14:textId="77777777" w:rsidR="00D56C02" w:rsidRDefault="00000000">
            <w:pPr>
              <w:widowControl/>
              <w:jc w:val="left"/>
              <w:textAlignment w:val="center"/>
              <w:rPr>
                <w:rFonts w:ascii="Arial" w:hAnsi="Arial" w:cs="Arial"/>
                <w:sz w:val="14"/>
                <w:szCs w:val="14"/>
              </w:rPr>
            </w:pPr>
            <w:r>
              <w:rPr>
                <w:rFonts w:ascii="Arial" w:eastAsiaTheme="minorEastAsia" w:hAnsi="Arial" w:cs="Arial"/>
                <w:sz w:val="14"/>
                <w:szCs w:val="14"/>
              </w:rPr>
              <w:t>Soil PC1</w:t>
            </w:r>
          </w:p>
        </w:tc>
        <w:tc>
          <w:tcPr>
            <w:tcW w:w="1412" w:type="dxa"/>
            <w:tcBorders>
              <w:top w:val="nil"/>
              <w:left w:val="nil"/>
              <w:bottom w:val="nil"/>
              <w:right w:val="nil"/>
            </w:tcBorders>
            <w:shd w:val="clear" w:color="auto" w:fill="auto"/>
            <w:noWrap/>
            <w:vAlign w:val="center"/>
          </w:tcPr>
          <w:p w14:paraId="06C9F163" w14:textId="77777777" w:rsidR="00D56C02" w:rsidRDefault="00000000">
            <w:pPr>
              <w:widowControl/>
              <w:jc w:val="center"/>
              <w:textAlignment w:val="center"/>
              <w:rPr>
                <w:rFonts w:ascii="Arial" w:hAnsi="Arial" w:cs="Arial"/>
                <w:sz w:val="14"/>
                <w:szCs w:val="14"/>
              </w:rPr>
            </w:pPr>
            <w:r>
              <w:rPr>
                <w:rFonts w:ascii="Arial" w:hAnsi="Arial" w:cs="Arial"/>
                <w:sz w:val="14"/>
                <w:szCs w:val="14"/>
              </w:rPr>
              <w:t>&lt;0.01</w:t>
            </w:r>
          </w:p>
        </w:tc>
        <w:tc>
          <w:tcPr>
            <w:tcW w:w="1413" w:type="dxa"/>
            <w:tcBorders>
              <w:top w:val="nil"/>
              <w:left w:val="nil"/>
              <w:bottom w:val="nil"/>
              <w:right w:val="nil"/>
            </w:tcBorders>
            <w:shd w:val="clear" w:color="auto" w:fill="auto"/>
            <w:noWrap/>
            <w:vAlign w:val="center"/>
          </w:tcPr>
          <w:p w14:paraId="0C3E1C4A" w14:textId="77777777" w:rsidR="00D56C02" w:rsidRDefault="00000000">
            <w:pPr>
              <w:widowControl/>
              <w:jc w:val="center"/>
              <w:textAlignment w:val="center"/>
              <w:rPr>
                <w:rFonts w:ascii="Arial" w:hAnsi="Arial" w:cs="Arial"/>
                <w:sz w:val="14"/>
                <w:szCs w:val="14"/>
              </w:rPr>
            </w:pPr>
            <w:r>
              <w:rPr>
                <w:rFonts w:ascii="Arial" w:hAnsi="Arial" w:cs="Arial"/>
                <w:sz w:val="14"/>
                <w:szCs w:val="14"/>
              </w:rPr>
              <w:t>0.12</w:t>
            </w:r>
          </w:p>
        </w:tc>
        <w:tc>
          <w:tcPr>
            <w:tcW w:w="1884" w:type="dxa"/>
            <w:tcBorders>
              <w:top w:val="nil"/>
              <w:left w:val="nil"/>
              <w:bottom w:val="nil"/>
              <w:right w:val="nil"/>
            </w:tcBorders>
            <w:shd w:val="clear" w:color="auto" w:fill="auto"/>
            <w:noWrap/>
            <w:vAlign w:val="center"/>
          </w:tcPr>
          <w:p w14:paraId="45CFF4A3" w14:textId="77777777" w:rsidR="00D56C02" w:rsidRDefault="00000000">
            <w:pPr>
              <w:widowControl/>
              <w:jc w:val="center"/>
              <w:textAlignment w:val="center"/>
              <w:rPr>
                <w:rFonts w:ascii="Arial" w:hAnsi="Arial" w:cs="Arial"/>
                <w:sz w:val="14"/>
                <w:szCs w:val="14"/>
              </w:rPr>
            </w:pPr>
            <w:r>
              <w:rPr>
                <w:rFonts w:ascii="Arial" w:hAnsi="Arial" w:cs="Arial"/>
                <w:sz w:val="14"/>
                <w:szCs w:val="14"/>
              </w:rPr>
              <w:t>-0.23</w:t>
            </w:r>
            <w:r>
              <w:rPr>
                <w:rFonts w:ascii="Arial" w:hAnsi="Arial" w:cs="Arial"/>
                <w:kern w:val="0"/>
                <w:sz w:val="14"/>
                <w:szCs w:val="14"/>
                <w:lang w:bidi="ar"/>
              </w:rPr>
              <w:t>~</w:t>
            </w:r>
            <w:r>
              <w:rPr>
                <w:rFonts w:ascii="Arial" w:hAnsi="Arial" w:cs="Arial"/>
                <w:sz w:val="14"/>
                <w:szCs w:val="14"/>
              </w:rPr>
              <w:t>0.24</w:t>
            </w:r>
          </w:p>
        </w:tc>
      </w:tr>
      <w:tr w:rsidR="00D56C02" w14:paraId="6C9D3DB8" w14:textId="77777777">
        <w:trPr>
          <w:trHeight w:val="280"/>
          <w:jc w:val="center"/>
        </w:trPr>
        <w:tc>
          <w:tcPr>
            <w:tcW w:w="2513" w:type="dxa"/>
            <w:tcBorders>
              <w:top w:val="nil"/>
              <w:left w:val="nil"/>
              <w:bottom w:val="single" w:sz="12" w:space="0" w:color="000000"/>
              <w:right w:val="nil"/>
            </w:tcBorders>
          </w:tcPr>
          <w:p w14:paraId="614F639F" w14:textId="77777777" w:rsidR="00D56C02" w:rsidRDefault="00000000">
            <w:pPr>
              <w:widowControl/>
              <w:jc w:val="left"/>
              <w:textAlignment w:val="center"/>
              <w:rPr>
                <w:rFonts w:ascii="Arial" w:hAnsi="Arial" w:cs="Arial"/>
                <w:kern w:val="0"/>
                <w:sz w:val="14"/>
                <w:szCs w:val="14"/>
                <w:lang w:bidi="ar"/>
              </w:rPr>
            </w:pPr>
            <w:r>
              <w:rPr>
                <w:rFonts w:ascii="Arial" w:hAnsi="Arial" w:cs="Arial"/>
                <w:kern w:val="0"/>
                <w:sz w:val="14"/>
                <w:szCs w:val="14"/>
              </w:rPr>
              <w:t>LRR pathogen load</w:t>
            </w:r>
          </w:p>
        </w:tc>
        <w:tc>
          <w:tcPr>
            <w:tcW w:w="2984" w:type="dxa"/>
            <w:tcBorders>
              <w:top w:val="nil"/>
              <w:left w:val="nil"/>
              <w:bottom w:val="single" w:sz="12" w:space="0" w:color="000000"/>
              <w:right w:val="nil"/>
            </w:tcBorders>
            <w:shd w:val="clear" w:color="auto" w:fill="auto"/>
            <w:noWrap/>
            <w:vAlign w:val="center"/>
          </w:tcPr>
          <w:p w14:paraId="3DADB6BC" w14:textId="77777777" w:rsidR="00D56C02" w:rsidRDefault="00000000">
            <w:pPr>
              <w:widowControl/>
              <w:jc w:val="left"/>
              <w:textAlignment w:val="center"/>
              <w:rPr>
                <w:rFonts w:ascii="Arial" w:hAnsi="Arial" w:cs="Arial"/>
                <w:sz w:val="14"/>
                <w:szCs w:val="14"/>
              </w:rPr>
            </w:pPr>
            <w:r>
              <w:rPr>
                <w:rFonts w:ascii="Arial" w:hAnsi="Arial" w:cs="Arial"/>
                <w:kern w:val="0"/>
                <w:sz w:val="14"/>
                <w:szCs w:val="14"/>
                <w:lang w:bidi="ar"/>
              </w:rPr>
              <w:t>Biomass</w:t>
            </w:r>
          </w:p>
        </w:tc>
        <w:tc>
          <w:tcPr>
            <w:tcW w:w="1412" w:type="dxa"/>
            <w:tcBorders>
              <w:top w:val="nil"/>
              <w:left w:val="nil"/>
              <w:bottom w:val="single" w:sz="12" w:space="0" w:color="000000"/>
              <w:right w:val="nil"/>
            </w:tcBorders>
            <w:shd w:val="clear" w:color="auto" w:fill="auto"/>
            <w:noWrap/>
            <w:vAlign w:val="center"/>
          </w:tcPr>
          <w:p w14:paraId="4C481A52" w14:textId="77777777" w:rsidR="00D56C02" w:rsidRDefault="00000000">
            <w:pPr>
              <w:widowControl/>
              <w:jc w:val="center"/>
              <w:textAlignment w:val="center"/>
              <w:rPr>
                <w:rFonts w:ascii="Arial" w:hAnsi="Arial" w:cs="Arial"/>
                <w:sz w:val="14"/>
                <w:szCs w:val="14"/>
              </w:rPr>
            </w:pPr>
            <w:r>
              <w:rPr>
                <w:rFonts w:ascii="Arial" w:hAnsi="Arial" w:cs="Arial"/>
                <w:sz w:val="14"/>
                <w:szCs w:val="14"/>
              </w:rPr>
              <w:t>-0.26</w:t>
            </w:r>
          </w:p>
        </w:tc>
        <w:tc>
          <w:tcPr>
            <w:tcW w:w="1413" w:type="dxa"/>
            <w:tcBorders>
              <w:top w:val="nil"/>
              <w:left w:val="nil"/>
              <w:bottom w:val="single" w:sz="12" w:space="0" w:color="000000"/>
              <w:right w:val="nil"/>
            </w:tcBorders>
            <w:shd w:val="clear" w:color="auto" w:fill="auto"/>
            <w:noWrap/>
            <w:vAlign w:val="center"/>
          </w:tcPr>
          <w:p w14:paraId="05269555" w14:textId="77777777" w:rsidR="00D56C02" w:rsidRDefault="00000000">
            <w:pPr>
              <w:widowControl/>
              <w:jc w:val="center"/>
              <w:textAlignment w:val="center"/>
              <w:rPr>
                <w:rFonts w:ascii="Arial" w:hAnsi="Arial" w:cs="Arial"/>
                <w:sz w:val="14"/>
                <w:szCs w:val="14"/>
              </w:rPr>
            </w:pPr>
            <w:r>
              <w:rPr>
                <w:rFonts w:ascii="Arial" w:hAnsi="Arial" w:cs="Arial"/>
                <w:sz w:val="14"/>
                <w:szCs w:val="14"/>
              </w:rPr>
              <w:t>0.13</w:t>
            </w:r>
          </w:p>
        </w:tc>
        <w:tc>
          <w:tcPr>
            <w:tcW w:w="1884" w:type="dxa"/>
            <w:tcBorders>
              <w:top w:val="nil"/>
              <w:left w:val="nil"/>
              <w:bottom w:val="single" w:sz="12" w:space="0" w:color="000000"/>
              <w:right w:val="nil"/>
            </w:tcBorders>
            <w:shd w:val="clear" w:color="auto" w:fill="auto"/>
            <w:noWrap/>
            <w:vAlign w:val="center"/>
          </w:tcPr>
          <w:p w14:paraId="343B93AE" w14:textId="77777777" w:rsidR="00D56C02" w:rsidRDefault="00000000">
            <w:pPr>
              <w:widowControl/>
              <w:jc w:val="center"/>
              <w:textAlignment w:val="center"/>
              <w:rPr>
                <w:rFonts w:ascii="Arial" w:hAnsi="Arial" w:cs="Arial"/>
                <w:sz w:val="14"/>
                <w:szCs w:val="14"/>
              </w:rPr>
            </w:pPr>
            <w:r>
              <w:rPr>
                <w:rFonts w:ascii="Arial" w:hAnsi="Arial" w:cs="Arial"/>
                <w:sz w:val="14"/>
                <w:szCs w:val="14"/>
              </w:rPr>
              <w:t>-0.53</w:t>
            </w:r>
            <w:r>
              <w:rPr>
                <w:rFonts w:ascii="Arial" w:hAnsi="Arial" w:cs="Arial"/>
                <w:kern w:val="0"/>
                <w:sz w:val="14"/>
                <w:szCs w:val="14"/>
                <w:lang w:bidi="ar"/>
              </w:rPr>
              <w:t>~</w:t>
            </w:r>
            <w:r>
              <w:rPr>
                <w:rFonts w:ascii="Arial" w:hAnsi="Arial" w:cs="Arial"/>
                <w:sz w:val="14"/>
                <w:szCs w:val="14"/>
                <w:lang w:bidi="ar"/>
              </w:rPr>
              <w:t>-0.01</w:t>
            </w:r>
          </w:p>
        </w:tc>
      </w:tr>
      <w:bookmarkEnd w:id="3"/>
    </w:tbl>
    <w:p w14:paraId="6755AEEE" w14:textId="77777777" w:rsidR="00D56C02" w:rsidRDefault="00000000">
      <w:pPr>
        <w:spacing w:line="480" w:lineRule="auto"/>
        <w:rPr>
          <w:rStyle w:val="None"/>
          <w:rFonts w:cs="Times New Roman"/>
          <w:b/>
          <w:kern w:val="0"/>
          <w:szCs w:val="24"/>
        </w:rPr>
      </w:pPr>
      <w:r>
        <w:rPr>
          <w:rStyle w:val="None"/>
          <w:rFonts w:cs="Times New Roman"/>
          <w:b/>
          <w:kern w:val="0"/>
          <w:szCs w:val="24"/>
        </w:rPr>
        <w:br w:type="page"/>
      </w:r>
    </w:p>
    <w:p w14:paraId="5D24E0A9" w14:textId="77777777" w:rsidR="00D56C02" w:rsidRDefault="00000000">
      <w:pPr>
        <w:spacing w:line="480" w:lineRule="auto"/>
        <w:jc w:val="left"/>
        <w:outlineLvl w:val="1"/>
        <w:rPr>
          <w:rStyle w:val="None"/>
          <w:rFonts w:cs="Times New Roman"/>
          <w:kern w:val="0"/>
          <w:szCs w:val="24"/>
        </w:rPr>
      </w:pPr>
      <w:r>
        <w:rPr>
          <w:rFonts w:cs="Times New Roman"/>
          <w:b/>
          <w:bCs/>
          <w:color w:val="000000"/>
          <w:szCs w:val="24"/>
        </w:rPr>
        <w:lastRenderedPageBreak/>
        <w:t>Supplementary</w:t>
      </w:r>
      <w:r>
        <w:rPr>
          <w:rFonts w:eastAsiaTheme="minorEastAsia" w:cs="Times New Roman"/>
          <w:b/>
          <w:bCs/>
          <w:szCs w:val="24"/>
        </w:rPr>
        <w:t xml:space="preserve"> Table 3</w:t>
      </w:r>
      <w:r>
        <w:rPr>
          <w:rFonts w:cs="Times New Roman"/>
          <w:b/>
          <w:bCs/>
          <w:szCs w:val="24"/>
        </w:rPr>
        <w:t xml:space="preserve"> |</w:t>
      </w:r>
      <w:r>
        <w:rPr>
          <w:rFonts w:eastAsiaTheme="minorEastAsia" w:cs="Times New Roman"/>
          <w:b/>
          <w:bCs/>
          <w:szCs w:val="24"/>
        </w:rPr>
        <w:t xml:space="preserve"> Results of estimate contribution by using Bayesian mixed-effects models. </w:t>
      </w:r>
      <w:r>
        <w:rPr>
          <w:rFonts w:eastAsiaTheme="minorEastAsia" w:cs="Times New Roman"/>
          <w:szCs w:val="24"/>
        </w:rPr>
        <w:t xml:space="preserve">The effects of mean annual temperature (MAT), mean annual </w:t>
      </w:r>
      <w:r>
        <w:rPr>
          <w:rFonts w:cs="Times New Roman"/>
          <w:szCs w:val="24"/>
        </w:rPr>
        <w:t xml:space="preserve">precipitation </w:t>
      </w:r>
      <w:r>
        <w:rPr>
          <w:rFonts w:eastAsiaTheme="minorEastAsia" w:cs="Times New Roman"/>
          <w:szCs w:val="24"/>
        </w:rPr>
        <w:t xml:space="preserve">(MAP), </w:t>
      </w:r>
      <w:r>
        <w:rPr>
          <w:rFonts w:cs="Times New Roman"/>
          <w:kern w:val="0"/>
          <w:szCs w:val="24"/>
        </w:rPr>
        <w:t>grassland</w:t>
      </w:r>
      <w:r>
        <w:rPr>
          <w:rStyle w:val="None"/>
          <w:rFonts w:cs="Times New Roman"/>
          <w:szCs w:val="24"/>
        </w:rPr>
        <w:t xml:space="preserve"> patches’ plots</w:t>
      </w:r>
      <w:r>
        <w:rPr>
          <w:rFonts w:eastAsiaTheme="minorEastAsia" w:cs="Times New Roman"/>
          <w:szCs w:val="24"/>
        </w:rPr>
        <w:t xml:space="preserve"> herbaceous </w:t>
      </w:r>
      <w:r>
        <w:rPr>
          <w:rFonts w:cs="Times New Roman"/>
          <w:iCs/>
          <w:szCs w:val="24"/>
        </w:rPr>
        <w:t>plant community</w:t>
      </w:r>
      <w:r>
        <w:rPr>
          <w:rStyle w:val="None"/>
          <w:rFonts w:eastAsia="Arial Unicode MS" w:cs="Times New Roman"/>
          <w:szCs w:val="24"/>
        </w:rPr>
        <w:t xml:space="preserve"> Shannon diversity index</w:t>
      </w:r>
      <w:r>
        <w:rPr>
          <w:rFonts w:eastAsiaTheme="minorEastAsia" w:cs="Times New Roman"/>
          <w:szCs w:val="24"/>
        </w:rPr>
        <w:t xml:space="preserve"> (</w:t>
      </w:r>
      <w:r>
        <w:rPr>
          <w:rFonts w:eastAsiaTheme="minorEastAsia" w:cs="Times New Roman"/>
          <w:i/>
          <w:iCs/>
          <w:szCs w:val="24"/>
        </w:rPr>
        <w:t>Shannon</w:t>
      </w:r>
      <w:r>
        <w:rPr>
          <w:rFonts w:eastAsiaTheme="minorEastAsia" w:cs="Times New Roman"/>
          <w:szCs w:val="24"/>
        </w:rPr>
        <w:t xml:space="preserve">), </w:t>
      </w:r>
      <w:r>
        <w:rPr>
          <w:rStyle w:val="None"/>
          <w:rFonts w:eastAsia="Arial Unicode MS" w:cs="Times New Roman"/>
          <w:szCs w:val="24"/>
        </w:rPr>
        <w:t>Simpson diversity index</w:t>
      </w:r>
      <w:r>
        <w:rPr>
          <w:rFonts w:eastAsiaTheme="minorEastAsia" w:cs="Times New Roman"/>
          <w:szCs w:val="24"/>
        </w:rPr>
        <w:t xml:space="preserve"> (</w:t>
      </w:r>
      <w:r>
        <w:rPr>
          <w:rFonts w:eastAsiaTheme="minorEastAsia" w:cs="Times New Roman"/>
          <w:i/>
          <w:iCs/>
          <w:szCs w:val="24"/>
        </w:rPr>
        <w:t>Simpson</w:t>
      </w:r>
      <w:r>
        <w:rPr>
          <w:rFonts w:eastAsiaTheme="minorEastAsia" w:cs="Times New Roman"/>
          <w:szCs w:val="24"/>
        </w:rPr>
        <w:t xml:space="preserve">), </w:t>
      </w:r>
      <w:r>
        <w:rPr>
          <w:rFonts w:cs="Times New Roman"/>
          <w:iCs/>
          <w:szCs w:val="24"/>
        </w:rPr>
        <w:t>species richness</w:t>
      </w:r>
      <w:r>
        <w:rPr>
          <w:rFonts w:eastAsiaTheme="minorEastAsia" w:cs="Times New Roman"/>
          <w:szCs w:val="24"/>
        </w:rPr>
        <w:t xml:space="preserve"> (</w:t>
      </w:r>
      <w:r>
        <w:rPr>
          <w:rFonts w:eastAsiaTheme="minorEastAsia" w:cs="Times New Roman"/>
          <w:i/>
          <w:iCs/>
          <w:szCs w:val="24"/>
        </w:rPr>
        <w:t xml:space="preserve">Species </w:t>
      </w:r>
      <w:r>
        <w:rPr>
          <w:rFonts w:cs="Times New Roman"/>
          <w:i/>
          <w:iCs/>
          <w:kern w:val="0"/>
          <w:szCs w:val="24"/>
          <w:lang w:bidi="ar"/>
        </w:rPr>
        <w:t>richness</w:t>
      </w:r>
      <w:r>
        <w:rPr>
          <w:rFonts w:eastAsiaTheme="minorEastAsia" w:cs="Times New Roman"/>
          <w:szCs w:val="24"/>
        </w:rPr>
        <w:t>),</w:t>
      </w:r>
      <w:r>
        <w:rPr>
          <w:rFonts w:cs="Times New Roman"/>
          <w:kern w:val="0"/>
          <w:szCs w:val="24"/>
        </w:rPr>
        <w:t xml:space="preserve"> </w:t>
      </w:r>
      <w:r>
        <w:rPr>
          <w:rFonts w:cs="Times New Roman"/>
          <w:szCs w:val="24"/>
        </w:rPr>
        <w:t>aboveground biomass (</w:t>
      </w:r>
      <w:r>
        <w:rPr>
          <w:rFonts w:cs="Times New Roman"/>
          <w:i/>
          <w:iCs/>
          <w:szCs w:val="24"/>
        </w:rPr>
        <w:t>Biomass</w:t>
      </w:r>
      <w:r>
        <w:rPr>
          <w:rFonts w:cs="Times New Roman"/>
          <w:szCs w:val="24"/>
        </w:rPr>
        <w:t>)</w:t>
      </w:r>
      <w:r>
        <w:rPr>
          <w:rFonts w:eastAsiaTheme="minorEastAsia" w:cs="Times New Roman"/>
          <w:szCs w:val="24"/>
        </w:rPr>
        <w:t xml:space="preserve"> </w:t>
      </w:r>
      <w:r>
        <w:rPr>
          <w:rFonts w:cs="Times New Roman"/>
          <w:szCs w:val="24"/>
        </w:rPr>
        <w:t>and</w:t>
      </w:r>
      <w:r>
        <w:rPr>
          <w:rFonts w:eastAsiaTheme="minorEastAsia" w:cs="Times New Roman"/>
          <w:szCs w:val="24"/>
        </w:rPr>
        <w:t xml:space="preserve"> the first principal component of </w:t>
      </w:r>
      <w:r>
        <w:rPr>
          <w:rFonts w:cs="Times New Roman"/>
          <w:kern w:val="0"/>
          <w:szCs w:val="24"/>
        </w:rPr>
        <w:t>grassland</w:t>
      </w:r>
      <w:r>
        <w:rPr>
          <w:rStyle w:val="None"/>
          <w:rFonts w:cs="Times New Roman"/>
          <w:szCs w:val="24"/>
        </w:rPr>
        <w:t xml:space="preserve"> patches’ plots</w:t>
      </w:r>
      <w:r>
        <w:rPr>
          <w:rFonts w:eastAsiaTheme="minorEastAsia" w:cs="Times New Roman"/>
          <w:szCs w:val="24"/>
        </w:rPr>
        <w:t xml:space="preserve"> soil variables (</w:t>
      </w:r>
      <w:r>
        <w:rPr>
          <w:rFonts w:cs="Times New Roman"/>
          <w:kern w:val="0"/>
          <w:szCs w:val="24"/>
        </w:rPr>
        <w:t>S</w:t>
      </w:r>
      <w:r>
        <w:rPr>
          <w:rFonts w:eastAsiaTheme="minorEastAsia" w:cs="Times New Roman"/>
          <w:szCs w:val="24"/>
        </w:rPr>
        <w:t xml:space="preserve">oil PC1) </w:t>
      </w:r>
      <w:r>
        <w:rPr>
          <w:rFonts w:cs="Times New Roman"/>
          <w:szCs w:val="24"/>
        </w:rPr>
        <w:t xml:space="preserve">on </w:t>
      </w:r>
      <w:r>
        <w:rPr>
          <w:rStyle w:val="None"/>
          <w:rFonts w:cs="Times New Roman"/>
          <w:szCs w:val="24"/>
        </w:rPr>
        <w:t xml:space="preserve">log-transformed response ratio of herbaceous </w:t>
      </w:r>
      <w:r>
        <w:rPr>
          <w:rStyle w:val="None"/>
          <w:rFonts w:cs="Times New Roman"/>
          <w:kern w:val="0"/>
          <w:szCs w:val="24"/>
        </w:rPr>
        <w:t xml:space="preserve">community foliar fungal pathogen load </w:t>
      </w:r>
      <w:r>
        <w:rPr>
          <w:rStyle w:val="None"/>
          <w:rFonts w:cs="Times New Roman"/>
          <w:szCs w:val="24"/>
        </w:rPr>
        <w:t xml:space="preserve">between </w:t>
      </w:r>
      <w:r>
        <w:rPr>
          <w:rStyle w:val="None"/>
          <w:rFonts w:cs="Times New Roman"/>
          <w:kern w:val="0"/>
          <w:szCs w:val="24"/>
        </w:rPr>
        <w:t>shrub patches</w:t>
      </w:r>
      <w:r>
        <w:rPr>
          <w:rStyle w:val="None"/>
          <w:rFonts w:cs="Times New Roman"/>
          <w:szCs w:val="24"/>
        </w:rPr>
        <w:t xml:space="preserve"> and grassland patches’ plots </w:t>
      </w:r>
      <w:r>
        <w:rPr>
          <w:rStyle w:val="None"/>
          <w:rFonts w:cs="Times New Roman"/>
          <w:kern w:val="0"/>
          <w:szCs w:val="24"/>
        </w:rPr>
        <w:t>(i.e., LRR pathogen load)</w:t>
      </w:r>
      <w:r>
        <w:rPr>
          <w:rFonts w:cs="Times New Roman"/>
          <w:szCs w:val="24"/>
        </w:rPr>
        <w:t>.</w:t>
      </w:r>
      <w:r>
        <w:rPr>
          <w:rFonts w:eastAsiaTheme="minorEastAsia" w:cs="Times New Roman"/>
          <w:szCs w:val="24"/>
        </w:rPr>
        <w:t xml:space="preserve"> </w:t>
      </w:r>
    </w:p>
    <w:tbl>
      <w:tblPr>
        <w:tblW w:w="10206" w:type="dxa"/>
        <w:jc w:val="center"/>
        <w:tblLayout w:type="fixed"/>
        <w:tblLook w:val="04A0" w:firstRow="1" w:lastRow="0" w:firstColumn="1" w:lastColumn="0" w:noHBand="0" w:noVBand="1"/>
      </w:tblPr>
      <w:tblGrid>
        <w:gridCol w:w="2405"/>
        <w:gridCol w:w="3335"/>
        <w:gridCol w:w="1276"/>
        <w:gridCol w:w="1436"/>
        <w:gridCol w:w="1754"/>
      </w:tblGrid>
      <w:tr w:rsidR="00D56C02" w14:paraId="6E95690C" w14:textId="77777777">
        <w:trPr>
          <w:trHeight w:val="295"/>
          <w:jc w:val="center"/>
        </w:trPr>
        <w:tc>
          <w:tcPr>
            <w:tcW w:w="2405" w:type="dxa"/>
            <w:tcBorders>
              <w:top w:val="single" w:sz="8" w:space="0" w:color="000000"/>
              <w:left w:val="nil"/>
              <w:bottom w:val="single" w:sz="8" w:space="0" w:color="000000"/>
              <w:right w:val="nil"/>
            </w:tcBorders>
            <w:vAlign w:val="center"/>
          </w:tcPr>
          <w:p w14:paraId="6ACBAB6D" w14:textId="77777777" w:rsidR="00D56C02" w:rsidRDefault="00000000">
            <w:pPr>
              <w:widowControl/>
              <w:spacing w:line="480" w:lineRule="auto"/>
              <w:jc w:val="center"/>
              <w:textAlignment w:val="center"/>
              <w:rPr>
                <w:rFonts w:ascii="Arial" w:hAnsi="Arial" w:cs="Arial"/>
                <w:kern w:val="0"/>
                <w:sz w:val="14"/>
                <w:szCs w:val="14"/>
                <w:lang w:bidi="ar"/>
              </w:rPr>
            </w:pPr>
            <w:r>
              <w:rPr>
                <w:rFonts w:ascii="Arial" w:hAnsi="Arial" w:cs="Arial"/>
                <w:b/>
                <w:bCs/>
                <w:kern w:val="0"/>
                <w:sz w:val="14"/>
                <w:szCs w:val="14"/>
                <w:lang w:bidi="ar"/>
              </w:rPr>
              <w:t>Response</w:t>
            </w:r>
          </w:p>
        </w:tc>
        <w:tc>
          <w:tcPr>
            <w:tcW w:w="3335" w:type="dxa"/>
            <w:tcBorders>
              <w:top w:val="single" w:sz="8" w:space="0" w:color="000000"/>
              <w:left w:val="nil"/>
              <w:bottom w:val="single" w:sz="8" w:space="0" w:color="000000"/>
              <w:right w:val="nil"/>
            </w:tcBorders>
            <w:shd w:val="clear" w:color="auto" w:fill="auto"/>
            <w:noWrap/>
            <w:vAlign w:val="center"/>
          </w:tcPr>
          <w:p w14:paraId="227C745A" w14:textId="77777777" w:rsidR="00D56C02" w:rsidRDefault="00000000">
            <w:pPr>
              <w:widowControl/>
              <w:spacing w:line="480" w:lineRule="auto"/>
              <w:jc w:val="center"/>
              <w:textAlignment w:val="center"/>
              <w:rPr>
                <w:rFonts w:ascii="Arial" w:hAnsi="Arial" w:cs="Arial"/>
                <w:sz w:val="14"/>
                <w:szCs w:val="14"/>
              </w:rPr>
            </w:pPr>
            <w:r>
              <w:rPr>
                <w:rFonts w:ascii="Arial" w:hAnsi="Arial" w:cs="Arial"/>
                <w:b/>
                <w:bCs/>
                <w:kern w:val="0"/>
                <w:sz w:val="14"/>
                <w:szCs w:val="14"/>
                <w:lang w:bidi="ar"/>
              </w:rPr>
              <w:t>Predictors</w:t>
            </w:r>
          </w:p>
        </w:tc>
        <w:tc>
          <w:tcPr>
            <w:tcW w:w="1276" w:type="dxa"/>
            <w:tcBorders>
              <w:top w:val="single" w:sz="8" w:space="0" w:color="000000"/>
              <w:left w:val="nil"/>
              <w:bottom w:val="single" w:sz="8" w:space="0" w:color="000000"/>
              <w:right w:val="nil"/>
            </w:tcBorders>
            <w:shd w:val="clear" w:color="auto" w:fill="auto"/>
            <w:noWrap/>
            <w:vAlign w:val="center"/>
          </w:tcPr>
          <w:p w14:paraId="1B886EFF" w14:textId="77777777" w:rsidR="00D56C02" w:rsidRDefault="00000000">
            <w:pPr>
              <w:widowControl/>
              <w:spacing w:line="480" w:lineRule="auto"/>
              <w:jc w:val="center"/>
              <w:textAlignment w:val="center"/>
              <w:rPr>
                <w:rFonts w:ascii="Arial" w:hAnsi="Arial" w:cs="Arial"/>
                <w:sz w:val="14"/>
                <w:szCs w:val="14"/>
              </w:rPr>
            </w:pPr>
            <w:r>
              <w:rPr>
                <w:rFonts w:ascii="Arial" w:hAnsi="Arial" w:cs="Arial"/>
                <w:b/>
                <w:bCs/>
                <w:kern w:val="0"/>
                <w:sz w:val="14"/>
                <w:szCs w:val="14"/>
                <w:lang w:bidi="ar"/>
              </w:rPr>
              <w:t>Estimate</w:t>
            </w:r>
          </w:p>
        </w:tc>
        <w:tc>
          <w:tcPr>
            <w:tcW w:w="1436" w:type="dxa"/>
            <w:tcBorders>
              <w:top w:val="single" w:sz="8" w:space="0" w:color="000000"/>
              <w:left w:val="nil"/>
              <w:bottom w:val="single" w:sz="8" w:space="0" w:color="000000"/>
              <w:right w:val="nil"/>
            </w:tcBorders>
            <w:shd w:val="clear" w:color="auto" w:fill="auto"/>
            <w:noWrap/>
            <w:vAlign w:val="center"/>
          </w:tcPr>
          <w:p w14:paraId="5C16FF5B" w14:textId="77777777" w:rsidR="00D56C02" w:rsidRDefault="00000000">
            <w:pPr>
              <w:widowControl/>
              <w:spacing w:line="480" w:lineRule="auto"/>
              <w:jc w:val="center"/>
              <w:textAlignment w:val="center"/>
              <w:rPr>
                <w:rFonts w:ascii="Arial" w:hAnsi="Arial" w:cs="Arial"/>
                <w:sz w:val="14"/>
                <w:szCs w:val="14"/>
              </w:rPr>
            </w:pPr>
            <w:r>
              <w:rPr>
                <w:rFonts w:ascii="Arial" w:hAnsi="Arial" w:cs="Arial"/>
                <w:b/>
                <w:bCs/>
                <w:kern w:val="0"/>
                <w:sz w:val="14"/>
                <w:szCs w:val="14"/>
                <w:lang w:bidi="ar"/>
              </w:rPr>
              <w:t>Est. Error</w:t>
            </w:r>
          </w:p>
        </w:tc>
        <w:tc>
          <w:tcPr>
            <w:tcW w:w="1754" w:type="dxa"/>
            <w:tcBorders>
              <w:top w:val="single" w:sz="8" w:space="0" w:color="000000"/>
              <w:left w:val="nil"/>
              <w:bottom w:val="single" w:sz="8" w:space="0" w:color="000000"/>
              <w:right w:val="nil"/>
            </w:tcBorders>
            <w:shd w:val="clear" w:color="auto" w:fill="auto"/>
            <w:noWrap/>
            <w:vAlign w:val="center"/>
          </w:tcPr>
          <w:p w14:paraId="794F3446" w14:textId="77777777" w:rsidR="00D56C02" w:rsidRDefault="00000000">
            <w:pPr>
              <w:widowControl/>
              <w:spacing w:line="480" w:lineRule="auto"/>
              <w:jc w:val="center"/>
              <w:textAlignment w:val="center"/>
              <w:rPr>
                <w:rFonts w:ascii="Arial" w:hAnsi="Arial" w:cs="Arial"/>
                <w:sz w:val="14"/>
                <w:szCs w:val="14"/>
              </w:rPr>
            </w:pPr>
            <w:r>
              <w:rPr>
                <w:rFonts w:ascii="Arial" w:hAnsi="Arial" w:cs="Arial"/>
                <w:b/>
                <w:bCs/>
                <w:kern w:val="0"/>
                <w:sz w:val="14"/>
                <w:szCs w:val="14"/>
                <w:lang w:bidi="ar"/>
              </w:rPr>
              <w:t>95%CI</w:t>
            </w:r>
          </w:p>
        </w:tc>
      </w:tr>
      <w:tr w:rsidR="00D56C02" w14:paraId="5CA72DBE" w14:textId="77777777">
        <w:trPr>
          <w:trHeight w:val="295"/>
          <w:jc w:val="center"/>
        </w:trPr>
        <w:tc>
          <w:tcPr>
            <w:tcW w:w="2405" w:type="dxa"/>
            <w:tcBorders>
              <w:top w:val="single" w:sz="8" w:space="0" w:color="000000"/>
              <w:left w:val="nil"/>
              <w:bottom w:val="nil"/>
              <w:right w:val="nil"/>
            </w:tcBorders>
            <w:vAlign w:val="center"/>
          </w:tcPr>
          <w:p w14:paraId="74EBE8DE" w14:textId="77777777" w:rsidR="00D56C02" w:rsidRDefault="00000000">
            <w:pPr>
              <w:widowControl/>
              <w:spacing w:line="480" w:lineRule="auto"/>
              <w:jc w:val="left"/>
              <w:textAlignment w:val="center"/>
              <w:rPr>
                <w:rFonts w:ascii="Arial" w:hAnsi="Arial" w:cs="Arial"/>
                <w:kern w:val="0"/>
                <w:sz w:val="14"/>
                <w:szCs w:val="14"/>
              </w:rPr>
            </w:pPr>
            <w:r>
              <w:rPr>
                <w:rFonts w:ascii="Arial" w:hAnsi="Arial" w:cs="Arial"/>
                <w:kern w:val="0"/>
                <w:sz w:val="14"/>
                <w:szCs w:val="14"/>
              </w:rPr>
              <w:t>LRR pathogen load</w:t>
            </w:r>
          </w:p>
        </w:tc>
        <w:tc>
          <w:tcPr>
            <w:tcW w:w="3335" w:type="dxa"/>
            <w:tcBorders>
              <w:top w:val="single" w:sz="8" w:space="0" w:color="000000"/>
              <w:left w:val="nil"/>
              <w:bottom w:val="nil"/>
              <w:right w:val="nil"/>
            </w:tcBorders>
            <w:shd w:val="clear" w:color="auto" w:fill="auto"/>
            <w:noWrap/>
            <w:vAlign w:val="center"/>
          </w:tcPr>
          <w:p w14:paraId="19518210" w14:textId="77777777" w:rsidR="00D56C02" w:rsidRDefault="00000000">
            <w:pPr>
              <w:widowControl/>
              <w:spacing w:line="480" w:lineRule="auto"/>
              <w:jc w:val="left"/>
              <w:textAlignment w:val="center"/>
              <w:rPr>
                <w:rFonts w:ascii="Arial" w:hAnsi="Arial" w:cs="Arial"/>
                <w:sz w:val="14"/>
                <w:szCs w:val="14"/>
              </w:rPr>
            </w:pPr>
            <w:r>
              <w:rPr>
                <w:rFonts w:ascii="Arial" w:hAnsi="Arial" w:cs="Arial"/>
                <w:sz w:val="14"/>
                <w:szCs w:val="14"/>
              </w:rPr>
              <w:t>MAT</w:t>
            </w:r>
          </w:p>
        </w:tc>
        <w:tc>
          <w:tcPr>
            <w:tcW w:w="1276" w:type="dxa"/>
            <w:tcBorders>
              <w:top w:val="single" w:sz="8" w:space="0" w:color="000000"/>
              <w:left w:val="nil"/>
              <w:bottom w:val="nil"/>
              <w:right w:val="nil"/>
            </w:tcBorders>
            <w:shd w:val="clear" w:color="auto" w:fill="auto"/>
            <w:noWrap/>
            <w:vAlign w:val="center"/>
          </w:tcPr>
          <w:p w14:paraId="66F76B90" w14:textId="77777777" w:rsidR="00D56C02" w:rsidRDefault="00000000">
            <w:pPr>
              <w:widowControl/>
              <w:spacing w:line="480" w:lineRule="auto"/>
              <w:jc w:val="center"/>
              <w:textAlignment w:val="center"/>
              <w:rPr>
                <w:rFonts w:ascii="Arial" w:hAnsi="Arial" w:cs="Arial"/>
                <w:sz w:val="14"/>
                <w:szCs w:val="14"/>
              </w:rPr>
            </w:pPr>
            <w:r>
              <w:rPr>
                <w:rFonts w:ascii="Arial" w:hAnsi="Arial" w:cs="Arial"/>
                <w:sz w:val="14"/>
                <w:szCs w:val="14"/>
              </w:rPr>
              <w:t>5.91</w:t>
            </w:r>
          </w:p>
        </w:tc>
        <w:tc>
          <w:tcPr>
            <w:tcW w:w="1436" w:type="dxa"/>
            <w:tcBorders>
              <w:top w:val="single" w:sz="8" w:space="0" w:color="000000"/>
              <w:left w:val="nil"/>
              <w:bottom w:val="nil"/>
              <w:right w:val="nil"/>
            </w:tcBorders>
            <w:shd w:val="clear" w:color="auto" w:fill="auto"/>
            <w:noWrap/>
            <w:vAlign w:val="center"/>
          </w:tcPr>
          <w:p w14:paraId="3CE665A7" w14:textId="77777777" w:rsidR="00D56C02" w:rsidRDefault="00000000">
            <w:pPr>
              <w:widowControl/>
              <w:spacing w:line="480" w:lineRule="auto"/>
              <w:jc w:val="center"/>
              <w:textAlignment w:val="center"/>
              <w:rPr>
                <w:rFonts w:ascii="Arial" w:hAnsi="Arial" w:cs="Arial"/>
                <w:sz w:val="14"/>
                <w:szCs w:val="14"/>
              </w:rPr>
            </w:pPr>
            <w:r>
              <w:rPr>
                <w:rFonts w:ascii="Arial" w:hAnsi="Arial" w:cs="Arial"/>
                <w:sz w:val="14"/>
                <w:szCs w:val="14"/>
              </w:rPr>
              <w:t>0.04</w:t>
            </w:r>
          </w:p>
        </w:tc>
        <w:tc>
          <w:tcPr>
            <w:tcW w:w="1754" w:type="dxa"/>
            <w:tcBorders>
              <w:top w:val="single" w:sz="8" w:space="0" w:color="000000"/>
              <w:left w:val="nil"/>
              <w:bottom w:val="nil"/>
              <w:right w:val="nil"/>
            </w:tcBorders>
            <w:shd w:val="clear" w:color="auto" w:fill="auto"/>
            <w:noWrap/>
            <w:vAlign w:val="center"/>
          </w:tcPr>
          <w:p w14:paraId="6DD6988C" w14:textId="77777777" w:rsidR="00D56C02" w:rsidRDefault="00000000">
            <w:pPr>
              <w:widowControl/>
              <w:spacing w:line="480" w:lineRule="auto"/>
              <w:jc w:val="center"/>
              <w:textAlignment w:val="center"/>
              <w:rPr>
                <w:rFonts w:ascii="Arial" w:hAnsi="Arial" w:cs="Arial"/>
                <w:kern w:val="0"/>
                <w:sz w:val="14"/>
                <w:szCs w:val="14"/>
                <w:lang w:bidi="ar"/>
              </w:rPr>
            </w:pPr>
            <w:r>
              <w:rPr>
                <w:rFonts w:ascii="Arial" w:hAnsi="Arial" w:cs="Arial"/>
                <w:kern w:val="0"/>
                <w:sz w:val="14"/>
                <w:szCs w:val="14"/>
                <w:lang w:bidi="ar"/>
              </w:rPr>
              <w:t>5.82~5.99</w:t>
            </w:r>
          </w:p>
        </w:tc>
      </w:tr>
      <w:tr w:rsidR="00D56C02" w14:paraId="3632B9D8" w14:textId="77777777">
        <w:trPr>
          <w:trHeight w:val="280"/>
          <w:jc w:val="center"/>
        </w:trPr>
        <w:tc>
          <w:tcPr>
            <w:tcW w:w="2405" w:type="dxa"/>
            <w:tcBorders>
              <w:top w:val="nil"/>
              <w:left w:val="nil"/>
              <w:bottom w:val="nil"/>
              <w:right w:val="nil"/>
            </w:tcBorders>
            <w:vAlign w:val="center"/>
          </w:tcPr>
          <w:p w14:paraId="1492A7AB" w14:textId="77777777" w:rsidR="00D56C02" w:rsidRDefault="00000000">
            <w:pPr>
              <w:widowControl/>
              <w:spacing w:line="480" w:lineRule="auto"/>
              <w:jc w:val="left"/>
              <w:textAlignment w:val="center"/>
              <w:rPr>
                <w:rFonts w:ascii="Arial" w:hAnsi="Arial" w:cs="Arial"/>
                <w:kern w:val="0"/>
                <w:sz w:val="14"/>
                <w:szCs w:val="14"/>
                <w:lang w:bidi="ar"/>
              </w:rPr>
            </w:pPr>
            <w:r>
              <w:rPr>
                <w:rFonts w:ascii="Arial" w:hAnsi="Arial" w:cs="Arial"/>
                <w:kern w:val="0"/>
                <w:sz w:val="14"/>
                <w:szCs w:val="14"/>
              </w:rPr>
              <w:t>LRR pathogen load</w:t>
            </w:r>
          </w:p>
        </w:tc>
        <w:tc>
          <w:tcPr>
            <w:tcW w:w="3335" w:type="dxa"/>
            <w:tcBorders>
              <w:top w:val="nil"/>
              <w:left w:val="nil"/>
              <w:bottom w:val="nil"/>
              <w:right w:val="nil"/>
            </w:tcBorders>
            <w:shd w:val="clear" w:color="auto" w:fill="auto"/>
            <w:noWrap/>
            <w:vAlign w:val="center"/>
          </w:tcPr>
          <w:p w14:paraId="59371633" w14:textId="77777777" w:rsidR="00D56C02" w:rsidRDefault="00000000">
            <w:pPr>
              <w:widowControl/>
              <w:spacing w:line="480" w:lineRule="auto"/>
              <w:jc w:val="left"/>
              <w:textAlignment w:val="center"/>
              <w:rPr>
                <w:rFonts w:ascii="Arial" w:hAnsi="Arial" w:cs="Arial"/>
                <w:sz w:val="14"/>
                <w:szCs w:val="14"/>
              </w:rPr>
            </w:pPr>
            <w:r>
              <w:rPr>
                <w:rFonts w:ascii="Arial" w:hAnsi="Arial" w:cs="Arial"/>
                <w:sz w:val="14"/>
                <w:szCs w:val="14"/>
              </w:rPr>
              <w:t>MAP</w:t>
            </w:r>
          </w:p>
        </w:tc>
        <w:tc>
          <w:tcPr>
            <w:tcW w:w="1276" w:type="dxa"/>
            <w:tcBorders>
              <w:top w:val="nil"/>
              <w:left w:val="nil"/>
              <w:bottom w:val="nil"/>
              <w:right w:val="nil"/>
            </w:tcBorders>
            <w:shd w:val="clear" w:color="auto" w:fill="auto"/>
            <w:noWrap/>
            <w:vAlign w:val="center"/>
          </w:tcPr>
          <w:p w14:paraId="315B7C84" w14:textId="77777777" w:rsidR="00D56C02" w:rsidRDefault="00000000">
            <w:pPr>
              <w:widowControl/>
              <w:spacing w:line="480" w:lineRule="auto"/>
              <w:jc w:val="center"/>
              <w:textAlignment w:val="center"/>
              <w:rPr>
                <w:rFonts w:ascii="Arial" w:hAnsi="Arial" w:cs="Arial"/>
                <w:sz w:val="14"/>
                <w:szCs w:val="14"/>
              </w:rPr>
            </w:pPr>
            <w:r>
              <w:rPr>
                <w:rFonts w:ascii="Arial" w:hAnsi="Arial" w:cs="Arial"/>
                <w:sz w:val="14"/>
                <w:szCs w:val="14"/>
              </w:rPr>
              <w:t>2.72</w:t>
            </w:r>
          </w:p>
        </w:tc>
        <w:tc>
          <w:tcPr>
            <w:tcW w:w="1436" w:type="dxa"/>
            <w:tcBorders>
              <w:top w:val="nil"/>
              <w:left w:val="nil"/>
              <w:bottom w:val="nil"/>
              <w:right w:val="nil"/>
            </w:tcBorders>
            <w:shd w:val="clear" w:color="auto" w:fill="auto"/>
            <w:noWrap/>
            <w:vAlign w:val="center"/>
          </w:tcPr>
          <w:p w14:paraId="1DC4B390" w14:textId="77777777" w:rsidR="00D56C02" w:rsidRDefault="00000000">
            <w:pPr>
              <w:widowControl/>
              <w:spacing w:line="480" w:lineRule="auto"/>
              <w:jc w:val="center"/>
              <w:textAlignment w:val="center"/>
              <w:rPr>
                <w:rFonts w:ascii="Arial" w:hAnsi="Arial" w:cs="Arial"/>
                <w:sz w:val="14"/>
                <w:szCs w:val="14"/>
              </w:rPr>
            </w:pPr>
            <w:r>
              <w:rPr>
                <w:rFonts w:ascii="Arial" w:hAnsi="Arial" w:cs="Arial"/>
                <w:sz w:val="14"/>
                <w:szCs w:val="14"/>
              </w:rPr>
              <w:t>0.05</w:t>
            </w:r>
          </w:p>
        </w:tc>
        <w:tc>
          <w:tcPr>
            <w:tcW w:w="1754" w:type="dxa"/>
            <w:tcBorders>
              <w:top w:val="nil"/>
              <w:left w:val="nil"/>
              <w:bottom w:val="nil"/>
              <w:right w:val="nil"/>
            </w:tcBorders>
            <w:shd w:val="clear" w:color="auto" w:fill="auto"/>
            <w:noWrap/>
            <w:vAlign w:val="center"/>
          </w:tcPr>
          <w:p w14:paraId="1E296C76" w14:textId="77777777" w:rsidR="00D56C02" w:rsidRDefault="00000000">
            <w:pPr>
              <w:widowControl/>
              <w:spacing w:line="480" w:lineRule="auto"/>
              <w:jc w:val="center"/>
              <w:textAlignment w:val="center"/>
              <w:rPr>
                <w:rFonts w:ascii="Arial" w:hAnsi="Arial" w:cs="Arial"/>
                <w:sz w:val="14"/>
                <w:szCs w:val="14"/>
              </w:rPr>
            </w:pPr>
            <w:r>
              <w:rPr>
                <w:rFonts w:ascii="Arial" w:hAnsi="Arial" w:cs="Arial"/>
                <w:kern w:val="0"/>
                <w:sz w:val="14"/>
                <w:szCs w:val="14"/>
                <w:lang w:bidi="ar"/>
              </w:rPr>
              <w:t>2.63~2.82</w:t>
            </w:r>
          </w:p>
        </w:tc>
      </w:tr>
      <w:tr w:rsidR="00D56C02" w14:paraId="6DE37799" w14:textId="77777777">
        <w:trPr>
          <w:trHeight w:val="280"/>
          <w:jc w:val="center"/>
        </w:trPr>
        <w:tc>
          <w:tcPr>
            <w:tcW w:w="2405" w:type="dxa"/>
            <w:tcBorders>
              <w:top w:val="nil"/>
              <w:left w:val="nil"/>
              <w:bottom w:val="nil"/>
              <w:right w:val="nil"/>
            </w:tcBorders>
            <w:vAlign w:val="center"/>
          </w:tcPr>
          <w:p w14:paraId="5310582D" w14:textId="77777777" w:rsidR="00D56C02" w:rsidRDefault="00000000">
            <w:pPr>
              <w:widowControl/>
              <w:spacing w:line="480" w:lineRule="auto"/>
              <w:jc w:val="left"/>
              <w:textAlignment w:val="center"/>
              <w:rPr>
                <w:rFonts w:ascii="Arial" w:hAnsi="Arial" w:cs="Arial"/>
                <w:kern w:val="0"/>
                <w:sz w:val="14"/>
                <w:szCs w:val="14"/>
                <w:lang w:bidi="ar"/>
              </w:rPr>
            </w:pPr>
            <w:r>
              <w:rPr>
                <w:rFonts w:ascii="Arial" w:hAnsi="Arial" w:cs="Arial"/>
                <w:kern w:val="0"/>
                <w:sz w:val="14"/>
                <w:szCs w:val="14"/>
              </w:rPr>
              <w:t>LRR pathogen load</w:t>
            </w:r>
          </w:p>
        </w:tc>
        <w:tc>
          <w:tcPr>
            <w:tcW w:w="3335" w:type="dxa"/>
            <w:tcBorders>
              <w:top w:val="nil"/>
              <w:left w:val="nil"/>
              <w:bottom w:val="nil"/>
              <w:right w:val="nil"/>
            </w:tcBorders>
            <w:shd w:val="clear" w:color="auto" w:fill="auto"/>
            <w:noWrap/>
            <w:vAlign w:val="center"/>
          </w:tcPr>
          <w:p w14:paraId="3513A5D8" w14:textId="77777777" w:rsidR="00D56C02" w:rsidRDefault="00000000">
            <w:pPr>
              <w:widowControl/>
              <w:spacing w:line="480" w:lineRule="auto"/>
              <w:jc w:val="left"/>
              <w:textAlignment w:val="center"/>
              <w:rPr>
                <w:rFonts w:ascii="Arial" w:hAnsi="Arial" w:cs="Arial"/>
                <w:sz w:val="14"/>
                <w:szCs w:val="14"/>
              </w:rPr>
            </w:pPr>
            <w:r>
              <w:rPr>
                <w:rFonts w:ascii="Arial" w:hAnsi="Arial" w:cs="Arial"/>
                <w:kern w:val="0"/>
                <w:sz w:val="14"/>
                <w:szCs w:val="14"/>
              </w:rPr>
              <w:t>S</w:t>
            </w:r>
            <w:r>
              <w:rPr>
                <w:rFonts w:ascii="Arial" w:hAnsi="Arial" w:cs="Arial"/>
                <w:kern w:val="0"/>
                <w:sz w:val="14"/>
                <w:szCs w:val="14"/>
                <w:lang w:bidi="ar"/>
              </w:rPr>
              <w:t>hannon</w:t>
            </w:r>
          </w:p>
        </w:tc>
        <w:tc>
          <w:tcPr>
            <w:tcW w:w="1276" w:type="dxa"/>
            <w:tcBorders>
              <w:top w:val="nil"/>
              <w:left w:val="nil"/>
              <w:bottom w:val="nil"/>
              <w:right w:val="nil"/>
            </w:tcBorders>
            <w:shd w:val="clear" w:color="auto" w:fill="auto"/>
            <w:noWrap/>
            <w:vAlign w:val="center"/>
          </w:tcPr>
          <w:p w14:paraId="4DCE0DBC" w14:textId="77777777" w:rsidR="00D56C02" w:rsidRDefault="00000000">
            <w:pPr>
              <w:widowControl/>
              <w:spacing w:line="480" w:lineRule="auto"/>
              <w:jc w:val="center"/>
              <w:textAlignment w:val="center"/>
              <w:rPr>
                <w:rFonts w:ascii="Arial" w:hAnsi="Arial" w:cs="Arial"/>
                <w:sz w:val="14"/>
                <w:szCs w:val="14"/>
              </w:rPr>
            </w:pPr>
            <w:r>
              <w:rPr>
                <w:rFonts w:ascii="Arial" w:hAnsi="Arial" w:cs="Arial"/>
                <w:sz w:val="14"/>
                <w:szCs w:val="14"/>
              </w:rPr>
              <w:t>18.54</w:t>
            </w:r>
          </w:p>
        </w:tc>
        <w:tc>
          <w:tcPr>
            <w:tcW w:w="1436" w:type="dxa"/>
            <w:tcBorders>
              <w:top w:val="nil"/>
              <w:left w:val="nil"/>
              <w:bottom w:val="nil"/>
              <w:right w:val="nil"/>
            </w:tcBorders>
            <w:shd w:val="clear" w:color="auto" w:fill="auto"/>
            <w:noWrap/>
            <w:vAlign w:val="center"/>
          </w:tcPr>
          <w:p w14:paraId="74F1BCF6" w14:textId="77777777" w:rsidR="00D56C02" w:rsidRDefault="00000000">
            <w:pPr>
              <w:widowControl/>
              <w:spacing w:line="480" w:lineRule="auto"/>
              <w:jc w:val="center"/>
              <w:textAlignment w:val="center"/>
              <w:rPr>
                <w:rFonts w:ascii="Arial" w:hAnsi="Arial" w:cs="Arial"/>
                <w:sz w:val="14"/>
                <w:szCs w:val="14"/>
              </w:rPr>
            </w:pPr>
            <w:r>
              <w:rPr>
                <w:rFonts w:ascii="Arial" w:hAnsi="Arial" w:cs="Arial"/>
                <w:sz w:val="14"/>
                <w:szCs w:val="14"/>
              </w:rPr>
              <w:t>0.17</w:t>
            </w:r>
          </w:p>
        </w:tc>
        <w:tc>
          <w:tcPr>
            <w:tcW w:w="1754" w:type="dxa"/>
            <w:tcBorders>
              <w:top w:val="nil"/>
              <w:left w:val="nil"/>
              <w:bottom w:val="nil"/>
              <w:right w:val="nil"/>
            </w:tcBorders>
            <w:shd w:val="clear" w:color="auto" w:fill="auto"/>
            <w:noWrap/>
            <w:vAlign w:val="center"/>
          </w:tcPr>
          <w:p w14:paraId="78EB1722" w14:textId="77777777" w:rsidR="00D56C02" w:rsidRDefault="00000000">
            <w:pPr>
              <w:widowControl/>
              <w:spacing w:line="480" w:lineRule="auto"/>
              <w:jc w:val="center"/>
              <w:textAlignment w:val="center"/>
              <w:rPr>
                <w:rFonts w:ascii="Arial" w:hAnsi="Arial" w:cs="Arial"/>
                <w:sz w:val="14"/>
                <w:szCs w:val="14"/>
              </w:rPr>
            </w:pPr>
            <w:r>
              <w:rPr>
                <w:rFonts w:ascii="Arial" w:hAnsi="Arial" w:cs="Arial"/>
                <w:kern w:val="0"/>
                <w:sz w:val="14"/>
                <w:szCs w:val="14"/>
                <w:lang w:bidi="ar"/>
              </w:rPr>
              <w:t>18.20~18.89</w:t>
            </w:r>
          </w:p>
        </w:tc>
      </w:tr>
      <w:tr w:rsidR="00D56C02" w14:paraId="2B1A53BB" w14:textId="77777777">
        <w:trPr>
          <w:trHeight w:val="280"/>
          <w:jc w:val="center"/>
        </w:trPr>
        <w:tc>
          <w:tcPr>
            <w:tcW w:w="2405" w:type="dxa"/>
            <w:tcBorders>
              <w:top w:val="nil"/>
              <w:left w:val="nil"/>
              <w:bottom w:val="nil"/>
              <w:right w:val="nil"/>
            </w:tcBorders>
            <w:vAlign w:val="center"/>
          </w:tcPr>
          <w:p w14:paraId="4A701959" w14:textId="77777777" w:rsidR="00D56C02" w:rsidRDefault="00000000">
            <w:pPr>
              <w:widowControl/>
              <w:spacing w:line="480" w:lineRule="auto"/>
              <w:jc w:val="left"/>
              <w:textAlignment w:val="center"/>
              <w:rPr>
                <w:rFonts w:ascii="Arial" w:hAnsi="Arial" w:cs="Arial"/>
                <w:kern w:val="0"/>
                <w:sz w:val="14"/>
                <w:szCs w:val="14"/>
                <w:lang w:bidi="ar"/>
              </w:rPr>
            </w:pPr>
            <w:r>
              <w:rPr>
                <w:rFonts w:ascii="Arial" w:hAnsi="Arial" w:cs="Arial"/>
                <w:kern w:val="0"/>
                <w:sz w:val="14"/>
                <w:szCs w:val="14"/>
              </w:rPr>
              <w:t>LRR pathogen load</w:t>
            </w:r>
          </w:p>
        </w:tc>
        <w:tc>
          <w:tcPr>
            <w:tcW w:w="3335" w:type="dxa"/>
            <w:tcBorders>
              <w:top w:val="nil"/>
              <w:left w:val="nil"/>
              <w:bottom w:val="nil"/>
              <w:right w:val="nil"/>
            </w:tcBorders>
            <w:shd w:val="clear" w:color="auto" w:fill="auto"/>
            <w:noWrap/>
            <w:vAlign w:val="center"/>
          </w:tcPr>
          <w:p w14:paraId="49895368" w14:textId="77777777" w:rsidR="00D56C02" w:rsidRDefault="00000000">
            <w:pPr>
              <w:widowControl/>
              <w:spacing w:line="480" w:lineRule="auto"/>
              <w:jc w:val="left"/>
              <w:textAlignment w:val="center"/>
              <w:rPr>
                <w:rFonts w:ascii="Arial" w:hAnsi="Arial" w:cs="Arial"/>
                <w:sz w:val="14"/>
                <w:szCs w:val="14"/>
              </w:rPr>
            </w:pPr>
            <w:r>
              <w:rPr>
                <w:rFonts w:ascii="Arial" w:hAnsi="Arial" w:cs="Arial"/>
                <w:sz w:val="14"/>
                <w:szCs w:val="14"/>
              </w:rPr>
              <w:t>Simpson</w:t>
            </w:r>
          </w:p>
        </w:tc>
        <w:tc>
          <w:tcPr>
            <w:tcW w:w="1276" w:type="dxa"/>
            <w:tcBorders>
              <w:top w:val="nil"/>
              <w:left w:val="nil"/>
              <w:bottom w:val="nil"/>
              <w:right w:val="nil"/>
            </w:tcBorders>
            <w:shd w:val="clear" w:color="auto" w:fill="auto"/>
            <w:noWrap/>
            <w:vAlign w:val="center"/>
          </w:tcPr>
          <w:p w14:paraId="3451A216" w14:textId="77777777" w:rsidR="00D56C02" w:rsidRDefault="00000000">
            <w:pPr>
              <w:widowControl/>
              <w:spacing w:line="480" w:lineRule="auto"/>
              <w:jc w:val="center"/>
              <w:textAlignment w:val="center"/>
              <w:rPr>
                <w:rFonts w:ascii="Arial" w:hAnsi="Arial" w:cs="Arial"/>
                <w:sz w:val="14"/>
                <w:szCs w:val="14"/>
              </w:rPr>
            </w:pPr>
            <w:r>
              <w:rPr>
                <w:rFonts w:ascii="Arial" w:hAnsi="Arial" w:cs="Arial"/>
                <w:sz w:val="14"/>
                <w:szCs w:val="14"/>
              </w:rPr>
              <w:t>15.45</w:t>
            </w:r>
          </w:p>
        </w:tc>
        <w:tc>
          <w:tcPr>
            <w:tcW w:w="1436" w:type="dxa"/>
            <w:tcBorders>
              <w:top w:val="nil"/>
              <w:left w:val="nil"/>
              <w:bottom w:val="nil"/>
              <w:right w:val="nil"/>
            </w:tcBorders>
            <w:shd w:val="clear" w:color="auto" w:fill="auto"/>
            <w:noWrap/>
            <w:vAlign w:val="center"/>
          </w:tcPr>
          <w:p w14:paraId="3AC3EFA6" w14:textId="77777777" w:rsidR="00D56C02" w:rsidRDefault="00000000">
            <w:pPr>
              <w:widowControl/>
              <w:spacing w:line="480" w:lineRule="auto"/>
              <w:jc w:val="center"/>
              <w:textAlignment w:val="center"/>
              <w:rPr>
                <w:rFonts w:ascii="Arial" w:hAnsi="Arial" w:cs="Arial"/>
                <w:sz w:val="14"/>
                <w:szCs w:val="14"/>
              </w:rPr>
            </w:pPr>
            <w:r>
              <w:rPr>
                <w:rFonts w:ascii="Arial" w:hAnsi="Arial" w:cs="Arial"/>
                <w:sz w:val="14"/>
                <w:szCs w:val="14"/>
              </w:rPr>
              <w:t>0.12</w:t>
            </w:r>
          </w:p>
        </w:tc>
        <w:tc>
          <w:tcPr>
            <w:tcW w:w="1754" w:type="dxa"/>
            <w:tcBorders>
              <w:top w:val="nil"/>
              <w:left w:val="nil"/>
              <w:bottom w:val="nil"/>
              <w:right w:val="nil"/>
            </w:tcBorders>
            <w:shd w:val="clear" w:color="auto" w:fill="auto"/>
            <w:noWrap/>
            <w:vAlign w:val="center"/>
          </w:tcPr>
          <w:p w14:paraId="09CD7BFD" w14:textId="77777777" w:rsidR="00D56C02" w:rsidRDefault="00000000">
            <w:pPr>
              <w:widowControl/>
              <w:spacing w:line="480" w:lineRule="auto"/>
              <w:jc w:val="center"/>
              <w:textAlignment w:val="center"/>
              <w:rPr>
                <w:rFonts w:ascii="Arial" w:hAnsi="Arial" w:cs="Arial"/>
                <w:sz w:val="14"/>
                <w:szCs w:val="14"/>
              </w:rPr>
            </w:pPr>
            <w:r>
              <w:rPr>
                <w:rFonts w:ascii="Arial" w:hAnsi="Arial" w:cs="Arial"/>
                <w:kern w:val="0"/>
                <w:sz w:val="14"/>
                <w:szCs w:val="14"/>
                <w:lang w:bidi="ar"/>
              </w:rPr>
              <w:t>15.21~15.69</w:t>
            </w:r>
          </w:p>
        </w:tc>
      </w:tr>
      <w:tr w:rsidR="00D56C02" w14:paraId="70D57D0C" w14:textId="77777777">
        <w:trPr>
          <w:trHeight w:val="280"/>
          <w:jc w:val="center"/>
        </w:trPr>
        <w:tc>
          <w:tcPr>
            <w:tcW w:w="2405" w:type="dxa"/>
            <w:tcBorders>
              <w:top w:val="nil"/>
              <w:left w:val="nil"/>
              <w:bottom w:val="nil"/>
              <w:right w:val="nil"/>
            </w:tcBorders>
            <w:vAlign w:val="center"/>
          </w:tcPr>
          <w:p w14:paraId="2C0AF6F7" w14:textId="77777777" w:rsidR="00D56C02" w:rsidRDefault="00000000">
            <w:pPr>
              <w:widowControl/>
              <w:spacing w:line="480" w:lineRule="auto"/>
              <w:jc w:val="left"/>
              <w:textAlignment w:val="center"/>
              <w:rPr>
                <w:rFonts w:ascii="Arial" w:hAnsi="Arial" w:cs="Arial"/>
                <w:kern w:val="0"/>
                <w:sz w:val="14"/>
                <w:szCs w:val="14"/>
                <w:lang w:bidi="ar"/>
              </w:rPr>
            </w:pPr>
            <w:r>
              <w:rPr>
                <w:rFonts w:ascii="Arial" w:hAnsi="Arial" w:cs="Arial"/>
                <w:kern w:val="0"/>
                <w:sz w:val="14"/>
                <w:szCs w:val="14"/>
              </w:rPr>
              <w:t>LRR pathogen load</w:t>
            </w:r>
          </w:p>
        </w:tc>
        <w:tc>
          <w:tcPr>
            <w:tcW w:w="3335" w:type="dxa"/>
            <w:tcBorders>
              <w:top w:val="nil"/>
              <w:left w:val="nil"/>
              <w:bottom w:val="nil"/>
              <w:right w:val="nil"/>
            </w:tcBorders>
            <w:shd w:val="clear" w:color="auto" w:fill="auto"/>
            <w:noWrap/>
            <w:vAlign w:val="center"/>
          </w:tcPr>
          <w:p w14:paraId="3BB126E4" w14:textId="77777777" w:rsidR="00D56C02" w:rsidRDefault="00000000">
            <w:pPr>
              <w:widowControl/>
              <w:spacing w:line="480" w:lineRule="auto"/>
              <w:jc w:val="left"/>
              <w:textAlignment w:val="center"/>
              <w:rPr>
                <w:rFonts w:ascii="Arial" w:hAnsi="Arial" w:cs="Arial"/>
                <w:sz w:val="14"/>
                <w:szCs w:val="14"/>
              </w:rPr>
            </w:pPr>
            <w:r>
              <w:rPr>
                <w:rFonts w:ascii="Arial" w:hAnsi="Arial" w:cs="Arial"/>
                <w:kern w:val="0"/>
                <w:sz w:val="14"/>
                <w:szCs w:val="14"/>
              </w:rPr>
              <w:t>Species</w:t>
            </w:r>
            <w:r>
              <w:rPr>
                <w:rStyle w:val="None"/>
                <w:rFonts w:ascii="Arial" w:hAnsi="Arial" w:cs="Arial"/>
                <w:kern w:val="0"/>
                <w:sz w:val="14"/>
                <w:szCs w:val="14"/>
              </w:rPr>
              <w:t xml:space="preserve"> </w:t>
            </w:r>
            <w:r>
              <w:rPr>
                <w:rFonts w:ascii="Arial" w:hAnsi="Arial" w:cs="Arial"/>
                <w:kern w:val="0"/>
                <w:sz w:val="14"/>
                <w:szCs w:val="14"/>
                <w:lang w:bidi="ar"/>
              </w:rPr>
              <w:t>richness</w:t>
            </w:r>
          </w:p>
        </w:tc>
        <w:tc>
          <w:tcPr>
            <w:tcW w:w="1276" w:type="dxa"/>
            <w:tcBorders>
              <w:top w:val="nil"/>
              <w:left w:val="nil"/>
              <w:bottom w:val="nil"/>
              <w:right w:val="nil"/>
            </w:tcBorders>
            <w:shd w:val="clear" w:color="auto" w:fill="auto"/>
            <w:noWrap/>
            <w:vAlign w:val="center"/>
          </w:tcPr>
          <w:p w14:paraId="162DC568" w14:textId="77777777" w:rsidR="00D56C02" w:rsidRDefault="00000000">
            <w:pPr>
              <w:widowControl/>
              <w:spacing w:line="480" w:lineRule="auto"/>
              <w:jc w:val="center"/>
              <w:textAlignment w:val="center"/>
              <w:rPr>
                <w:rFonts w:ascii="Arial" w:hAnsi="Arial" w:cs="Arial"/>
                <w:sz w:val="14"/>
                <w:szCs w:val="14"/>
              </w:rPr>
            </w:pPr>
            <w:r>
              <w:rPr>
                <w:rFonts w:ascii="Arial" w:hAnsi="Arial" w:cs="Arial"/>
                <w:sz w:val="14"/>
                <w:szCs w:val="14"/>
              </w:rPr>
              <w:t>5.53</w:t>
            </w:r>
          </w:p>
        </w:tc>
        <w:tc>
          <w:tcPr>
            <w:tcW w:w="1436" w:type="dxa"/>
            <w:tcBorders>
              <w:top w:val="nil"/>
              <w:left w:val="nil"/>
              <w:bottom w:val="nil"/>
              <w:right w:val="nil"/>
            </w:tcBorders>
            <w:shd w:val="clear" w:color="auto" w:fill="auto"/>
            <w:noWrap/>
            <w:vAlign w:val="center"/>
          </w:tcPr>
          <w:p w14:paraId="74FAF2AE" w14:textId="77777777" w:rsidR="00D56C02" w:rsidRDefault="00000000">
            <w:pPr>
              <w:widowControl/>
              <w:spacing w:line="480" w:lineRule="auto"/>
              <w:jc w:val="center"/>
              <w:textAlignment w:val="center"/>
              <w:rPr>
                <w:rFonts w:ascii="Arial" w:hAnsi="Arial" w:cs="Arial"/>
                <w:sz w:val="14"/>
                <w:szCs w:val="14"/>
              </w:rPr>
            </w:pPr>
            <w:r>
              <w:rPr>
                <w:rFonts w:ascii="Arial" w:hAnsi="Arial" w:cs="Arial"/>
                <w:sz w:val="14"/>
                <w:szCs w:val="14"/>
              </w:rPr>
              <w:t>0.06</w:t>
            </w:r>
          </w:p>
        </w:tc>
        <w:tc>
          <w:tcPr>
            <w:tcW w:w="1754" w:type="dxa"/>
            <w:tcBorders>
              <w:top w:val="nil"/>
              <w:left w:val="nil"/>
              <w:bottom w:val="nil"/>
              <w:right w:val="nil"/>
            </w:tcBorders>
            <w:shd w:val="clear" w:color="auto" w:fill="auto"/>
            <w:noWrap/>
            <w:vAlign w:val="center"/>
          </w:tcPr>
          <w:p w14:paraId="5A3CFD7D" w14:textId="77777777" w:rsidR="00D56C02" w:rsidRDefault="00000000">
            <w:pPr>
              <w:widowControl/>
              <w:spacing w:line="480" w:lineRule="auto"/>
              <w:jc w:val="center"/>
              <w:textAlignment w:val="center"/>
              <w:rPr>
                <w:rFonts w:ascii="Arial" w:hAnsi="Arial" w:cs="Arial"/>
                <w:sz w:val="14"/>
                <w:szCs w:val="14"/>
              </w:rPr>
            </w:pPr>
            <w:r>
              <w:rPr>
                <w:rFonts w:ascii="Arial" w:hAnsi="Arial" w:cs="Arial"/>
                <w:kern w:val="0"/>
                <w:sz w:val="14"/>
                <w:szCs w:val="14"/>
                <w:lang w:bidi="ar"/>
              </w:rPr>
              <w:t>5.40~5.65</w:t>
            </w:r>
          </w:p>
        </w:tc>
      </w:tr>
      <w:tr w:rsidR="00D56C02" w14:paraId="1A7608C4" w14:textId="77777777">
        <w:trPr>
          <w:trHeight w:val="295"/>
          <w:jc w:val="center"/>
        </w:trPr>
        <w:tc>
          <w:tcPr>
            <w:tcW w:w="2405" w:type="dxa"/>
            <w:tcBorders>
              <w:top w:val="nil"/>
              <w:left w:val="nil"/>
              <w:right w:val="nil"/>
            </w:tcBorders>
            <w:vAlign w:val="center"/>
          </w:tcPr>
          <w:p w14:paraId="492B30FE" w14:textId="77777777" w:rsidR="00D56C02" w:rsidRDefault="00000000">
            <w:pPr>
              <w:widowControl/>
              <w:spacing w:line="480" w:lineRule="auto"/>
              <w:jc w:val="left"/>
              <w:textAlignment w:val="center"/>
              <w:rPr>
                <w:rFonts w:ascii="Arial" w:hAnsi="Arial" w:cs="Arial"/>
                <w:kern w:val="0"/>
                <w:sz w:val="14"/>
                <w:szCs w:val="14"/>
                <w:lang w:bidi="ar"/>
              </w:rPr>
            </w:pPr>
            <w:r>
              <w:rPr>
                <w:rFonts w:ascii="Arial" w:hAnsi="Arial" w:cs="Arial"/>
                <w:kern w:val="0"/>
                <w:sz w:val="14"/>
                <w:szCs w:val="14"/>
              </w:rPr>
              <w:t>LRR pathogen load</w:t>
            </w:r>
          </w:p>
        </w:tc>
        <w:tc>
          <w:tcPr>
            <w:tcW w:w="3335" w:type="dxa"/>
            <w:tcBorders>
              <w:top w:val="nil"/>
              <w:left w:val="nil"/>
              <w:right w:val="nil"/>
            </w:tcBorders>
            <w:shd w:val="clear" w:color="auto" w:fill="auto"/>
            <w:noWrap/>
            <w:vAlign w:val="center"/>
          </w:tcPr>
          <w:p w14:paraId="19034F07" w14:textId="77777777" w:rsidR="00D56C02" w:rsidRDefault="00000000">
            <w:pPr>
              <w:widowControl/>
              <w:spacing w:line="480" w:lineRule="auto"/>
              <w:jc w:val="left"/>
              <w:textAlignment w:val="center"/>
              <w:rPr>
                <w:rFonts w:ascii="Arial" w:hAnsi="Arial" w:cs="Arial"/>
                <w:sz w:val="14"/>
                <w:szCs w:val="14"/>
              </w:rPr>
            </w:pPr>
            <w:r>
              <w:rPr>
                <w:rFonts w:ascii="Arial" w:hAnsi="Arial" w:cs="Arial"/>
                <w:kern w:val="0"/>
                <w:sz w:val="14"/>
                <w:szCs w:val="14"/>
              </w:rPr>
              <w:t>S</w:t>
            </w:r>
            <w:r>
              <w:rPr>
                <w:rFonts w:ascii="Arial" w:eastAsiaTheme="minorEastAsia" w:hAnsi="Arial" w:cs="Arial"/>
                <w:sz w:val="14"/>
                <w:szCs w:val="14"/>
              </w:rPr>
              <w:t>oil PC1</w:t>
            </w:r>
          </w:p>
        </w:tc>
        <w:tc>
          <w:tcPr>
            <w:tcW w:w="1276" w:type="dxa"/>
            <w:tcBorders>
              <w:top w:val="nil"/>
              <w:left w:val="nil"/>
              <w:right w:val="nil"/>
            </w:tcBorders>
            <w:shd w:val="clear" w:color="auto" w:fill="auto"/>
            <w:noWrap/>
            <w:vAlign w:val="center"/>
          </w:tcPr>
          <w:p w14:paraId="2EFB6F59" w14:textId="77777777" w:rsidR="00D56C02" w:rsidRDefault="00000000">
            <w:pPr>
              <w:widowControl/>
              <w:spacing w:line="480" w:lineRule="auto"/>
              <w:jc w:val="center"/>
              <w:textAlignment w:val="center"/>
              <w:rPr>
                <w:rFonts w:ascii="Arial" w:hAnsi="Arial" w:cs="Arial"/>
                <w:sz w:val="14"/>
                <w:szCs w:val="14"/>
              </w:rPr>
            </w:pPr>
            <w:r>
              <w:rPr>
                <w:rFonts w:ascii="Arial" w:hAnsi="Arial" w:cs="Arial"/>
                <w:sz w:val="14"/>
                <w:szCs w:val="14"/>
              </w:rPr>
              <w:t>2.34</w:t>
            </w:r>
          </w:p>
        </w:tc>
        <w:tc>
          <w:tcPr>
            <w:tcW w:w="1436" w:type="dxa"/>
            <w:tcBorders>
              <w:top w:val="nil"/>
              <w:left w:val="nil"/>
              <w:right w:val="nil"/>
            </w:tcBorders>
            <w:shd w:val="clear" w:color="auto" w:fill="auto"/>
            <w:noWrap/>
            <w:vAlign w:val="center"/>
          </w:tcPr>
          <w:p w14:paraId="7EEB7ED2" w14:textId="77777777" w:rsidR="00D56C02" w:rsidRDefault="00000000">
            <w:pPr>
              <w:widowControl/>
              <w:spacing w:line="480" w:lineRule="auto"/>
              <w:jc w:val="center"/>
              <w:textAlignment w:val="center"/>
              <w:rPr>
                <w:rFonts w:ascii="Arial" w:hAnsi="Arial" w:cs="Arial"/>
                <w:sz w:val="14"/>
                <w:szCs w:val="14"/>
              </w:rPr>
            </w:pPr>
            <w:r>
              <w:rPr>
                <w:rFonts w:ascii="Arial" w:hAnsi="Arial" w:cs="Arial"/>
                <w:sz w:val="14"/>
                <w:szCs w:val="14"/>
              </w:rPr>
              <w:t>0.04</w:t>
            </w:r>
          </w:p>
        </w:tc>
        <w:tc>
          <w:tcPr>
            <w:tcW w:w="1754" w:type="dxa"/>
            <w:tcBorders>
              <w:top w:val="nil"/>
              <w:left w:val="nil"/>
              <w:right w:val="nil"/>
            </w:tcBorders>
            <w:shd w:val="clear" w:color="auto" w:fill="auto"/>
            <w:noWrap/>
            <w:vAlign w:val="center"/>
          </w:tcPr>
          <w:p w14:paraId="2B6D4829" w14:textId="77777777" w:rsidR="00D56C02" w:rsidRDefault="00000000">
            <w:pPr>
              <w:widowControl/>
              <w:spacing w:line="480" w:lineRule="auto"/>
              <w:jc w:val="center"/>
              <w:textAlignment w:val="center"/>
              <w:rPr>
                <w:rFonts w:ascii="Arial" w:hAnsi="Arial" w:cs="Arial"/>
                <w:sz w:val="14"/>
                <w:szCs w:val="14"/>
              </w:rPr>
            </w:pPr>
            <w:r>
              <w:rPr>
                <w:rFonts w:ascii="Arial" w:hAnsi="Arial" w:cs="Arial"/>
                <w:kern w:val="0"/>
                <w:sz w:val="14"/>
                <w:szCs w:val="14"/>
                <w:lang w:bidi="ar"/>
              </w:rPr>
              <w:t>2.26~2.41</w:t>
            </w:r>
          </w:p>
        </w:tc>
      </w:tr>
      <w:tr w:rsidR="00D56C02" w14:paraId="601552D2" w14:textId="77777777">
        <w:trPr>
          <w:trHeight w:val="295"/>
          <w:jc w:val="center"/>
        </w:trPr>
        <w:tc>
          <w:tcPr>
            <w:tcW w:w="2405" w:type="dxa"/>
            <w:tcBorders>
              <w:top w:val="nil"/>
              <w:left w:val="nil"/>
              <w:bottom w:val="single" w:sz="8" w:space="0" w:color="000000"/>
              <w:right w:val="nil"/>
            </w:tcBorders>
            <w:vAlign w:val="center"/>
          </w:tcPr>
          <w:p w14:paraId="3D3AFFB3" w14:textId="77777777" w:rsidR="00D56C02" w:rsidRDefault="00000000">
            <w:pPr>
              <w:widowControl/>
              <w:spacing w:line="480" w:lineRule="auto"/>
              <w:jc w:val="left"/>
              <w:textAlignment w:val="center"/>
              <w:rPr>
                <w:rFonts w:ascii="Arial" w:hAnsi="Arial" w:cs="Arial"/>
                <w:kern w:val="0"/>
                <w:sz w:val="14"/>
                <w:szCs w:val="14"/>
                <w:lang w:bidi="ar"/>
              </w:rPr>
            </w:pPr>
            <w:r>
              <w:rPr>
                <w:rFonts w:ascii="Arial" w:hAnsi="Arial" w:cs="Arial"/>
                <w:kern w:val="0"/>
                <w:sz w:val="14"/>
                <w:szCs w:val="14"/>
              </w:rPr>
              <w:t>LRR pathogen load</w:t>
            </w:r>
          </w:p>
        </w:tc>
        <w:tc>
          <w:tcPr>
            <w:tcW w:w="3335" w:type="dxa"/>
            <w:tcBorders>
              <w:top w:val="nil"/>
              <w:left w:val="nil"/>
              <w:bottom w:val="single" w:sz="8" w:space="0" w:color="000000"/>
              <w:right w:val="nil"/>
            </w:tcBorders>
            <w:shd w:val="clear" w:color="auto" w:fill="auto"/>
            <w:noWrap/>
            <w:vAlign w:val="center"/>
          </w:tcPr>
          <w:p w14:paraId="1B704E38" w14:textId="77777777" w:rsidR="00D56C02" w:rsidRDefault="00000000">
            <w:pPr>
              <w:widowControl/>
              <w:spacing w:line="480" w:lineRule="auto"/>
              <w:jc w:val="left"/>
              <w:textAlignment w:val="center"/>
              <w:rPr>
                <w:rFonts w:ascii="Arial" w:hAnsi="Arial" w:cs="Arial"/>
                <w:kern w:val="0"/>
                <w:sz w:val="14"/>
                <w:szCs w:val="14"/>
                <w:lang w:bidi="ar"/>
              </w:rPr>
            </w:pPr>
            <w:r>
              <w:rPr>
                <w:rFonts w:ascii="Arial" w:hAnsi="Arial" w:cs="Arial"/>
                <w:kern w:val="0"/>
                <w:sz w:val="14"/>
                <w:szCs w:val="14"/>
              </w:rPr>
              <w:t>B</w:t>
            </w:r>
            <w:r>
              <w:rPr>
                <w:rFonts w:ascii="Arial" w:hAnsi="Arial" w:cs="Arial"/>
                <w:kern w:val="0"/>
                <w:sz w:val="14"/>
                <w:szCs w:val="14"/>
                <w:lang w:bidi="ar"/>
              </w:rPr>
              <w:t>iomass</w:t>
            </w:r>
          </w:p>
        </w:tc>
        <w:tc>
          <w:tcPr>
            <w:tcW w:w="1276" w:type="dxa"/>
            <w:tcBorders>
              <w:top w:val="nil"/>
              <w:left w:val="nil"/>
              <w:bottom w:val="single" w:sz="8" w:space="0" w:color="000000"/>
              <w:right w:val="nil"/>
            </w:tcBorders>
            <w:shd w:val="clear" w:color="auto" w:fill="auto"/>
            <w:noWrap/>
            <w:vAlign w:val="center"/>
          </w:tcPr>
          <w:p w14:paraId="3E758C2A" w14:textId="77777777" w:rsidR="00D56C02" w:rsidRDefault="00000000">
            <w:pPr>
              <w:widowControl/>
              <w:spacing w:line="480" w:lineRule="auto"/>
              <w:jc w:val="center"/>
              <w:textAlignment w:val="center"/>
              <w:rPr>
                <w:rFonts w:ascii="Arial" w:hAnsi="Arial" w:cs="Arial"/>
                <w:kern w:val="0"/>
                <w:sz w:val="14"/>
                <w:szCs w:val="14"/>
                <w:lang w:bidi="ar"/>
              </w:rPr>
            </w:pPr>
            <w:r>
              <w:rPr>
                <w:rFonts w:ascii="Arial" w:hAnsi="Arial" w:cs="Arial"/>
                <w:kern w:val="0"/>
                <w:sz w:val="14"/>
                <w:szCs w:val="14"/>
                <w:lang w:bidi="ar"/>
              </w:rPr>
              <w:t>7.55</w:t>
            </w:r>
          </w:p>
        </w:tc>
        <w:tc>
          <w:tcPr>
            <w:tcW w:w="1436" w:type="dxa"/>
            <w:tcBorders>
              <w:top w:val="nil"/>
              <w:left w:val="nil"/>
              <w:bottom w:val="single" w:sz="8" w:space="0" w:color="000000"/>
              <w:right w:val="nil"/>
            </w:tcBorders>
            <w:shd w:val="clear" w:color="auto" w:fill="auto"/>
            <w:noWrap/>
            <w:vAlign w:val="center"/>
          </w:tcPr>
          <w:p w14:paraId="3E8F0E96" w14:textId="77777777" w:rsidR="00D56C02" w:rsidRDefault="00000000">
            <w:pPr>
              <w:widowControl/>
              <w:spacing w:line="480" w:lineRule="auto"/>
              <w:jc w:val="center"/>
              <w:textAlignment w:val="center"/>
              <w:rPr>
                <w:rFonts w:ascii="Arial" w:hAnsi="Arial" w:cs="Arial"/>
                <w:kern w:val="0"/>
                <w:sz w:val="14"/>
                <w:szCs w:val="14"/>
                <w:lang w:bidi="ar"/>
              </w:rPr>
            </w:pPr>
            <w:r>
              <w:rPr>
                <w:rFonts w:ascii="Arial" w:hAnsi="Arial" w:cs="Arial"/>
                <w:kern w:val="0"/>
                <w:sz w:val="14"/>
                <w:szCs w:val="14"/>
                <w:lang w:bidi="ar"/>
              </w:rPr>
              <w:t>0.04</w:t>
            </w:r>
          </w:p>
        </w:tc>
        <w:tc>
          <w:tcPr>
            <w:tcW w:w="1754" w:type="dxa"/>
            <w:tcBorders>
              <w:top w:val="nil"/>
              <w:left w:val="nil"/>
              <w:bottom w:val="single" w:sz="8" w:space="0" w:color="000000"/>
              <w:right w:val="nil"/>
            </w:tcBorders>
            <w:shd w:val="clear" w:color="auto" w:fill="auto"/>
            <w:noWrap/>
            <w:vAlign w:val="center"/>
          </w:tcPr>
          <w:p w14:paraId="112F567A" w14:textId="77777777" w:rsidR="00D56C02" w:rsidRDefault="00000000">
            <w:pPr>
              <w:widowControl/>
              <w:spacing w:line="480" w:lineRule="auto"/>
              <w:jc w:val="center"/>
              <w:textAlignment w:val="center"/>
              <w:rPr>
                <w:rFonts w:ascii="Arial" w:hAnsi="Arial" w:cs="Arial"/>
                <w:kern w:val="0"/>
                <w:sz w:val="14"/>
                <w:szCs w:val="14"/>
                <w:lang w:bidi="ar"/>
              </w:rPr>
            </w:pPr>
            <w:r>
              <w:rPr>
                <w:rFonts w:ascii="Arial" w:hAnsi="Arial" w:cs="Arial"/>
                <w:kern w:val="0"/>
                <w:sz w:val="14"/>
                <w:szCs w:val="14"/>
                <w:lang w:bidi="ar"/>
              </w:rPr>
              <w:t>7.46~7.64</w:t>
            </w:r>
          </w:p>
        </w:tc>
      </w:tr>
    </w:tbl>
    <w:p w14:paraId="2D172D96" w14:textId="77777777" w:rsidR="00D56C02" w:rsidRDefault="00D56C02">
      <w:pPr>
        <w:spacing w:line="480" w:lineRule="auto"/>
        <w:jc w:val="left"/>
        <w:outlineLvl w:val="1"/>
        <w:rPr>
          <w:rFonts w:eastAsiaTheme="minorEastAsia" w:cs="Times New Roman"/>
          <w:b/>
          <w:bCs/>
          <w:szCs w:val="24"/>
        </w:rPr>
        <w:sectPr w:rsidR="00D56C02" w:rsidSect="00AE5B83">
          <w:pgSz w:w="11906" w:h="16838"/>
          <w:pgMar w:top="1440" w:right="1134" w:bottom="1440" w:left="1134" w:header="851" w:footer="992" w:gutter="0"/>
          <w:lnNumType w:countBy="1" w:restart="continuous"/>
          <w:cols w:space="425"/>
          <w:docGrid w:linePitch="326"/>
        </w:sectPr>
      </w:pPr>
    </w:p>
    <w:p w14:paraId="6D3CB186" w14:textId="77777777" w:rsidR="00D56C02" w:rsidRDefault="00000000">
      <w:pPr>
        <w:spacing w:line="480" w:lineRule="auto"/>
        <w:jc w:val="left"/>
        <w:outlineLvl w:val="1"/>
        <w:rPr>
          <w:rStyle w:val="None"/>
          <w:rFonts w:cs="Times New Roman"/>
          <w:b/>
          <w:kern w:val="0"/>
          <w:szCs w:val="24"/>
        </w:rPr>
      </w:pPr>
      <w:r>
        <w:rPr>
          <w:rFonts w:cs="Times New Roman"/>
          <w:b/>
          <w:bCs/>
          <w:color w:val="000000"/>
          <w:szCs w:val="24"/>
        </w:rPr>
        <w:lastRenderedPageBreak/>
        <w:t>Supplementary</w:t>
      </w:r>
      <w:r>
        <w:rPr>
          <w:rStyle w:val="None"/>
          <w:rFonts w:cs="Times New Roman"/>
          <w:b/>
          <w:kern w:val="0"/>
          <w:szCs w:val="24"/>
        </w:rPr>
        <w:t xml:space="preserve"> Table 4</w:t>
      </w:r>
      <w:r>
        <w:rPr>
          <w:rFonts w:cs="Times New Roman"/>
          <w:b/>
          <w:bCs/>
          <w:szCs w:val="24"/>
        </w:rPr>
        <w:t xml:space="preserve"> |</w:t>
      </w:r>
      <w:r>
        <w:rPr>
          <w:rStyle w:val="None"/>
          <w:rFonts w:cs="Times New Roman"/>
          <w:b/>
          <w:kern w:val="0"/>
          <w:szCs w:val="24"/>
        </w:rPr>
        <w:t xml:space="preserve"> </w:t>
      </w:r>
      <w:r>
        <w:rPr>
          <w:rStyle w:val="None"/>
          <w:rFonts w:cs="Times New Roman"/>
          <w:kern w:val="0"/>
          <w:szCs w:val="24"/>
        </w:rPr>
        <w:t xml:space="preserve">Coefficient estimates from the structural equation model examining how mean annual temperature (MAT), mean annual precipitation (MAP), </w:t>
      </w:r>
      <w:r>
        <w:rPr>
          <w:rFonts w:cs="Times New Roman"/>
          <w:kern w:val="0"/>
          <w:szCs w:val="24"/>
        </w:rPr>
        <w:t>grassland</w:t>
      </w:r>
      <w:r>
        <w:rPr>
          <w:rStyle w:val="None"/>
          <w:rFonts w:cs="Times New Roman"/>
          <w:szCs w:val="24"/>
        </w:rPr>
        <w:t xml:space="preserve"> patches’ plots</w:t>
      </w:r>
      <w:r>
        <w:rPr>
          <w:rFonts w:cs="Times New Roman"/>
          <w:szCs w:val="24"/>
        </w:rPr>
        <w:t xml:space="preserve"> herbaceous plant community aboveground biomass (</w:t>
      </w:r>
      <w:r>
        <w:rPr>
          <w:rFonts w:cs="Times New Roman"/>
          <w:i/>
          <w:iCs/>
          <w:kern w:val="0"/>
          <w:szCs w:val="24"/>
        </w:rPr>
        <w:t>B</w:t>
      </w:r>
      <w:r>
        <w:rPr>
          <w:rFonts w:cs="Times New Roman"/>
          <w:i/>
          <w:iCs/>
          <w:szCs w:val="24"/>
        </w:rPr>
        <w:t>iomass</w:t>
      </w:r>
      <w:r>
        <w:rPr>
          <w:rFonts w:cs="Times New Roman"/>
          <w:szCs w:val="24"/>
        </w:rPr>
        <w:t xml:space="preserve">), </w:t>
      </w:r>
      <w:r>
        <w:rPr>
          <w:rStyle w:val="None"/>
          <w:rFonts w:cs="Times New Roman"/>
          <w:kern w:val="0"/>
          <w:szCs w:val="24"/>
        </w:rPr>
        <w:t>Simpson diversity index (</w:t>
      </w:r>
      <w:r>
        <w:rPr>
          <w:rFonts w:cs="Times New Roman"/>
          <w:i/>
          <w:iCs/>
          <w:kern w:val="0"/>
          <w:szCs w:val="24"/>
        </w:rPr>
        <w:t>Simpson</w:t>
      </w:r>
      <w:r>
        <w:rPr>
          <w:rStyle w:val="None"/>
          <w:rFonts w:cs="Times New Roman"/>
          <w:kern w:val="0"/>
          <w:szCs w:val="24"/>
        </w:rPr>
        <w:t xml:space="preserve">) </w:t>
      </w:r>
      <w:r>
        <w:rPr>
          <w:rFonts w:cs="Times New Roman"/>
          <w:szCs w:val="24"/>
        </w:rPr>
        <w:t xml:space="preserve">and </w:t>
      </w:r>
      <w:r>
        <w:rPr>
          <w:rFonts w:eastAsiaTheme="minorEastAsia" w:cs="Times New Roman"/>
          <w:szCs w:val="24"/>
        </w:rPr>
        <w:t xml:space="preserve">the first principal component of </w:t>
      </w:r>
      <w:r>
        <w:rPr>
          <w:rFonts w:cs="Times New Roman"/>
          <w:kern w:val="0"/>
          <w:szCs w:val="24"/>
        </w:rPr>
        <w:t>grassland</w:t>
      </w:r>
      <w:r>
        <w:rPr>
          <w:rStyle w:val="None"/>
          <w:rFonts w:cs="Times New Roman"/>
          <w:szCs w:val="24"/>
        </w:rPr>
        <w:t xml:space="preserve"> patches’ plots</w:t>
      </w:r>
      <w:r>
        <w:rPr>
          <w:rFonts w:eastAsiaTheme="minorEastAsia" w:cs="Times New Roman"/>
          <w:szCs w:val="24"/>
        </w:rPr>
        <w:t xml:space="preserve"> soil variables (</w:t>
      </w:r>
      <w:r>
        <w:rPr>
          <w:rFonts w:cs="Times New Roman"/>
          <w:kern w:val="0"/>
          <w:szCs w:val="24"/>
        </w:rPr>
        <w:t>S</w:t>
      </w:r>
      <w:r>
        <w:rPr>
          <w:rFonts w:eastAsiaTheme="minorEastAsia" w:cs="Times New Roman"/>
          <w:szCs w:val="24"/>
        </w:rPr>
        <w:t xml:space="preserve">oil PC1) </w:t>
      </w:r>
      <w:r>
        <w:rPr>
          <w:rStyle w:val="None"/>
          <w:rFonts w:cs="Times New Roman"/>
          <w:kern w:val="0"/>
          <w:szCs w:val="24"/>
        </w:rPr>
        <w:t xml:space="preserve">affect </w:t>
      </w:r>
      <w:r>
        <w:rPr>
          <w:rStyle w:val="None"/>
          <w:rFonts w:cs="Times New Roman"/>
          <w:szCs w:val="24"/>
        </w:rPr>
        <w:t xml:space="preserve">log-transformed response ratio of herbaceous </w:t>
      </w:r>
      <w:r>
        <w:rPr>
          <w:rStyle w:val="None"/>
          <w:rFonts w:cs="Times New Roman"/>
          <w:kern w:val="0"/>
          <w:szCs w:val="24"/>
        </w:rPr>
        <w:t xml:space="preserve">community foliar fungal pathogen load </w:t>
      </w:r>
      <w:r>
        <w:rPr>
          <w:rStyle w:val="None"/>
          <w:rFonts w:cs="Times New Roman"/>
          <w:szCs w:val="24"/>
        </w:rPr>
        <w:t xml:space="preserve">between </w:t>
      </w:r>
      <w:r>
        <w:rPr>
          <w:rStyle w:val="None"/>
          <w:rFonts w:cs="Times New Roman"/>
          <w:kern w:val="0"/>
          <w:szCs w:val="24"/>
        </w:rPr>
        <w:t>shrub patches</w:t>
      </w:r>
      <w:r>
        <w:rPr>
          <w:rStyle w:val="None"/>
          <w:rFonts w:cs="Times New Roman"/>
          <w:szCs w:val="24"/>
        </w:rPr>
        <w:t xml:space="preserve"> and grassland patches’ plots</w:t>
      </w:r>
      <w:r>
        <w:rPr>
          <w:rStyle w:val="None"/>
          <w:rFonts w:cs="Times New Roman"/>
          <w:b/>
          <w:bCs/>
          <w:kern w:val="0"/>
          <w:szCs w:val="24"/>
        </w:rPr>
        <w:t xml:space="preserve"> </w:t>
      </w:r>
      <w:r>
        <w:rPr>
          <w:rStyle w:val="None"/>
          <w:rFonts w:cs="Times New Roman"/>
          <w:kern w:val="0"/>
          <w:szCs w:val="24"/>
        </w:rPr>
        <w:t>(i.e., LRR pathogen load)</w:t>
      </w:r>
      <w:r>
        <w:rPr>
          <w:rStyle w:val="None"/>
          <w:rFonts w:cs="Times New Roman"/>
          <w:szCs w:val="24"/>
        </w:rPr>
        <w:t xml:space="preserve"> </w:t>
      </w:r>
      <w:r>
        <w:rPr>
          <w:rStyle w:val="None"/>
          <w:rFonts w:cs="Times New Roman"/>
          <w:kern w:val="0"/>
          <w:szCs w:val="24"/>
        </w:rPr>
        <w:t>via plausible pathways. Shown are estimate, standard error (Std.Error), the levels of significance for corresponding pathways (</w:t>
      </w:r>
      <w:r>
        <w:rPr>
          <w:rStyle w:val="None"/>
          <w:rFonts w:cs="Times New Roman"/>
          <w:i/>
          <w:kern w:val="0"/>
          <w:szCs w:val="24"/>
        </w:rPr>
        <w:t>P</w:t>
      </w:r>
      <w:r>
        <w:rPr>
          <w:rStyle w:val="None"/>
          <w:rFonts w:cs="Times New Roman"/>
          <w:kern w:val="0"/>
          <w:szCs w:val="24"/>
        </w:rPr>
        <w:t xml:space="preserve"> value) and standard estimate (Std.Estimate). </w:t>
      </w:r>
      <w:r>
        <w:rPr>
          <w:rFonts w:cs="Times New Roman"/>
          <w:szCs w:val="24"/>
        </w:rPr>
        <w:t>Significant results (</w:t>
      </w:r>
      <w:r>
        <w:rPr>
          <w:rFonts w:cs="Times New Roman"/>
          <w:i/>
          <w:szCs w:val="24"/>
        </w:rPr>
        <w:t>P</w:t>
      </w:r>
      <w:r>
        <w:rPr>
          <w:rFonts w:cs="Times New Roman"/>
          <w:szCs w:val="24"/>
        </w:rPr>
        <w:t xml:space="preserve"> &lt; 0.05) are given in bold.</w:t>
      </w:r>
    </w:p>
    <w:tbl>
      <w:tblPr>
        <w:tblW w:w="10753" w:type="dxa"/>
        <w:jc w:val="center"/>
        <w:tblLook w:val="04A0" w:firstRow="1" w:lastRow="0" w:firstColumn="1" w:lastColumn="0" w:noHBand="0" w:noVBand="1"/>
      </w:tblPr>
      <w:tblGrid>
        <w:gridCol w:w="2977"/>
        <w:gridCol w:w="2552"/>
        <w:gridCol w:w="1416"/>
        <w:gridCol w:w="1223"/>
        <w:gridCol w:w="893"/>
        <w:gridCol w:w="1692"/>
      </w:tblGrid>
      <w:tr w:rsidR="00D56C02" w14:paraId="11C416F1" w14:textId="77777777">
        <w:trPr>
          <w:trHeight w:val="345"/>
          <w:jc w:val="center"/>
        </w:trPr>
        <w:tc>
          <w:tcPr>
            <w:tcW w:w="2977" w:type="dxa"/>
            <w:tcBorders>
              <w:top w:val="single" w:sz="8" w:space="0" w:color="000000"/>
              <w:left w:val="nil"/>
              <w:bottom w:val="single" w:sz="8" w:space="0" w:color="000000"/>
              <w:right w:val="nil"/>
            </w:tcBorders>
            <w:shd w:val="clear" w:color="auto" w:fill="auto"/>
            <w:noWrap/>
            <w:vAlign w:val="center"/>
          </w:tcPr>
          <w:p w14:paraId="4C73604F" w14:textId="77777777" w:rsidR="00D56C02" w:rsidRDefault="00000000">
            <w:pPr>
              <w:widowControl/>
              <w:spacing w:line="480" w:lineRule="auto"/>
              <w:jc w:val="center"/>
              <w:rPr>
                <w:rFonts w:ascii="Arial" w:hAnsi="Arial" w:cs="Arial"/>
                <w:kern w:val="0"/>
                <w:sz w:val="14"/>
                <w:szCs w:val="14"/>
              </w:rPr>
            </w:pPr>
            <w:r>
              <w:rPr>
                <w:rFonts w:ascii="Arial" w:hAnsi="Arial" w:cs="Arial"/>
                <w:b/>
                <w:bCs/>
                <w:kern w:val="0"/>
                <w:sz w:val="14"/>
                <w:szCs w:val="14"/>
                <w:lang w:bidi="ar"/>
              </w:rPr>
              <w:t>Response</w:t>
            </w:r>
          </w:p>
        </w:tc>
        <w:tc>
          <w:tcPr>
            <w:tcW w:w="2552" w:type="dxa"/>
            <w:tcBorders>
              <w:top w:val="single" w:sz="8" w:space="0" w:color="000000"/>
              <w:left w:val="nil"/>
              <w:bottom w:val="single" w:sz="8" w:space="0" w:color="000000"/>
              <w:right w:val="nil"/>
            </w:tcBorders>
            <w:shd w:val="clear" w:color="auto" w:fill="auto"/>
            <w:noWrap/>
            <w:vAlign w:val="center"/>
          </w:tcPr>
          <w:p w14:paraId="01428FA5" w14:textId="77777777" w:rsidR="00D56C02" w:rsidRDefault="00000000">
            <w:pPr>
              <w:widowControl/>
              <w:spacing w:line="480" w:lineRule="auto"/>
              <w:jc w:val="center"/>
              <w:rPr>
                <w:rFonts w:ascii="Arial" w:hAnsi="Arial" w:cs="Arial"/>
                <w:kern w:val="0"/>
                <w:sz w:val="14"/>
                <w:szCs w:val="14"/>
              </w:rPr>
            </w:pPr>
            <w:r>
              <w:rPr>
                <w:rFonts w:ascii="Arial" w:hAnsi="Arial" w:cs="Arial"/>
                <w:b/>
                <w:bCs/>
                <w:kern w:val="0"/>
                <w:sz w:val="14"/>
                <w:szCs w:val="14"/>
                <w:lang w:bidi="ar"/>
              </w:rPr>
              <w:t>Predictor</w:t>
            </w:r>
          </w:p>
        </w:tc>
        <w:tc>
          <w:tcPr>
            <w:tcW w:w="1416" w:type="dxa"/>
            <w:tcBorders>
              <w:top w:val="single" w:sz="8" w:space="0" w:color="000000"/>
              <w:left w:val="nil"/>
              <w:bottom w:val="single" w:sz="8" w:space="0" w:color="000000"/>
              <w:right w:val="nil"/>
            </w:tcBorders>
            <w:shd w:val="clear" w:color="auto" w:fill="auto"/>
            <w:noWrap/>
            <w:vAlign w:val="center"/>
          </w:tcPr>
          <w:p w14:paraId="718D515B" w14:textId="77777777" w:rsidR="00D56C02" w:rsidRDefault="00000000">
            <w:pPr>
              <w:widowControl/>
              <w:spacing w:line="480" w:lineRule="auto"/>
              <w:jc w:val="center"/>
              <w:rPr>
                <w:rFonts w:ascii="Arial" w:hAnsi="Arial" w:cs="Arial"/>
                <w:kern w:val="0"/>
                <w:sz w:val="14"/>
                <w:szCs w:val="14"/>
              </w:rPr>
            </w:pPr>
            <w:r>
              <w:rPr>
                <w:rFonts w:ascii="Arial" w:hAnsi="Arial" w:cs="Arial"/>
                <w:b/>
                <w:bCs/>
                <w:kern w:val="0"/>
                <w:sz w:val="14"/>
                <w:szCs w:val="14"/>
                <w:lang w:bidi="ar"/>
              </w:rPr>
              <w:t>Estimate</w:t>
            </w:r>
          </w:p>
        </w:tc>
        <w:tc>
          <w:tcPr>
            <w:tcW w:w="1223" w:type="dxa"/>
            <w:tcBorders>
              <w:top w:val="single" w:sz="8" w:space="0" w:color="000000"/>
              <w:left w:val="nil"/>
              <w:bottom w:val="single" w:sz="8" w:space="0" w:color="000000"/>
              <w:right w:val="nil"/>
            </w:tcBorders>
            <w:shd w:val="clear" w:color="auto" w:fill="auto"/>
            <w:noWrap/>
            <w:vAlign w:val="center"/>
          </w:tcPr>
          <w:p w14:paraId="5576F48A" w14:textId="77777777" w:rsidR="00D56C02" w:rsidRDefault="00000000">
            <w:pPr>
              <w:widowControl/>
              <w:spacing w:line="480" w:lineRule="auto"/>
              <w:jc w:val="center"/>
              <w:rPr>
                <w:rFonts w:ascii="Arial" w:hAnsi="Arial" w:cs="Arial"/>
                <w:kern w:val="0"/>
                <w:sz w:val="14"/>
                <w:szCs w:val="14"/>
              </w:rPr>
            </w:pPr>
            <w:r>
              <w:rPr>
                <w:rFonts w:ascii="Arial" w:hAnsi="Arial" w:cs="Arial"/>
                <w:b/>
                <w:bCs/>
                <w:kern w:val="0"/>
                <w:sz w:val="14"/>
                <w:szCs w:val="14"/>
                <w:lang w:bidi="ar"/>
              </w:rPr>
              <w:t>Std.Error</w:t>
            </w:r>
          </w:p>
        </w:tc>
        <w:tc>
          <w:tcPr>
            <w:tcW w:w="893" w:type="dxa"/>
            <w:tcBorders>
              <w:top w:val="single" w:sz="8" w:space="0" w:color="000000"/>
              <w:left w:val="nil"/>
              <w:bottom w:val="single" w:sz="8" w:space="0" w:color="000000"/>
              <w:right w:val="nil"/>
            </w:tcBorders>
            <w:shd w:val="clear" w:color="auto" w:fill="auto"/>
            <w:noWrap/>
            <w:vAlign w:val="center"/>
          </w:tcPr>
          <w:p w14:paraId="4F90277A" w14:textId="77777777" w:rsidR="00D56C02" w:rsidRDefault="00000000">
            <w:pPr>
              <w:widowControl/>
              <w:spacing w:line="480" w:lineRule="auto"/>
              <w:jc w:val="center"/>
              <w:rPr>
                <w:rFonts w:ascii="Arial" w:hAnsi="Arial" w:cs="Arial"/>
                <w:b/>
                <w:bCs/>
                <w:i/>
                <w:iCs/>
                <w:kern w:val="0"/>
                <w:sz w:val="14"/>
                <w:szCs w:val="14"/>
              </w:rPr>
            </w:pPr>
            <w:r>
              <w:rPr>
                <w:rFonts w:ascii="Arial" w:hAnsi="Arial" w:cs="Arial"/>
                <w:b/>
                <w:bCs/>
                <w:i/>
                <w:iCs/>
                <w:kern w:val="0"/>
                <w:sz w:val="14"/>
                <w:szCs w:val="14"/>
                <w:lang w:bidi="ar"/>
              </w:rPr>
              <w:t>P</w:t>
            </w:r>
          </w:p>
        </w:tc>
        <w:tc>
          <w:tcPr>
            <w:tcW w:w="1692" w:type="dxa"/>
            <w:tcBorders>
              <w:top w:val="single" w:sz="8" w:space="0" w:color="000000"/>
              <w:left w:val="nil"/>
              <w:bottom w:val="single" w:sz="8" w:space="0" w:color="000000"/>
              <w:right w:val="nil"/>
            </w:tcBorders>
            <w:shd w:val="clear" w:color="auto" w:fill="auto"/>
            <w:noWrap/>
            <w:vAlign w:val="center"/>
          </w:tcPr>
          <w:p w14:paraId="684748E3" w14:textId="77777777" w:rsidR="00D56C02" w:rsidRDefault="00000000">
            <w:pPr>
              <w:widowControl/>
              <w:spacing w:line="480" w:lineRule="auto"/>
              <w:jc w:val="center"/>
              <w:rPr>
                <w:rFonts w:ascii="Arial" w:hAnsi="Arial" w:cs="Arial"/>
                <w:kern w:val="0"/>
                <w:sz w:val="14"/>
                <w:szCs w:val="14"/>
              </w:rPr>
            </w:pPr>
            <w:r>
              <w:rPr>
                <w:rFonts w:ascii="Arial" w:hAnsi="Arial" w:cs="Arial"/>
                <w:b/>
                <w:bCs/>
                <w:kern w:val="0"/>
                <w:sz w:val="14"/>
                <w:szCs w:val="14"/>
                <w:lang w:bidi="ar"/>
              </w:rPr>
              <w:t>Std.Estimate</w:t>
            </w:r>
          </w:p>
        </w:tc>
      </w:tr>
      <w:tr w:rsidR="00D56C02" w14:paraId="098EC720" w14:textId="77777777">
        <w:trPr>
          <w:trHeight w:val="330"/>
          <w:jc w:val="center"/>
        </w:trPr>
        <w:tc>
          <w:tcPr>
            <w:tcW w:w="2977" w:type="dxa"/>
            <w:tcBorders>
              <w:top w:val="single" w:sz="8" w:space="0" w:color="000000"/>
              <w:left w:val="nil"/>
              <w:bottom w:val="nil"/>
              <w:right w:val="nil"/>
            </w:tcBorders>
            <w:shd w:val="clear" w:color="auto" w:fill="auto"/>
            <w:noWrap/>
          </w:tcPr>
          <w:p w14:paraId="2AB0D34D"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LRR pathogen load</w:t>
            </w:r>
          </w:p>
        </w:tc>
        <w:tc>
          <w:tcPr>
            <w:tcW w:w="2552" w:type="dxa"/>
            <w:tcBorders>
              <w:top w:val="single" w:sz="8" w:space="0" w:color="000000"/>
              <w:left w:val="nil"/>
              <w:bottom w:val="nil"/>
              <w:right w:val="nil"/>
            </w:tcBorders>
            <w:shd w:val="clear" w:color="auto" w:fill="auto"/>
            <w:noWrap/>
            <w:vAlign w:val="center"/>
          </w:tcPr>
          <w:p w14:paraId="5CA6E9D8"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MAT</w:t>
            </w:r>
          </w:p>
        </w:tc>
        <w:tc>
          <w:tcPr>
            <w:tcW w:w="1416" w:type="dxa"/>
            <w:tcBorders>
              <w:top w:val="single" w:sz="8" w:space="0" w:color="000000"/>
              <w:left w:val="nil"/>
              <w:bottom w:val="nil"/>
              <w:right w:val="nil"/>
            </w:tcBorders>
            <w:shd w:val="clear" w:color="auto" w:fill="auto"/>
            <w:noWrap/>
            <w:vAlign w:val="center"/>
          </w:tcPr>
          <w:p w14:paraId="0A65D824"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0.070</w:t>
            </w:r>
          </w:p>
        </w:tc>
        <w:tc>
          <w:tcPr>
            <w:tcW w:w="1223" w:type="dxa"/>
            <w:tcBorders>
              <w:top w:val="single" w:sz="8" w:space="0" w:color="000000"/>
              <w:left w:val="nil"/>
              <w:bottom w:val="nil"/>
              <w:right w:val="nil"/>
            </w:tcBorders>
            <w:shd w:val="clear" w:color="auto" w:fill="auto"/>
            <w:noWrap/>
            <w:vAlign w:val="center"/>
          </w:tcPr>
          <w:p w14:paraId="00219A4C"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0.034</w:t>
            </w:r>
          </w:p>
        </w:tc>
        <w:tc>
          <w:tcPr>
            <w:tcW w:w="893" w:type="dxa"/>
            <w:tcBorders>
              <w:top w:val="single" w:sz="8" w:space="0" w:color="000000"/>
              <w:left w:val="nil"/>
              <w:bottom w:val="nil"/>
              <w:right w:val="nil"/>
            </w:tcBorders>
            <w:shd w:val="clear" w:color="auto" w:fill="auto"/>
            <w:noWrap/>
            <w:vAlign w:val="center"/>
          </w:tcPr>
          <w:p w14:paraId="24291873" w14:textId="77777777" w:rsidR="00D56C02" w:rsidRDefault="00000000">
            <w:pPr>
              <w:widowControl/>
              <w:spacing w:line="480" w:lineRule="auto"/>
              <w:jc w:val="center"/>
              <w:rPr>
                <w:rFonts w:ascii="Arial" w:hAnsi="Arial" w:cs="Arial"/>
                <w:bCs/>
                <w:kern w:val="0"/>
                <w:sz w:val="14"/>
                <w:szCs w:val="14"/>
              </w:rPr>
            </w:pPr>
            <w:r>
              <w:rPr>
                <w:rFonts w:ascii="Arial" w:hAnsi="Arial" w:cs="Arial"/>
                <w:b/>
                <w:bCs/>
                <w:kern w:val="0"/>
                <w:sz w:val="14"/>
                <w:szCs w:val="14"/>
              </w:rPr>
              <w:t>0.043</w:t>
            </w:r>
          </w:p>
        </w:tc>
        <w:tc>
          <w:tcPr>
            <w:tcW w:w="1692" w:type="dxa"/>
            <w:tcBorders>
              <w:top w:val="single" w:sz="8" w:space="0" w:color="000000"/>
              <w:left w:val="nil"/>
              <w:bottom w:val="nil"/>
              <w:right w:val="nil"/>
            </w:tcBorders>
            <w:shd w:val="clear" w:color="auto" w:fill="auto"/>
            <w:noWrap/>
            <w:vAlign w:val="center"/>
          </w:tcPr>
          <w:p w14:paraId="579BA827"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0.153</w:t>
            </w:r>
          </w:p>
        </w:tc>
      </w:tr>
      <w:tr w:rsidR="00D56C02" w14:paraId="50C3431D" w14:textId="77777777">
        <w:trPr>
          <w:trHeight w:val="330"/>
          <w:jc w:val="center"/>
        </w:trPr>
        <w:tc>
          <w:tcPr>
            <w:tcW w:w="2977" w:type="dxa"/>
            <w:tcBorders>
              <w:top w:val="nil"/>
              <w:left w:val="nil"/>
              <w:bottom w:val="nil"/>
              <w:right w:val="nil"/>
            </w:tcBorders>
            <w:shd w:val="clear" w:color="auto" w:fill="auto"/>
            <w:noWrap/>
          </w:tcPr>
          <w:p w14:paraId="4579B9C4"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LRR pathogen load</w:t>
            </w:r>
          </w:p>
        </w:tc>
        <w:tc>
          <w:tcPr>
            <w:tcW w:w="2552" w:type="dxa"/>
            <w:tcBorders>
              <w:top w:val="nil"/>
              <w:left w:val="nil"/>
              <w:bottom w:val="nil"/>
              <w:right w:val="nil"/>
            </w:tcBorders>
            <w:shd w:val="clear" w:color="auto" w:fill="auto"/>
            <w:noWrap/>
            <w:vAlign w:val="center"/>
          </w:tcPr>
          <w:p w14:paraId="69D8754F"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MAP</w:t>
            </w:r>
          </w:p>
        </w:tc>
        <w:tc>
          <w:tcPr>
            <w:tcW w:w="1416" w:type="dxa"/>
            <w:tcBorders>
              <w:top w:val="nil"/>
              <w:left w:val="nil"/>
              <w:bottom w:val="nil"/>
              <w:right w:val="nil"/>
            </w:tcBorders>
            <w:shd w:val="clear" w:color="auto" w:fill="auto"/>
            <w:noWrap/>
            <w:vAlign w:val="center"/>
          </w:tcPr>
          <w:p w14:paraId="30194120"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&lt;-0.001</w:t>
            </w:r>
          </w:p>
        </w:tc>
        <w:tc>
          <w:tcPr>
            <w:tcW w:w="1223" w:type="dxa"/>
            <w:tcBorders>
              <w:top w:val="nil"/>
              <w:left w:val="nil"/>
              <w:bottom w:val="nil"/>
              <w:right w:val="nil"/>
            </w:tcBorders>
            <w:shd w:val="clear" w:color="auto" w:fill="auto"/>
            <w:noWrap/>
            <w:vAlign w:val="center"/>
          </w:tcPr>
          <w:p w14:paraId="53E431E7"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&lt;0.001</w:t>
            </w:r>
          </w:p>
        </w:tc>
        <w:tc>
          <w:tcPr>
            <w:tcW w:w="893" w:type="dxa"/>
            <w:tcBorders>
              <w:top w:val="nil"/>
              <w:left w:val="nil"/>
              <w:bottom w:val="nil"/>
              <w:right w:val="nil"/>
            </w:tcBorders>
            <w:shd w:val="clear" w:color="auto" w:fill="auto"/>
            <w:noWrap/>
            <w:vAlign w:val="center"/>
          </w:tcPr>
          <w:p w14:paraId="745B5D7B" w14:textId="77777777" w:rsidR="00D56C02" w:rsidRDefault="00000000">
            <w:pPr>
              <w:widowControl/>
              <w:spacing w:line="480" w:lineRule="auto"/>
              <w:jc w:val="center"/>
              <w:rPr>
                <w:rFonts w:ascii="Arial" w:hAnsi="Arial" w:cs="Arial"/>
                <w:bCs/>
                <w:kern w:val="0"/>
                <w:sz w:val="14"/>
                <w:szCs w:val="14"/>
              </w:rPr>
            </w:pPr>
            <w:r>
              <w:rPr>
                <w:rFonts w:ascii="Arial" w:hAnsi="Arial" w:cs="Arial"/>
                <w:bCs/>
                <w:kern w:val="0"/>
                <w:sz w:val="14"/>
                <w:szCs w:val="14"/>
              </w:rPr>
              <w:t>0.809</w:t>
            </w:r>
          </w:p>
        </w:tc>
        <w:tc>
          <w:tcPr>
            <w:tcW w:w="1692" w:type="dxa"/>
            <w:tcBorders>
              <w:top w:val="nil"/>
              <w:left w:val="nil"/>
              <w:bottom w:val="nil"/>
              <w:right w:val="nil"/>
            </w:tcBorders>
            <w:shd w:val="clear" w:color="auto" w:fill="auto"/>
            <w:noWrap/>
            <w:vAlign w:val="center"/>
          </w:tcPr>
          <w:p w14:paraId="701E2D78"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-0.021</w:t>
            </w:r>
          </w:p>
        </w:tc>
      </w:tr>
      <w:tr w:rsidR="00D56C02" w14:paraId="29041B2F" w14:textId="77777777">
        <w:trPr>
          <w:trHeight w:val="315"/>
          <w:jc w:val="center"/>
        </w:trPr>
        <w:tc>
          <w:tcPr>
            <w:tcW w:w="2977" w:type="dxa"/>
            <w:tcBorders>
              <w:top w:val="nil"/>
              <w:left w:val="nil"/>
              <w:bottom w:val="nil"/>
              <w:right w:val="nil"/>
            </w:tcBorders>
            <w:shd w:val="clear" w:color="auto" w:fill="auto"/>
            <w:noWrap/>
          </w:tcPr>
          <w:p w14:paraId="6DF28660"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LRR pathogen load</w:t>
            </w:r>
          </w:p>
        </w:tc>
        <w:tc>
          <w:tcPr>
            <w:tcW w:w="2552" w:type="dxa"/>
            <w:tcBorders>
              <w:top w:val="nil"/>
              <w:left w:val="nil"/>
              <w:bottom w:val="nil"/>
              <w:right w:val="nil"/>
            </w:tcBorders>
            <w:shd w:val="clear" w:color="auto" w:fill="auto"/>
            <w:noWrap/>
            <w:vAlign w:val="center"/>
          </w:tcPr>
          <w:p w14:paraId="0C19FEB9"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Biomass</w:t>
            </w:r>
          </w:p>
        </w:tc>
        <w:tc>
          <w:tcPr>
            <w:tcW w:w="1416" w:type="dxa"/>
            <w:tcBorders>
              <w:top w:val="nil"/>
              <w:left w:val="nil"/>
              <w:bottom w:val="nil"/>
              <w:right w:val="nil"/>
            </w:tcBorders>
            <w:shd w:val="clear" w:color="auto" w:fill="auto"/>
            <w:noWrap/>
            <w:vAlign w:val="center"/>
          </w:tcPr>
          <w:p w14:paraId="5C4DBDC5"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-0.009</w:t>
            </w:r>
          </w:p>
        </w:tc>
        <w:tc>
          <w:tcPr>
            <w:tcW w:w="1223" w:type="dxa"/>
            <w:tcBorders>
              <w:top w:val="nil"/>
              <w:left w:val="nil"/>
              <w:bottom w:val="nil"/>
              <w:right w:val="nil"/>
            </w:tcBorders>
            <w:shd w:val="clear" w:color="auto" w:fill="auto"/>
            <w:noWrap/>
            <w:vAlign w:val="center"/>
          </w:tcPr>
          <w:p w14:paraId="2D76221B"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0.003</w:t>
            </w:r>
          </w:p>
        </w:tc>
        <w:tc>
          <w:tcPr>
            <w:tcW w:w="893" w:type="dxa"/>
            <w:tcBorders>
              <w:top w:val="nil"/>
              <w:left w:val="nil"/>
              <w:bottom w:val="nil"/>
              <w:right w:val="nil"/>
            </w:tcBorders>
            <w:shd w:val="clear" w:color="auto" w:fill="auto"/>
            <w:noWrap/>
            <w:vAlign w:val="center"/>
          </w:tcPr>
          <w:p w14:paraId="28074319" w14:textId="77777777" w:rsidR="00D56C02" w:rsidRDefault="00000000">
            <w:pPr>
              <w:widowControl/>
              <w:spacing w:line="480" w:lineRule="auto"/>
              <w:jc w:val="center"/>
              <w:rPr>
                <w:rFonts w:ascii="Arial" w:hAnsi="Arial" w:cs="Arial"/>
                <w:b/>
                <w:kern w:val="0"/>
                <w:sz w:val="14"/>
                <w:szCs w:val="14"/>
              </w:rPr>
            </w:pPr>
            <w:r>
              <w:rPr>
                <w:rFonts w:ascii="Arial" w:hAnsi="Arial" w:cs="Arial"/>
                <w:b/>
                <w:kern w:val="0"/>
                <w:sz w:val="14"/>
                <w:szCs w:val="14"/>
              </w:rPr>
              <w:t>0.014</w:t>
            </w:r>
          </w:p>
        </w:tc>
        <w:tc>
          <w:tcPr>
            <w:tcW w:w="1692" w:type="dxa"/>
            <w:tcBorders>
              <w:top w:val="nil"/>
              <w:left w:val="nil"/>
              <w:bottom w:val="nil"/>
              <w:right w:val="nil"/>
            </w:tcBorders>
            <w:shd w:val="clear" w:color="auto" w:fill="auto"/>
            <w:noWrap/>
            <w:vAlign w:val="center"/>
          </w:tcPr>
          <w:p w14:paraId="39A5CF07"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-0.187</w:t>
            </w:r>
          </w:p>
        </w:tc>
      </w:tr>
      <w:tr w:rsidR="00D56C02" w14:paraId="67997657" w14:textId="77777777">
        <w:trPr>
          <w:trHeight w:val="330"/>
          <w:jc w:val="center"/>
        </w:trPr>
        <w:tc>
          <w:tcPr>
            <w:tcW w:w="2977" w:type="dxa"/>
            <w:tcBorders>
              <w:top w:val="nil"/>
              <w:left w:val="nil"/>
              <w:bottom w:val="nil"/>
              <w:right w:val="nil"/>
            </w:tcBorders>
            <w:shd w:val="clear" w:color="auto" w:fill="auto"/>
            <w:noWrap/>
          </w:tcPr>
          <w:p w14:paraId="1D93932C"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LRR pathogen load</w:t>
            </w:r>
          </w:p>
        </w:tc>
        <w:tc>
          <w:tcPr>
            <w:tcW w:w="2552" w:type="dxa"/>
            <w:tcBorders>
              <w:top w:val="nil"/>
              <w:left w:val="nil"/>
              <w:bottom w:val="nil"/>
              <w:right w:val="nil"/>
            </w:tcBorders>
            <w:shd w:val="clear" w:color="auto" w:fill="auto"/>
            <w:noWrap/>
            <w:vAlign w:val="center"/>
          </w:tcPr>
          <w:p w14:paraId="4181C232" w14:textId="77777777" w:rsidR="00D56C02" w:rsidRDefault="00000000">
            <w:pPr>
              <w:widowControl/>
              <w:spacing w:line="480" w:lineRule="auto"/>
              <w:jc w:val="left"/>
              <w:rPr>
                <w:rFonts w:ascii="Arial" w:hAnsi="Arial" w:cs="Arial"/>
                <w:kern w:val="0"/>
                <w:sz w:val="14"/>
                <w:szCs w:val="14"/>
              </w:rPr>
            </w:pPr>
            <w:r>
              <w:rPr>
                <w:rFonts w:ascii="Arial" w:hAnsi="Arial" w:cs="Arial"/>
                <w:sz w:val="14"/>
                <w:szCs w:val="14"/>
              </w:rPr>
              <w:t>Simpson</w:t>
            </w:r>
          </w:p>
        </w:tc>
        <w:tc>
          <w:tcPr>
            <w:tcW w:w="1416" w:type="dxa"/>
            <w:tcBorders>
              <w:top w:val="nil"/>
              <w:left w:val="nil"/>
              <w:bottom w:val="nil"/>
              <w:right w:val="nil"/>
            </w:tcBorders>
            <w:shd w:val="clear" w:color="auto" w:fill="auto"/>
            <w:noWrap/>
            <w:vAlign w:val="center"/>
          </w:tcPr>
          <w:p w14:paraId="2A03CF62"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-0.033</w:t>
            </w:r>
          </w:p>
        </w:tc>
        <w:tc>
          <w:tcPr>
            <w:tcW w:w="1223" w:type="dxa"/>
            <w:tcBorders>
              <w:top w:val="nil"/>
              <w:left w:val="nil"/>
              <w:bottom w:val="nil"/>
              <w:right w:val="nil"/>
            </w:tcBorders>
            <w:shd w:val="clear" w:color="auto" w:fill="auto"/>
            <w:noWrap/>
            <w:vAlign w:val="center"/>
          </w:tcPr>
          <w:p w14:paraId="6F37A68F"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0.392</w:t>
            </w:r>
          </w:p>
        </w:tc>
        <w:tc>
          <w:tcPr>
            <w:tcW w:w="893" w:type="dxa"/>
            <w:tcBorders>
              <w:top w:val="nil"/>
              <w:left w:val="nil"/>
              <w:bottom w:val="nil"/>
              <w:right w:val="nil"/>
            </w:tcBorders>
            <w:shd w:val="clear" w:color="auto" w:fill="auto"/>
            <w:noWrap/>
            <w:vAlign w:val="center"/>
          </w:tcPr>
          <w:p w14:paraId="44FDB27C" w14:textId="77777777" w:rsidR="00D56C02" w:rsidRDefault="00000000">
            <w:pPr>
              <w:widowControl/>
              <w:spacing w:line="480" w:lineRule="auto"/>
              <w:jc w:val="center"/>
              <w:rPr>
                <w:rFonts w:ascii="Arial" w:hAnsi="Arial" w:cs="Arial"/>
                <w:bCs/>
                <w:kern w:val="0"/>
                <w:sz w:val="14"/>
                <w:szCs w:val="14"/>
              </w:rPr>
            </w:pPr>
            <w:r>
              <w:rPr>
                <w:rFonts w:ascii="Arial" w:hAnsi="Arial" w:cs="Arial"/>
                <w:bCs/>
                <w:kern w:val="0"/>
                <w:sz w:val="14"/>
                <w:szCs w:val="14"/>
              </w:rPr>
              <w:t>0.932</w:t>
            </w:r>
          </w:p>
        </w:tc>
        <w:tc>
          <w:tcPr>
            <w:tcW w:w="1692" w:type="dxa"/>
            <w:tcBorders>
              <w:top w:val="nil"/>
              <w:left w:val="nil"/>
              <w:bottom w:val="nil"/>
              <w:right w:val="nil"/>
            </w:tcBorders>
            <w:shd w:val="clear" w:color="auto" w:fill="auto"/>
            <w:noWrap/>
            <w:vAlign w:val="center"/>
          </w:tcPr>
          <w:p w14:paraId="53B526AC"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-0.005</w:t>
            </w:r>
          </w:p>
        </w:tc>
      </w:tr>
      <w:tr w:rsidR="00D56C02" w14:paraId="7834B7F3" w14:textId="77777777">
        <w:trPr>
          <w:trHeight w:val="330"/>
          <w:jc w:val="center"/>
        </w:trPr>
        <w:tc>
          <w:tcPr>
            <w:tcW w:w="2977" w:type="dxa"/>
            <w:tcBorders>
              <w:top w:val="nil"/>
              <w:left w:val="nil"/>
              <w:bottom w:val="nil"/>
              <w:right w:val="nil"/>
            </w:tcBorders>
            <w:shd w:val="clear" w:color="auto" w:fill="auto"/>
            <w:noWrap/>
          </w:tcPr>
          <w:p w14:paraId="055DC9FD"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LRR pathogen load</w:t>
            </w:r>
          </w:p>
        </w:tc>
        <w:tc>
          <w:tcPr>
            <w:tcW w:w="2552" w:type="dxa"/>
            <w:tcBorders>
              <w:top w:val="nil"/>
              <w:left w:val="nil"/>
              <w:bottom w:val="nil"/>
              <w:right w:val="nil"/>
            </w:tcBorders>
            <w:shd w:val="clear" w:color="auto" w:fill="auto"/>
            <w:noWrap/>
            <w:vAlign w:val="center"/>
          </w:tcPr>
          <w:p w14:paraId="7A1AB557" w14:textId="77777777" w:rsidR="00D56C02" w:rsidRDefault="00000000">
            <w:pPr>
              <w:widowControl/>
              <w:spacing w:line="480" w:lineRule="auto"/>
              <w:jc w:val="left"/>
              <w:rPr>
                <w:rFonts w:ascii="Arial" w:hAnsi="Arial" w:cs="Arial"/>
                <w:kern w:val="0"/>
                <w:sz w:val="14"/>
                <w:szCs w:val="14"/>
              </w:rPr>
            </w:pPr>
            <w:r>
              <w:rPr>
                <w:rFonts w:ascii="Arial" w:hAnsi="Arial" w:cs="Arial"/>
                <w:sz w:val="14"/>
                <w:szCs w:val="14"/>
              </w:rPr>
              <w:t>S</w:t>
            </w:r>
            <w:r>
              <w:rPr>
                <w:rStyle w:val="None"/>
                <w:rFonts w:ascii="Arial" w:hAnsi="Arial" w:cs="Arial"/>
                <w:kern w:val="0"/>
                <w:sz w:val="14"/>
                <w:szCs w:val="14"/>
              </w:rPr>
              <w:t>oil PC1</w:t>
            </w:r>
          </w:p>
        </w:tc>
        <w:tc>
          <w:tcPr>
            <w:tcW w:w="1416" w:type="dxa"/>
            <w:tcBorders>
              <w:top w:val="nil"/>
              <w:left w:val="nil"/>
              <w:bottom w:val="nil"/>
              <w:right w:val="nil"/>
            </w:tcBorders>
            <w:shd w:val="clear" w:color="auto" w:fill="auto"/>
            <w:noWrap/>
            <w:vAlign w:val="center"/>
          </w:tcPr>
          <w:p w14:paraId="6DABC0EA"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-0.057</w:t>
            </w:r>
          </w:p>
        </w:tc>
        <w:tc>
          <w:tcPr>
            <w:tcW w:w="1223" w:type="dxa"/>
            <w:tcBorders>
              <w:top w:val="nil"/>
              <w:left w:val="nil"/>
              <w:bottom w:val="nil"/>
              <w:right w:val="nil"/>
            </w:tcBorders>
            <w:shd w:val="clear" w:color="auto" w:fill="auto"/>
            <w:noWrap/>
            <w:vAlign w:val="center"/>
          </w:tcPr>
          <w:p w14:paraId="7114CA04"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0.399</w:t>
            </w:r>
          </w:p>
        </w:tc>
        <w:tc>
          <w:tcPr>
            <w:tcW w:w="893" w:type="dxa"/>
            <w:tcBorders>
              <w:top w:val="nil"/>
              <w:left w:val="nil"/>
              <w:bottom w:val="nil"/>
              <w:right w:val="nil"/>
            </w:tcBorders>
            <w:shd w:val="clear" w:color="auto" w:fill="auto"/>
            <w:noWrap/>
            <w:vAlign w:val="center"/>
          </w:tcPr>
          <w:p w14:paraId="4596E2C7" w14:textId="77777777" w:rsidR="00D56C02" w:rsidRDefault="00000000">
            <w:pPr>
              <w:widowControl/>
              <w:spacing w:line="480" w:lineRule="auto"/>
              <w:jc w:val="center"/>
              <w:rPr>
                <w:rFonts w:ascii="Arial" w:hAnsi="Arial" w:cs="Arial"/>
                <w:bCs/>
                <w:kern w:val="0"/>
                <w:sz w:val="14"/>
                <w:szCs w:val="14"/>
              </w:rPr>
            </w:pPr>
            <w:r>
              <w:rPr>
                <w:rFonts w:ascii="Arial" w:hAnsi="Arial" w:cs="Arial"/>
                <w:bCs/>
                <w:kern w:val="0"/>
                <w:sz w:val="14"/>
                <w:szCs w:val="14"/>
              </w:rPr>
              <w:t>0.886</w:t>
            </w:r>
          </w:p>
        </w:tc>
        <w:tc>
          <w:tcPr>
            <w:tcW w:w="1692" w:type="dxa"/>
            <w:tcBorders>
              <w:top w:val="nil"/>
              <w:left w:val="nil"/>
              <w:bottom w:val="nil"/>
              <w:right w:val="nil"/>
            </w:tcBorders>
            <w:shd w:val="clear" w:color="auto" w:fill="auto"/>
            <w:noWrap/>
            <w:vAlign w:val="center"/>
          </w:tcPr>
          <w:p w14:paraId="4886D8B7"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-0.010</w:t>
            </w:r>
          </w:p>
        </w:tc>
      </w:tr>
      <w:tr w:rsidR="00D56C02" w14:paraId="25E8BCCA" w14:textId="77777777">
        <w:trPr>
          <w:trHeight w:val="315"/>
          <w:jc w:val="center"/>
        </w:trPr>
        <w:tc>
          <w:tcPr>
            <w:tcW w:w="2977" w:type="dxa"/>
            <w:tcBorders>
              <w:top w:val="nil"/>
              <w:left w:val="nil"/>
              <w:bottom w:val="nil"/>
              <w:right w:val="nil"/>
            </w:tcBorders>
            <w:shd w:val="clear" w:color="auto" w:fill="auto"/>
            <w:noWrap/>
            <w:vAlign w:val="center"/>
          </w:tcPr>
          <w:p w14:paraId="1981CC75"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Biomass</w:t>
            </w:r>
          </w:p>
        </w:tc>
        <w:tc>
          <w:tcPr>
            <w:tcW w:w="2552" w:type="dxa"/>
            <w:tcBorders>
              <w:top w:val="nil"/>
              <w:left w:val="nil"/>
              <w:bottom w:val="nil"/>
              <w:right w:val="nil"/>
            </w:tcBorders>
            <w:shd w:val="clear" w:color="auto" w:fill="auto"/>
            <w:noWrap/>
            <w:vAlign w:val="center"/>
          </w:tcPr>
          <w:p w14:paraId="238D5CA1"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MAT</w:t>
            </w:r>
          </w:p>
        </w:tc>
        <w:tc>
          <w:tcPr>
            <w:tcW w:w="1416" w:type="dxa"/>
            <w:tcBorders>
              <w:top w:val="nil"/>
              <w:left w:val="nil"/>
              <w:bottom w:val="nil"/>
              <w:right w:val="nil"/>
            </w:tcBorders>
            <w:shd w:val="clear" w:color="auto" w:fill="auto"/>
            <w:noWrap/>
            <w:vAlign w:val="center"/>
          </w:tcPr>
          <w:p w14:paraId="012741D7"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-2.539</w:t>
            </w:r>
          </w:p>
        </w:tc>
        <w:tc>
          <w:tcPr>
            <w:tcW w:w="1223" w:type="dxa"/>
            <w:tcBorders>
              <w:top w:val="nil"/>
              <w:left w:val="nil"/>
              <w:bottom w:val="nil"/>
              <w:right w:val="nil"/>
            </w:tcBorders>
            <w:shd w:val="clear" w:color="auto" w:fill="auto"/>
            <w:noWrap/>
            <w:vAlign w:val="center"/>
          </w:tcPr>
          <w:p w14:paraId="5A15952B"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0.742</w:t>
            </w:r>
          </w:p>
        </w:tc>
        <w:tc>
          <w:tcPr>
            <w:tcW w:w="893" w:type="dxa"/>
            <w:tcBorders>
              <w:top w:val="nil"/>
              <w:left w:val="nil"/>
              <w:bottom w:val="nil"/>
              <w:right w:val="nil"/>
            </w:tcBorders>
            <w:shd w:val="clear" w:color="auto" w:fill="auto"/>
            <w:noWrap/>
          </w:tcPr>
          <w:p w14:paraId="09087814"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0.001</w:t>
            </w:r>
          </w:p>
        </w:tc>
        <w:tc>
          <w:tcPr>
            <w:tcW w:w="1692" w:type="dxa"/>
            <w:tcBorders>
              <w:top w:val="nil"/>
              <w:left w:val="nil"/>
              <w:bottom w:val="nil"/>
              <w:right w:val="nil"/>
            </w:tcBorders>
            <w:shd w:val="clear" w:color="auto" w:fill="auto"/>
            <w:noWrap/>
            <w:vAlign w:val="center"/>
          </w:tcPr>
          <w:p w14:paraId="24F353F6"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-0.281</w:t>
            </w:r>
          </w:p>
        </w:tc>
      </w:tr>
      <w:tr w:rsidR="00D56C02" w14:paraId="2B6E566C" w14:textId="77777777">
        <w:trPr>
          <w:trHeight w:val="315"/>
          <w:jc w:val="center"/>
        </w:trPr>
        <w:tc>
          <w:tcPr>
            <w:tcW w:w="2977" w:type="dxa"/>
            <w:tcBorders>
              <w:top w:val="nil"/>
              <w:left w:val="nil"/>
              <w:bottom w:val="nil"/>
              <w:right w:val="nil"/>
            </w:tcBorders>
            <w:shd w:val="clear" w:color="auto" w:fill="auto"/>
            <w:noWrap/>
          </w:tcPr>
          <w:p w14:paraId="6C9F629A"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Biomass</w:t>
            </w:r>
          </w:p>
        </w:tc>
        <w:tc>
          <w:tcPr>
            <w:tcW w:w="2552" w:type="dxa"/>
            <w:tcBorders>
              <w:top w:val="nil"/>
              <w:left w:val="nil"/>
              <w:bottom w:val="nil"/>
              <w:right w:val="nil"/>
            </w:tcBorders>
            <w:shd w:val="clear" w:color="auto" w:fill="auto"/>
            <w:noWrap/>
            <w:vAlign w:val="center"/>
          </w:tcPr>
          <w:p w14:paraId="3996AA41"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MAP</w:t>
            </w:r>
          </w:p>
        </w:tc>
        <w:tc>
          <w:tcPr>
            <w:tcW w:w="1416" w:type="dxa"/>
            <w:tcBorders>
              <w:top w:val="nil"/>
              <w:left w:val="nil"/>
              <w:bottom w:val="nil"/>
              <w:right w:val="nil"/>
            </w:tcBorders>
            <w:shd w:val="clear" w:color="auto" w:fill="auto"/>
            <w:noWrap/>
            <w:vAlign w:val="center"/>
          </w:tcPr>
          <w:p w14:paraId="640E4046"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0.077</w:t>
            </w:r>
          </w:p>
        </w:tc>
        <w:tc>
          <w:tcPr>
            <w:tcW w:w="1223" w:type="dxa"/>
            <w:tcBorders>
              <w:top w:val="nil"/>
              <w:left w:val="nil"/>
              <w:bottom w:val="nil"/>
              <w:right w:val="nil"/>
            </w:tcBorders>
            <w:shd w:val="clear" w:color="auto" w:fill="auto"/>
            <w:noWrap/>
            <w:vAlign w:val="center"/>
          </w:tcPr>
          <w:p w14:paraId="11C4B445"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0.014</w:t>
            </w:r>
          </w:p>
        </w:tc>
        <w:tc>
          <w:tcPr>
            <w:tcW w:w="893" w:type="dxa"/>
            <w:tcBorders>
              <w:top w:val="nil"/>
              <w:left w:val="nil"/>
              <w:bottom w:val="nil"/>
              <w:right w:val="nil"/>
            </w:tcBorders>
            <w:shd w:val="clear" w:color="auto" w:fill="auto"/>
            <w:noWrap/>
          </w:tcPr>
          <w:p w14:paraId="424471B0"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&lt;0.001</w:t>
            </w:r>
          </w:p>
        </w:tc>
        <w:tc>
          <w:tcPr>
            <w:tcW w:w="1692" w:type="dxa"/>
            <w:tcBorders>
              <w:top w:val="nil"/>
              <w:left w:val="nil"/>
              <w:bottom w:val="nil"/>
              <w:right w:val="nil"/>
            </w:tcBorders>
            <w:shd w:val="clear" w:color="auto" w:fill="auto"/>
            <w:noWrap/>
            <w:vAlign w:val="center"/>
          </w:tcPr>
          <w:p w14:paraId="56CA56BC"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0.461</w:t>
            </w:r>
          </w:p>
        </w:tc>
      </w:tr>
      <w:tr w:rsidR="00D56C02" w14:paraId="28736284" w14:textId="77777777">
        <w:trPr>
          <w:trHeight w:val="315"/>
          <w:jc w:val="center"/>
        </w:trPr>
        <w:tc>
          <w:tcPr>
            <w:tcW w:w="2977" w:type="dxa"/>
            <w:tcBorders>
              <w:top w:val="nil"/>
              <w:left w:val="nil"/>
              <w:bottom w:val="nil"/>
              <w:right w:val="nil"/>
            </w:tcBorders>
            <w:shd w:val="clear" w:color="auto" w:fill="auto"/>
            <w:noWrap/>
          </w:tcPr>
          <w:p w14:paraId="42F624D5"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Biomass</w:t>
            </w:r>
          </w:p>
        </w:tc>
        <w:tc>
          <w:tcPr>
            <w:tcW w:w="2552" w:type="dxa"/>
            <w:tcBorders>
              <w:top w:val="nil"/>
              <w:left w:val="nil"/>
              <w:bottom w:val="nil"/>
              <w:right w:val="nil"/>
            </w:tcBorders>
            <w:shd w:val="clear" w:color="auto" w:fill="auto"/>
            <w:noWrap/>
            <w:vAlign w:val="center"/>
          </w:tcPr>
          <w:p w14:paraId="77EFD0AC" w14:textId="77777777" w:rsidR="00D56C02" w:rsidRDefault="00000000">
            <w:pPr>
              <w:widowControl/>
              <w:spacing w:line="480" w:lineRule="auto"/>
              <w:jc w:val="left"/>
              <w:rPr>
                <w:rFonts w:ascii="Arial" w:hAnsi="Arial" w:cs="Arial"/>
                <w:kern w:val="0"/>
                <w:sz w:val="14"/>
                <w:szCs w:val="14"/>
              </w:rPr>
            </w:pPr>
            <w:r>
              <w:rPr>
                <w:rFonts w:ascii="Arial" w:hAnsi="Arial" w:cs="Arial"/>
                <w:sz w:val="14"/>
                <w:szCs w:val="14"/>
              </w:rPr>
              <w:t>Simpson</w:t>
            </w:r>
          </w:p>
        </w:tc>
        <w:tc>
          <w:tcPr>
            <w:tcW w:w="1416" w:type="dxa"/>
            <w:tcBorders>
              <w:top w:val="nil"/>
              <w:left w:val="nil"/>
              <w:bottom w:val="nil"/>
              <w:right w:val="nil"/>
            </w:tcBorders>
            <w:shd w:val="clear" w:color="auto" w:fill="auto"/>
            <w:noWrap/>
            <w:vAlign w:val="center"/>
          </w:tcPr>
          <w:p w14:paraId="462559C2"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7.593</w:t>
            </w:r>
          </w:p>
        </w:tc>
        <w:tc>
          <w:tcPr>
            <w:tcW w:w="1223" w:type="dxa"/>
            <w:tcBorders>
              <w:top w:val="nil"/>
              <w:left w:val="nil"/>
              <w:bottom w:val="nil"/>
              <w:right w:val="nil"/>
            </w:tcBorders>
            <w:shd w:val="clear" w:color="auto" w:fill="auto"/>
            <w:noWrap/>
            <w:vAlign w:val="center"/>
          </w:tcPr>
          <w:p w14:paraId="21F14A4F"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5.203</w:t>
            </w:r>
          </w:p>
        </w:tc>
        <w:tc>
          <w:tcPr>
            <w:tcW w:w="893" w:type="dxa"/>
            <w:tcBorders>
              <w:top w:val="nil"/>
              <w:left w:val="nil"/>
              <w:bottom w:val="nil"/>
              <w:right w:val="nil"/>
            </w:tcBorders>
            <w:shd w:val="clear" w:color="auto" w:fill="auto"/>
            <w:noWrap/>
          </w:tcPr>
          <w:p w14:paraId="40BC8294"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0.145</w:t>
            </w:r>
          </w:p>
        </w:tc>
        <w:tc>
          <w:tcPr>
            <w:tcW w:w="1692" w:type="dxa"/>
            <w:tcBorders>
              <w:top w:val="nil"/>
              <w:left w:val="nil"/>
              <w:bottom w:val="nil"/>
              <w:right w:val="nil"/>
            </w:tcBorders>
            <w:shd w:val="clear" w:color="auto" w:fill="auto"/>
            <w:noWrap/>
            <w:vAlign w:val="center"/>
          </w:tcPr>
          <w:p w14:paraId="1AEA455B"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0.064</w:t>
            </w:r>
          </w:p>
        </w:tc>
      </w:tr>
      <w:tr w:rsidR="00D56C02" w14:paraId="66025F88" w14:textId="77777777">
        <w:trPr>
          <w:trHeight w:val="315"/>
          <w:jc w:val="center"/>
        </w:trPr>
        <w:tc>
          <w:tcPr>
            <w:tcW w:w="2977" w:type="dxa"/>
            <w:tcBorders>
              <w:top w:val="nil"/>
              <w:left w:val="nil"/>
              <w:bottom w:val="nil"/>
              <w:right w:val="nil"/>
            </w:tcBorders>
            <w:shd w:val="clear" w:color="auto" w:fill="auto"/>
            <w:noWrap/>
          </w:tcPr>
          <w:p w14:paraId="6D972D1B"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Biomass</w:t>
            </w:r>
          </w:p>
        </w:tc>
        <w:tc>
          <w:tcPr>
            <w:tcW w:w="2552" w:type="dxa"/>
            <w:tcBorders>
              <w:top w:val="nil"/>
              <w:left w:val="nil"/>
              <w:bottom w:val="nil"/>
              <w:right w:val="nil"/>
            </w:tcBorders>
            <w:shd w:val="clear" w:color="auto" w:fill="auto"/>
            <w:noWrap/>
            <w:vAlign w:val="center"/>
          </w:tcPr>
          <w:p w14:paraId="5BAA45C4" w14:textId="77777777" w:rsidR="00D56C02" w:rsidRDefault="00000000">
            <w:pPr>
              <w:widowControl/>
              <w:spacing w:line="480" w:lineRule="auto"/>
              <w:jc w:val="left"/>
              <w:rPr>
                <w:rStyle w:val="None"/>
                <w:rFonts w:ascii="Arial" w:hAnsi="Arial" w:cs="Arial"/>
                <w:kern w:val="0"/>
                <w:sz w:val="14"/>
                <w:szCs w:val="14"/>
              </w:rPr>
            </w:pPr>
            <w:r>
              <w:rPr>
                <w:rFonts w:ascii="Arial" w:hAnsi="Arial" w:cs="Arial"/>
                <w:sz w:val="14"/>
                <w:szCs w:val="14"/>
              </w:rPr>
              <w:t>S</w:t>
            </w:r>
            <w:r>
              <w:rPr>
                <w:rStyle w:val="None"/>
                <w:rFonts w:ascii="Arial" w:hAnsi="Arial" w:cs="Arial"/>
                <w:kern w:val="0"/>
                <w:sz w:val="14"/>
                <w:szCs w:val="14"/>
              </w:rPr>
              <w:t>oil PC1</w:t>
            </w:r>
          </w:p>
        </w:tc>
        <w:tc>
          <w:tcPr>
            <w:tcW w:w="1416" w:type="dxa"/>
            <w:tcBorders>
              <w:top w:val="nil"/>
              <w:left w:val="nil"/>
              <w:bottom w:val="nil"/>
              <w:right w:val="nil"/>
            </w:tcBorders>
            <w:shd w:val="clear" w:color="auto" w:fill="auto"/>
            <w:noWrap/>
            <w:vAlign w:val="center"/>
          </w:tcPr>
          <w:p w14:paraId="2E434BD8"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-20.782</w:t>
            </w:r>
          </w:p>
        </w:tc>
        <w:tc>
          <w:tcPr>
            <w:tcW w:w="1223" w:type="dxa"/>
            <w:tcBorders>
              <w:top w:val="nil"/>
              <w:left w:val="nil"/>
              <w:bottom w:val="nil"/>
              <w:right w:val="nil"/>
            </w:tcBorders>
            <w:shd w:val="clear" w:color="auto" w:fill="auto"/>
            <w:noWrap/>
            <w:vAlign w:val="center"/>
          </w:tcPr>
          <w:p w14:paraId="66C15690"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7.783</w:t>
            </w:r>
          </w:p>
        </w:tc>
        <w:tc>
          <w:tcPr>
            <w:tcW w:w="893" w:type="dxa"/>
            <w:tcBorders>
              <w:top w:val="nil"/>
              <w:left w:val="nil"/>
              <w:bottom w:val="nil"/>
              <w:right w:val="nil"/>
            </w:tcBorders>
            <w:shd w:val="clear" w:color="auto" w:fill="auto"/>
            <w:noWrap/>
            <w:vAlign w:val="center"/>
          </w:tcPr>
          <w:p w14:paraId="2222BBE3"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0.008</w:t>
            </w:r>
          </w:p>
        </w:tc>
        <w:tc>
          <w:tcPr>
            <w:tcW w:w="1692" w:type="dxa"/>
            <w:tcBorders>
              <w:top w:val="nil"/>
              <w:left w:val="nil"/>
              <w:bottom w:val="nil"/>
              <w:right w:val="nil"/>
            </w:tcBorders>
            <w:shd w:val="clear" w:color="auto" w:fill="auto"/>
            <w:noWrap/>
            <w:vAlign w:val="center"/>
          </w:tcPr>
          <w:p w14:paraId="298ECAAF"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-0.200</w:t>
            </w:r>
          </w:p>
        </w:tc>
      </w:tr>
      <w:tr w:rsidR="00D56C02" w14:paraId="0B7E478F" w14:textId="77777777">
        <w:trPr>
          <w:trHeight w:val="315"/>
          <w:jc w:val="center"/>
        </w:trPr>
        <w:tc>
          <w:tcPr>
            <w:tcW w:w="2977" w:type="dxa"/>
            <w:tcBorders>
              <w:top w:val="nil"/>
              <w:left w:val="nil"/>
              <w:bottom w:val="nil"/>
              <w:right w:val="nil"/>
            </w:tcBorders>
            <w:shd w:val="clear" w:color="auto" w:fill="auto"/>
            <w:noWrap/>
          </w:tcPr>
          <w:p w14:paraId="0417DAF2" w14:textId="77777777" w:rsidR="00D56C02" w:rsidRDefault="00000000">
            <w:pPr>
              <w:widowControl/>
              <w:spacing w:line="480" w:lineRule="auto"/>
              <w:jc w:val="left"/>
              <w:rPr>
                <w:rFonts w:ascii="Arial" w:hAnsi="Arial" w:cs="Arial"/>
                <w:kern w:val="0"/>
                <w:sz w:val="14"/>
                <w:szCs w:val="14"/>
              </w:rPr>
            </w:pPr>
            <w:r>
              <w:rPr>
                <w:rFonts w:ascii="Arial" w:hAnsi="Arial" w:cs="Arial"/>
                <w:sz w:val="14"/>
                <w:szCs w:val="14"/>
              </w:rPr>
              <w:t>Simpson</w:t>
            </w:r>
          </w:p>
        </w:tc>
        <w:tc>
          <w:tcPr>
            <w:tcW w:w="2552" w:type="dxa"/>
            <w:tcBorders>
              <w:top w:val="nil"/>
              <w:left w:val="nil"/>
              <w:bottom w:val="nil"/>
              <w:right w:val="nil"/>
            </w:tcBorders>
            <w:shd w:val="clear" w:color="auto" w:fill="auto"/>
            <w:noWrap/>
            <w:vAlign w:val="center"/>
          </w:tcPr>
          <w:p w14:paraId="22373707"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MAT</w:t>
            </w:r>
          </w:p>
        </w:tc>
        <w:tc>
          <w:tcPr>
            <w:tcW w:w="1416" w:type="dxa"/>
            <w:tcBorders>
              <w:top w:val="nil"/>
              <w:left w:val="nil"/>
              <w:bottom w:val="nil"/>
              <w:right w:val="nil"/>
            </w:tcBorders>
            <w:shd w:val="clear" w:color="auto" w:fill="auto"/>
            <w:noWrap/>
            <w:vAlign w:val="center"/>
          </w:tcPr>
          <w:p w14:paraId="3B46DB77"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-0.0152</w:t>
            </w:r>
          </w:p>
        </w:tc>
        <w:tc>
          <w:tcPr>
            <w:tcW w:w="1223" w:type="dxa"/>
            <w:tcBorders>
              <w:top w:val="nil"/>
              <w:left w:val="nil"/>
              <w:bottom w:val="nil"/>
              <w:right w:val="nil"/>
            </w:tcBorders>
            <w:shd w:val="clear" w:color="auto" w:fill="auto"/>
            <w:noWrap/>
            <w:vAlign w:val="center"/>
          </w:tcPr>
          <w:p w14:paraId="285E287E"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0.006</w:t>
            </w:r>
          </w:p>
        </w:tc>
        <w:tc>
          <w:tcPr>
            <w:tcW w:w="893" w:type="dxa"/>
            <w:tcBorders>
              <w:top w:val="nil"/>
              <w:left w:val="nil"/>
              <w:bottom w:val="nil"/>
              <w:right w:val="nil"/>
            </w:tcBorders>
            <w:shd w:val="clear" w:color="auto" w:fill="auto"/>
            <w:noWrap/>
            <w:vAlign w:val="center"/>
          </w:tcPr>
          <w:p w14:paraId="3F442F75"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0.017</w:t>
            </w:r>
          </w:p>
        </w:tc>
        <w:tc>
          <w:tcPr>
            <w:tcW w:w="1692" w:type="dxa"/>
            <w:tcBorders>
              <w:top w:val="nil"/>
              <w:left w:val="nil"/>
              <w:bottom w:val="nil"/>
              <w:right w:val="nil"/>
            </w:tcBorders>
            <w:shd w:val="clear" w:color="auto" w:fill="auto"/>
            <w:noWrap/>
            <w:vAlign w:val="center"/>
          </w:tcPr>
          <w:p w14:paraId="35DD727F"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-0.197</w:t>
            </w:r>
          </w:p>
        </w:tc>
      </w:tr>
      <w:tr w:rsidR="00D56C02" w14:paraId="7F21B472" w14:textId="77777777">
        <w:trPr>
          <w:trHeight w:val="315"/>
          <w:jc w:val="center"/>
        </w:trPr>
        <w:tc>
          <w:tcPr>
            <w:tcW w:w="2977" w:type="dxa"/>
            <w:tcBorders>
              <w:top w:val="nil"/>
              <w:left w:val="nil"/>
              <w:bottom w:val="nil"/>
              <w:right w:val="nil"/>
            </w:tcBorders>
            <w:shd w:val="clear" w:color="auto" w:fill="auto"/>
            <w:noWrap/>
          </w:tcPr>
          <w:p w14:paraId="068BEF20" w14:textId="77777777" w:rsidR="00D56C02" w:rsidRDefault="00000000">
            <w:pPr>
              <w:widowControl/>
              <w:spacing w:line="480" w:lineRule="auto"/>
              <w:jc w:val="left"/>
              <w:rPr>
                <w:rFonts w:ascii="Arial" w:hAnsi="Arial" w:cs="Arial"/>
                <w:kern w:val="0"/>
                <w:sz w:val="14"/>
                <w:szCs w:val="14"/>
              </w:rPr>
            </w:pPr>
            <w:r>
              <w:rPr>
                <w:rFonts w:ascii="Arial" w:hAnsi="Arial" w:cs="Arial"/>
                <w:sz w:val="14"/>
                <w:szCs w:val="14"/>
              </w:rPr>
              <w:t>Simpson</w:t>
            </w:r>
          </w:p>
        </w:tc>
        <w:tc>
          <w:tcPr>
            <w:tcW w:w="2552" w:type="dxa"/>
            <w:tcBorders>
              <w:top w:val="nil"/>
              <w:left w:val="nil"/>
              <w:bottom w:val="nil"/>
              <w:right w:val="nil"/>
            </w:tcBorders>
            <w:shd w:val="clear" w:color="auto" w:fill="auto"/>
            <w:noWrap/>
            <w:vAlign w:val="center"/>
          </w:tcPr>
          <w:p w14:paraId="41615E9D"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MAP</w:t>
            </w:r>
          </w:p>
        </w:tc>
        <w:tc>
          <w:tcPr>
            <w:tcW w:w="1416" w:type="dxa"/>
            <w:tcBorders>
              <w:top w:val="nil"/>
              <w:left w:val="nil"/>
              <w:bottom w:val="nil"/>
              <w:right w:val="nil"/>
            </w:tcBorders>
            <w:shd w:val="clear" w:color="auto" w:fill="auto"/>
            <w:noWrap/>
            <w:vAlign w:val="center"/>
          </w:tcPr>
          <w:p w14:paraId="4F778B85"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&lt;0.001</w:t>
            </w:r>
          </w:p>
        </w:tc>
        <w:tc>
          <w:tcPr>
            <w:tcW w:w="1223" w:type="dxa"/>
            <w:tcBorders>
              <w:top w:val="nil"/>
              <w:left w:val="nil"/>
              <w:bottom w:val="nil"/>
              <w:right w:val="nil"/>
            </w:tcBorders>
            <w:shd w:val="clear" w:color="auto" w:fill="auto"/>
            <w:noWrap/>
            <w:vAlign w:val="center"/>
          </w:tcPr>
          <w:p w14:paraId="38304908"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&lt;0.001</w:t>
            </w:r>
          </w:p>
        </w:tc>
        <w:tc>
          <w:tcPr>
            <w:tcW w:w="893" w:type="dxa"/>
            <w:tcBorders>
              <w:top w:val="nil"/>
              <w:left w:val="nil"/>
              <w:bottom w:val="nil"/>
              <w:right w:val="nil"/>
            </w:tcBorders>
            <w:shd w:val="clear" w:color="auto" w:fill="auto"/>
            <w:noWrap/>
            <w:vAlign w:val="center"/>
          </w:tcPr>
          <w:p w14:paraId="2F6E77F9" w14:textId="77777777" w:rsidR="00D56C02" w:rsidRDefault="00000000">
            <w:pPr>
              <w:widowControl/>
              <w:spacing w:line="480" w:lineRule="auto"/>
              <w:jc w:val="center"/>
              <w:rPr>
                <w:rFonts w:ascii="Arial" w:hAnsi="Arial" w:cs="Arial"/>
                <w:bCs/>
                <w:kern w:val="0"/>
                <w:sz w:val="14"/>
                <w:szCs w:val="14"/>
              </w:rPr>
            </w:pPr>
            <w:r>
              <w:rPr>
                <w:rFonts w:ascii="Arial" w:hAnsi="Arial" w:cs="Arial"/>
                <w:b/>
                <w:bCs/>
                <w:kern w:val="0"/>
                <w:sz w:val="14"/>
                <w:szCs w:val="14"/>
              </w:rPr>
              <w:t>&lt;0.001</w:t>
            </w:r>
          </w:p>
        </w:tc>
        <w:tc>
          <w:tcPr>
            <w:tcW w:w="1692" w:type="dxa"/>
            <w:tcBorders>
              <w:top w:val="nil"/>
              <w:left w:val="nil"/>
              <w:bottom w:val="nil"/>
              <w:right w:val="nil"/>
            </w:tcBorders>
            <w:shd w:val="clear" w:color="auto" w:fill="auto"/>
            <w:noWrap/>
            <w:vAlign w:val="center"/>
          </w:tcPr>
          <w:p w14:paraId="3BFD4A8C"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0.380</w:t>
            </w:r>
          </w:p>
        </w:tc>
      </w:tr>
      <w:tr w:rsidR="00D56C02" w14:paraId="6E57C3E0" w14:textId="77777777">
        <w:trPr>
          <w:trHeight w:val="315"/>
          <w:jc w:val="center"/>
        </w:trPr>
        <w:tc>
          <w:tcPr>
            <w:tcW w:w="2977" w:type="dxa"/>
            <w:tcBorders>
              <w:top w:val="nil"/>
              <w:left w:val="nil"/>
              <w:bottom w:val="nil"/>
              <w:right w:val="nil"/>
            </w:tcBorders>
            <w:shd w:val="clear" w:color="auto" w:fill="auto"/>
            <w:noWrap/>
            <w:vAlign w:val="center"/>
          </w:tcPr>
          <w:p w14:paraId="4B148694" w14:textId="77777777" w:rsidR="00D56C02" w:rsidRDefault="00000000">
            <w:pPr>
              <w:widowControl/>
              <w:spacing w:line="480" w:lineRule="auto"/>
              <w:jc w:val="left"/>
              <w:rPr>
                <w:rFonts w:ascii="Arial" w:hAnsi="Arial" w:cs="Arial"/>
                <w:kern w:val="0"/>
                <w:sz w:val="14"/>
                <w:szCs w:val="14"/>
              </w:rPr>
            </w:pPr>
            <w:r>
              <w:rPr>
                <w:rStyle w:val="None"/>
                <w:rFonts w:ascii="Arial" w:hAnsi="Arial" w:cs="Arial"/>
                <w:sz w:val="14"/>
                <w:szCs w:val="14"/>
              </w:rPr>
              <w:t>S</w:t>
            </w:r>
            <w:r>
              <w:rPr>
                <w:rStyle w:val="None"/>
                <w:rFonts w:ascii="Arial" w:hAnsi="Arial" w:cs="Arial"/>
                <w:kern w:val="0"/>
                <w:sz w:val="14"/>
                <w:szCs w:val="14"/>
              </w:rPr>
              <w:t>oil PC1</w:t>
            </w:r>
          </w:p>
        </w:tc>
        <w:tc>
          <w:tcPr>
            <w:tcW w:w="2552" w:type="dxa"/>
            <w:tcBorders>
              <w:top w:val="nil"/>
              <w:left w:val="nil"/>
              <w:bottom w:val="nil"/>
              <w:right w:val="nil"/>
            </w:tcBorders>
            <w:shd w:val="clear" w:color="auto" w:fill="auto"/>
            <w:noWrap/>
            <w:vAlign w:val="center"/>
          </w:tcPr>
          <w:p w14:paraId="6D7BBDB2"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MAT</w:t>
            </w:r>
          </w:p>
        </w:tc>
        <w:tc>
          <w:tcPr>
            <w:tcW w:w="1416" w:type="dxa"/>
            <w:tcBorders>
              <w:top w:val="nil"/>
              <w:left w:val="nil"/>
              <w:bottom w:val="nil"/>
              <w:right w:val="nil"/>
            </w:tcBorders>
            <w:shd w:val="clear" w:color="auto" w:fill="auto"/>
            <w:noWrap/>
            <w:vAlign w:val="center"/>
          </w:tcPr>
          <w:p w14:paraId="3F293F03"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0.004</w:t>
            </w:r>
          </w:p>
        </w:tc>
        <w:tc>
          <w:tcPr>
            <w:tcW w:w="1223" w:type="dxa"/>
            <w:tcBorders>
              <w:top w:val="nil"/>
              <w:left w:val="nil"/>
              <w:bottom w:val="nil"/>
              <w:right w:val="nil"/>
            </w:tcBorders>
            <w:shd w:val="clear" w:color="auto" w:fill="auto"/>
            <w:noWrap/>
            <w:vAlign w:val="center"/>
          </w:tcPr>
          <w:p w14:paraId="2C633EEB"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0.008</w:t>
            </w:r>
          </w:p>
        </w:tc>
        <w:tc>
          <w:tcPr>
            <w:tcW w:w="893" w:type="dxa"/>
            <w:tcBorders>
              <w:top w:val="nil"/>
              <w:left w:val="nil"/>
              <w:bottom w:val="nil"/>
              <w:right w:val="nil"/>
            </w:tcBorders>
            <w:shd w:val="clear" w:color="auto" w:fill="auto"/>
            <w:noWrap/>
            <w:vAlign w:val="center"/>
          </w:tcPr>
          <w:p w14:paraId="76717544" w14:textId="77777777" w:rsidR="00D56C02" w:rsidRDefault="00000000">
            <w:pPr>
              <w:widowControl/>
              <w:spacing w:line="480" w:lineRule="auto"/>
              <w:jc w:val="center"/>
              <w:rPr>
                <w:rFonts w:ascii="Arial" w:hAnsi="Arial" w:cs="Arial"/>
                <w:bCs/>
                <w:kern w:val="0"/>
                <w:sz w:val="14"/>
                <w:szCs w:val="14"/>
              </w:rPr>
            </w:pPr>
            <w:r>
              <w:rPr>
                <w:rFonts w:ascii="Arial" w:hAnsi="Arial" w:cs="Arial"/>
                <w:bCs/>
                <w:kern w:val="0"/>
                <w:sz w:val="14"/>
                <w:szCs w:val="14"/>
              </w:rPr>
              <w:t>0.616</w:t>
            </w:r>
          </w:p>
        </w:tc>
        <w:tc>
          <w:tcPr>
            <w:tcW w:w="1692" w:type="dxa"/>
            <w:tcBorders>
              <w:top w:val="nil"/>
              <w:left w:val="nil"/>
              <w:bottom w:val="nil"/>
              <w:right w:val="nil"/>
            </w:tcBorders>
            <w:shd w:val="clear" w:color="auto" w:fill="auto"/>
            <w:noWrap/>
            <w:vAlign w:val="center"/>
          </w:tcPr>
          <w:p w14:paraId="79AC9EDF"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0.051</w:t>
            </w:r>
          </w:p>
        </w:tc>
      </w:tr>
      <w:tr w:rsidR="00D56C02" w14:paraId="7DC916AA" w14:textId="77777777">
        <w:trPr>
          <w:trHeight w:val="315"/>
          <w:jc w:val="center"/>
        </w:trPr>
        <w:tc>
          <w:tcPr>
            <w:tcW w:w="2977" w:type="dxa"/>
            <w:tcBorders>
              <w:top w:val="nil"/>
              <w:left w:val="nil"/>
              <w:bottom w:val="single" w:sz="12" w:space="0" w:color="000000"/>
              <w:right w:val="nil"/>
            </w:tcBorders>
            <w:shd w:val="clear" w:color="auto" w:fill="auto"/>
            <w:noWrap/>
            <w:vAlign w:val="center"/>
          </w:tcPr>
          <w:p w14:paraId="380253C0" w14:textId="77777777" w:rsidR="00D56C02" w:rsidRDefault="00000000">
            <w:pPr>
              <w:widowControl/>
              <w:spacing w:line="480" w:lineRule="auto"/>
              <w:jc w:val="left"/>
              <w:rPr>
                <w:rFonts w:ascii="Arial" w:hAnsi="Arial" w:cs="Arial"/>
                <w:kern w:val="0"/>
                <w:sz w:val="14"/>
                <w:szCs w:val="14"/>
              </w:rPr>
            </w:pPr>
            <w:r>
              <w:rPr>
                <w:rFonts w:ascii="Arial" w:hAnsi="Arial" w:cs="Arial"/>
                <w:sz w:val="14"/>
                <w:szCs w:val="14"/>
              </w:rPr>
              <w:t>S</w:t>
            </w:r>
            <w:r>
              <w:rPr>
                <w:rStyle w:val="None"/>
                <w:rFonts w:ascii="Arial" w:hAnsi="Arial" w:cs="Arial"/>
                <w:kern w:val="0"/>
                <w:sz w:val="14"/>
                <w:szCs w:val="14"/>
              </w:rPr>
              <w:t>oil PC1</w:t>
            </w:r>
          </w:p>
        </w:tc>
        <w:tc>
          <w:tcPr>
            <w:tcW w:w="2552" w:type="dxa"/>
            <w:tcBorders>
              <w:top w:val="nil"/>
              <w:left w:val="nil"/>
              <w:bottom w:val="single" w:sz="12" w:space="0" w:color="000000"/>
              <w:right w:val="nil"/>
            </w:tcBorders>
            <w:shd w:val="clear" w:color="auto" w:fill="auto"/>
            <w:noWrap/>
            <w:vAlign w:val="center"/>
          </w:tcPr>
          <w:p w14:paraId="4C53AB77"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MAP</w:t>
            </w:r>
          </w:p>
        </w:tc>
        <w:tc>
          <w:tcPr>
            <w:tcW w:w="1416" w:type="dxa"/>
            <w:tcBorders>
              <w:top w:val="nil"/>
              <w:left w:val="nil"/>
              <w:bottom w:val="single" w:sz="12" w:space="0" w:color="000000"/>
              <w:right w:val="nil"/>
            </w:tcBorders>
            <w:shd w:val="clear" w:color="auto" w:fill="auto"/>
            <w:noWrap/>
            <w:vAlign w:val="center"/>
          </w:tcPr>
          <w:p w14:paraId="40E5CF58"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&lt;0.001</w:t>
            </w:r>
          </w:p>
        </w:tc>
        <w:tc>
          <w:tcPr>
            <w:tcW w:w="1223" w:type="dxa"/>
            <w:tcBorders>
              <w:top w:val="nil"/>
              <w:left w:val="nil"/>
              <w:bottom w:val="single" w:sz="12" w:space="0" w:color="000000"/>
              <w:right w:val="nil"/>
            </w:tcBorders>
            <w:shd w:val="clear" w:color="auto" w:fill="auto"/>
            <w:noWrap/>
            <w:vAlign w:val="center"/>
          </w:tcPr>
          <w:p w14:paraId="4B503803"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&lt;0.001</w:t>
            </w:r>
          </w:p>
        </w:tc>
        <w:tc>
          <w:tcPr>
            <w:tcW w:w="893" w:type="dxa"/>
            <w:tcBorders>
              <w:top w:val="nil"/>
              <w:left w:val="nil"/>
              <w:bottom w:val="single" w:sz="12" w:space="0" w:color="000000"/>
              <w:right w:val="nil"/>
            </w:tcBorders>
            <w:shd w:val="clear" w:color="auto" w:fill="auto"/>
            <w:noWrap/>
            <w:vAlign w:val="center"/>
          </w:tcPr>
          <w:p w14:paraId="5F81AB25" w14:textId="77777777" w:rsidR="00D56C02" w:rsidRDefault="00000000">
            <w:pPr>
              <w:widowControl/>
              <w:spacing w:line="480" w:lineRule="auto"/>
              <w:jc w:val="center"/>
              <w:rPr>
                <w:rFonts w:ascii="Arial" w:hAnsi="Arial" w:cs="Arial"/>
                <w:b/>
                <w:kern w:val="0"/>
                <w:sz w:val="14"/>
                <w:szCs w:val="14"/>
              </w:rPr>
            </w:pPr>
            <w:r>
              <w:rPr>
                <w:rFonts w:ascii="Arial" w:hAnsi="Arial" w:cs="Arial"/>
                <w:b/>
                <w:bCs/>
                <w:kern w:val="0"/>
                <w:sz w:val="14"/>
                <w:szCs w:val="14"/>
              </w:rPr>
              <w:t>0.001</w:t>
            </w:r>
          </w:p>
        </w:tc>
        <w:tc>
          <w:tcPr>
            <w:tcW w:w="1692" w:type="dxa"/>
            <w:tcBorders>
              <w:top w:val="nil"/>
              <w:left w:val="nil"/>
              <w:bottom w:val="single" w:sz="12" w:space="0" w:color="000000"/>
              <w:right w:val="nil"/>
            </w:tcBorders>
            <w:shd w:val="clear" w:color="auto" w:fill="auto"/>
            <w:noWrap/>
            <w:vAlign w:val="center"/>
          </w:tcPr>
          <w:p w14:paraId="0C8FA567"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0.388</w:t>
            </w:r>
          </w:p>
        </w:tc>
      </w:tr>
    </w:tbl>
    <w:p w14:paraId="4D6D8AB4" w14:textId="77777777" w:rsidR="00D56C02" w:rsidRDefault="00000000">
      <w:pPr>
        <w:widowControl/>
        <w:spacing w:line="480" w:lineRule="auto"/>
        <w:jc w:val="left"/>
        <w:outlineLvl w:val="1"/>
        <w:rPr>
          <w:rStyle w:val="None"/>
          <w:rFonts w:cs="Times New Roman"/>
          <w:kern w:val="0"/>
          <w:szCs w:val="24"/>
        </w:rPr>
        <w:sectPr w:rsidR="00D56C02" w:rsidSect="00AE5B83">
          <w:pgSz w:w="11906" w:h="16838"/>
          <w:pgMar w:top="1440" w:right="1134" w:bottom="1440" w:left="1134" w:header="851" w:footer="992" w:gutter="0"/>
          <w:lnNumType w:countBy="1" w:restart="continuous"/>
          <w:cols w:space="425"/>
          <w:docGrid w:linePitch="326"/>
        </w:sectPr>
      </w:pPr>
      <w:r>
        <w:rPr>
          <w:rStyle w:val="None"/>
          <w:rFonts w:cs="Times New Roman"/>
          <w:kern w:val="0"/>
          <w:szCs w:val="24"/>
        </w:rPr>
        <w:br w:type="page"/>
      </w:r>
    </w:p>
    <w:p w14:paraId="7E6EFE71" w14:textId="77777777" w:rsidR="00D56C02" w:rsidRDefault="00000000">
      <w:pPr>
        <w:widowControl/>
        <w:spacing w:line="480" w:lineRule="auto"/>
        <w:jc w:val="left"/>
        <w:outlineLvl w:val="1"/>
        <w:rPr>
          <w:rStyle w:val="None"/>
          <w:rFonts w:cs="Times New Roman"/>
          <w:szCs w:val="24"/>
        </w:rPr>
      </w:pPr>
      <w:r>
        <w:rPr>
          <w:rFonts w:cs="Times New Roman"/>
          <w:b/>
          <w:bCs/>
          <w:color w:val="000000"/>
          <w:szCs w:val="24"/>
        </w:rPr>
        <w:lastRenderedPageBreak/>
        <w:t>Supplementary</w:t>
      </w:r>
      <w:r>
        <w:rPr>
          <w:rStyle w:val="None"/>
          <w:rFonts w:cs="Times New Roman"/>
          <w:b/>
          <w:kern w:val="0"/>
          <w:szCs w:val="24"/>
        </w:rPr>
        <w:t xml:space="preserve"> Table 5</w:t>
      </w:r>
      <w:r>
        <w:rPr>
          <w:rFonts w:cs="Times New Roman"/>
          <w:b/>
          <w:bCs/>
          <w:szCs w:val="24"/>
        </w:rPr>
        <w:t xml:space="preserve"> |</w:t>
      </w:r>
      <w:r>
        <w:rPr>
          <w:rFonts w:cs="Times New Roman"/>
          <w:szCs w:val="24"/>
        </w:rPr>
        <w:t xml:space="preserve"> </w:t>
      </w:r>
      <w:r>
        <w:rPr>
          <w:rFonts w:cs="Times New Roman"/>
          <w:b/>
          <w:bCs/>
          <w:szCs w:val="24"/>
        </w:rPr>
        <w:t xml:space="preserve">The effects of </w:t>
      </w:r>
      <w:r>
        <w:rPr>
          <w:rFonts w:cs="Times New Roman"/>
          <w:szCs w:val="24"/>
        </w:rPr>
        <w:t xml:space="preserve">mean annual temperature (MAT), mean annual precipitation (MAP), </w:t>
      </w:r>
      <w:r>
        <w:rPr>
          <w:rFonts w:cs="Times New Roman"/>
          <w:kern w:val="0"/>
          <w:szCs w:val="24"/>
        </w:rPr>
        <w:t>grassland</w:t>
      </w:r>
      <w:r>
        <w:rPr>
          <w:rStyle w:val="None"/>
          <w:rFonts w:cs="Times New Roman"/>
          <w:szCs w:val="24"/>
        </w:rPr>
        <w:t xml:space="preserve"> patches’ plots</w:t>
      </w:r>
      <w:r>
        <w:rPr>
          <w:rFonts w:cs="Times New Roman"/>
          <w:szCs w:val="24"/>
        </w:rPr>
        <w:t xml:space="preserve"> herbaceous plant community aboveground biomass (</w:t>
      </w:r>
      <w:r>
        <w:rPr>
          <w:rFonts w:cs="Times New Roman"/>
          <w:i/>
          <w:iCs/>
          <w:kern w:val="0"/>
          <w:szCs w:val="24"/>
        </w:rPr>
        <w:t>B</w:t>
      </w:r>
      <w:r>
        <w:rPr>
          <w:rFonts w:cs="Times New Roman"/>
          <w:i/>
          <w:iCs/>
          <w:szCs w:val="24"/>
        </w:rPr>
        <w:t>iomass</w:t>
      </w:r>
      <w:r>
        <w:rPr>
          <w:rFonts w:cs="Times New Roman"/>
          <w:szCs w:val="24"/>
        </w:rPr>
        <w:t xml:space="preserve">), </w:t>
      </w:r>
      <w:r>
        <w:rPr>
          <w:rStyle w:val="None"/>
          <w:rFonts w:cs="Times New Roman"/>
          <w:kern w:val="0"/>
          <w:szCs w:val="24"/>
        </w:rPr>
        <w:t>Simpson diversity index (</w:t>
      </w:r>
      <w:r>
        <w:rPr>
          <w:rFonts w:cs="Times New Roman"/>
          <w:i/>
          <w:iCs/>
          <w:kern w:val="0"/>
          <w:szCs w:val="24"/>
        </w:rPr>
        <w:t>Simpson</w:t>
      </w:r>
      <w:r>
        <w:rPr>
          <w:rStyle w:val="None"/>
          <w:rFonts w:cs="Times New Roman"/>
          <w:kern w:val="0"/>
          <w:szCs w:val="24"/>
        </w:rPr>
        <w:t xml:space="preserve">) </w:t>
      </w:r>
      <w:r>
        <w:rPr>
          <w:rFonts w:cs="Times New Roman"/>
          <w:szCs w:val="24"/>
        </w:rPr>
        <w:t xml:space="preserve">and </w:t>
      </w:r>
      <w:r>
        <w:rPr>
          <w:rFonts w:eastAsiaTheme="minorEastAsia" w:cs="Times New Roman"/>
          <w:szCs w:val="24"/>
        </w:rPr>
        <w:t xml:space="preserve">the first principal component of </w:t>
      </w:r>
      <w:r>
        <w:rPr>
          <w:rFonts w:cs="Times New Roman"/>
          <w:kern w:val="0"/>
          <w:szCs w:val="24"/>
        </w:rPr>
        <w:t>grassland</w:t>
      </w:r>
      <w:r>
        <w:rPr>
          <w:rStyle w:val="None"/>
          <w:rFonts w:cs="Times New Roman"/>
          <w:szCs w:val="24"/>
        </w:rPr>
        <w:t xml:space="preserve"> patches’ plots</w:t>
      </w:r>
      <w:r>
        <w:rPr>
          <w:rFonts w:eastAsiaTheme="minorEastAsia" w:cs="Times New Roman"/>
          <w:szCs w:val="24"/>
        </w:rPr>
        <w:t xml:space="preserve"> soil variables (</w:t>
      </w:r>
      <w:r>
        <w:rPr>
          <w:rFonts w:cs="Times New Roman"/>
          <w:kern w:val="0"/>
          <w:szCs w:val="24"/>
        </w:rPr>
        <w:t>S</w:t>
      </w:r>
      <w:r>
        <w:rPr>
          <w:rFonts w:eastAsiaTheme="minorEastAsia" w:cs="Times New Roman"/>
          <w:szCs w:val="24"/>
        </w:rPr>
        <w:t xml:space="preserve">oil PC1) </w:t>
      </w:r>
      <w:r>
        <w:rPr>
          <w:rStyle w:val="None"/>
          <w:rFonts w:cs="Times New Roman"/>
          <w:kern w:val="0"/>
          <w:szCs w:val="24"/>
        </w:rPr>
        <w:t xml:space="preserve">on </w:t>
      </w:r>
      <w:r>
        <w:rPr>
          <w:rStyle w:val="None"/>
          <w:rFonts w:cs="Times New Roman"/>
          <w:szCs w:val="24"/>
        </w:rPr>
        <w:t xml:space="preserve">log-transformed response ratio of herbaceous </w:t>
      </w:r>
      <w:r>
        <w:rPr>
          <w:rStyle w:val="None"/>
          <w:rFonts w:cs="Times New Roman"/>
          <w:kern w:val="0"/>
          <w:szCs w:val="24"/>
        </w:rPr>
        <w:t xml:space="preserve">community foliar fungal pathogen load </w:t>
      </w:r>
      <w:r>
        <w:rPr>
          <w:rStyle w:val="None"/>
          <w:rFonts w:cs="Times New Roman"/>
          <w:szCs w:val="24"/>
        </w:rPr>
        <w:t xml:space="preserve">between </w:t>
      </w:r>
      <w:r>
        <w:rPr>
          <w:rStyle w:val="None"/>
          <w:rFonts w:cs="Times New Roman"/>
          <w:kern w:val="0"/>
          <w:szCs w:val="24"/>
        </w:rPr>
        <w:t>shrub patches</w:t>
      </w:r>
      <w:r>
        <w:rPr>
          <w:rStyle w:val="None"/>
          <w:rFonts w:cs="Times New Roman"/>
          <w:szCs w:val="24"/>
        </w:rPr>
        <w:t xml:space="preserve"> and grassland patches’ plots</w:t>
      </w:r>
      <w:r>
        <w:rPr>
          <w:rStyle w:val="None"/>
          <w:rFonts w:cs="Times New Roman"/>
          <w:kern w:val="0"/>
          <w:szCs w:val="24"/>
        </w:rPr>
        <w:t xml:space="preserve"> (i.e., LRR pathogen load)</w:t>
      </w:r>
      <w:r>
        <w:rPr>
          <w:rStyle w:val="None"/>
          <w:rFonts w:cs="Times New Roman"/>
          <w:szCs w:val="24"/>
        </w:rPr>
        <w:t xml:space="preserve"> </w:t>
      </w:r>
      <w:r>
        <w:rPr>
          <w:rFonts w:cs="Times New Roman"/>
          <w:szCs w:val="24"/>
        </w:rPr>
        <w:t>residuals. Shown are the results of linear mixed-effects models with ‘site’ as a random effect; num</w:t>
      </w:r>
      <w:r>
        <w:rPr>
          <w:rFonts w:cs="Times New Roman"/>
          <w:i/>
          <w:szCs w:val="24"/>
        </w:rPr>
        <w:t>DF</w:t>
      </w:r>
      <w:r>
        <w:rPr>
          <w:rFonts w:cs="Times New Roman"/>
          <w:szCs w:val="24"/>
        </w:rPr>
        <w:t xml:space="preserve"> and den</w:t>
      </w:r>
      <w:r>
        <w:rPr>
          <w:rFonts w:cs="Times New Roman"/>
          <w:i/>
          <w:szCs w:val="24"/>
        </w:rPr>
        <w:t>DF</w:t>
      </w:r>
      <w:r>
        <w:rPr>
          <w:rFonts w:cs="Times New Roman"/>
          <w:szCs w:val="24"/>
        </w:rPr>
        <w:t xml:space="preserve"> denote the numerator and denominator degrees of freedom</w:t>
      </w:r>
      <w:r>
        <w:rPr>
          <w:rFonts w:cs="Times New Roman"/>
          <w:kern w:val="0"/>
          <w:szCs w:val="24"/>
        </w:rPr>
        <w:t xml:space="preserve"> and the</w:t>
      </w:r>
      <w:r>
        <w:rPr>
          <w:rStyle w:val="None"/>
          <w:rFonts w:cs="Times New Roman"/>
          <w:kern w:val="0"/>
          <w:szCs w:val="24"/>
        </w:rPr>
        <w:t xml:space="preserve"> levels of significance for corresponding pathways (</w:t>
      </w:r>
      <w:r>
        <w:rPr>
          <w:rStyle w:val="None"/>
          <w:rFonts w:cs="Times New Roman"/>
          <w:i/>
          <w:kern w:val="0"/>
          <w:szCs w:val="24"/>
        </w:rPr>
        <w:t>P</w:t>
      </w:r>
      <w:r>
        <w:rPr>
          <w:rStyle w:val="None"/>
          <w:rFonts w:cs="Times New Roman"/>
          <w:kern w:val="0"/>
          <w:szCs w:val="24"/>
        </w:rPr>
        <w:t xml:space="preserve"> value)</w:t>
      </w:r>
      <w:r>
        <w:rPr>
          <w:rFonts w:cs="Times New Roman"/>
          <w:szCs w:val="24"/>
        </w:rPr>
        <w:t>. Significant results (</w:t>
      </w:r>
      <w:r>
        <w:rPr>
          <w:rFonts w:cs="Times New Roman"/>
          <w:i/>
          <w:szCs w:val="24"/>
        </w:rPr>
        <w:t>P</w:t>
      </w:r>
      <w:r>
        <w:rPr>
          <w:rFonts w:cs="Times New Roman"/>
          <w:szCs w:val="24"/>
        </w:rPr>
        <w:t xml:space="preserve"> &lt; 0.05) are given in bold. Blue shades indicate significant positive effects and orange shades indicate significant negative effects.</w:t>
      </w:r>
    </w:p>
    <w:tbl>
      <w:tblPr>
        <w:tblW w:w="10206" w:type="dxa"/>
        <w:jc w:val="center"/>
        <w:tblLayout w:type="fixed"/>
        <w:tblLook w:val="04A0" w:firstRow="1" w:lastRow="0" w:firstColumn="1" w:lastColumn="0" w:noHBand="0" w:noVBand="1"/>
      </w:tblPr>
      <w:tblGrid>
        <w:gridCol w:w="2881"/>
        <w:gridCol w:w="3017"/>
        <w:gridCol w:w="1375"/>
        <w:gridCol w:w="1101"/>
        <w:gridCol w:w="953"/>
        <w:gridCol w:w="879"/>
      </w:tblGrid>
      <w:tr w:rsidR="00D56C02" w14:paraId="3136DABA" w14:textId="77777777">
        <w:trPr>
          <w:trHeight w:val="345"/>
          <w:jc w:val="center"/>
        </w:trPr>
        <w:tc>
          <w:tcPr>
            <w:tcW w:w="2977" w:type="dxa"/>
            <w:tcBorders>
              <w:top w:val="single" w:sz="12" w:space="0" w:color="000000"/>
              <w:left w:val="nil"/>
              <w:bottom w:val="single" w:sz="12" w:space="0" w:color="000000"/>
              <w:right w:val="nil"/>
            </w:tcBorders>
            <w:shd w:val="clear" w:color="auto" w:fill="auto"/>
            <w:noWrap/>
            <w:vAlign w:val="center"/>
          </w:tcPr>
          <w:p w14:paraId="03243A34"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sz w:val="14"/>
                <w:szCs w:val="14"/>
                <w:shd w:val="clear" w:color="auto" w:fill="FFFFFF"/>
              </w:rPr>
              <w:t>Predictor</w:t>
            </w:r>
          </w:p>
        </w:tc>
        <w:tc>
          <w:tcPr>
            <w:tcW w:w="3119" w:type="dxa"/>
            <w:tcBorders>
              <w:top w:val="single" w:sz="12" w:space="0" w:color="000000"/>
              <w:left w:val="nil"/>
              <w:bottom w:val="single" w:sz="12" w:space="0" w:color="000000"/>
              <w:right w:val="nil"/>
            </w:tcBorders>
            <w:shd w:val="clear" w:color="auto" w:fill="auto"/>
            <w:noWrap/>
            <w:vAlign w:val="center"/>
          </w:tcPr>
          <w:p w14:paraId="1FD987D4"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Response</w:t>
            </w:r>
          </w:p>
        </w:tc>
        <w:tc>
          <w:tcPr>
            <w:tcW w:w="1417" w:type="dxa"/>
            <w:tcBorders>
              <w:top w:val="single" w:sz="12" w:space="0" w:color="000000"/>
              <w:left w:val="nil"/>
              <w:bottom w:val="single" w:sz="12" w:space="0" w:color="000000"/>
              <w:right w:val="nil"/>
            </w:tcBorders>
            <w:shd w:val="clear" w:color="auto" w:fill="auto"/>
            <w:noWrap/>
            <w:vAlign w:val="center"/>
          </w:tcPr>
          <w:p w14:paraId="773C8690"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num</w:t>
            </w:r>
            <w:r>
              <w:rPr>
                <w:rFonts w:ascii="Arial" w:hAnsi="Arial" w:cs="Arial"/>
                <w:b/>
                <w:bCs/>
                <w:i/>
                <w:iCs/>
                <w:kern w:val="0"/>
                <w:sz w:val="14"/>
                <w:szCs w:val="14"/>
              </w:rPr>
              <w:t>DF</w:t>
            </w:r>
          </w:p>
        </w:tc>
        <w:tc>
          <w:tcPr>
            <w:tcW w:w="1133" w:type="dxa"/>
            <w:tcBorders>
              <w:top w:val="single" w:sz="12" w:space="0" w:color="000000"/>
              <w:left w:val="nil"/>
              <w:bottom w:val="single" w:sz="12" w:space="0" w:color="000000"/>
              <w:right w:val="nil"/>
            </w:tcBorders>
            <w:shd w:val="clear" w:color="auto" w:fill="auto"/>
            <w:noWrap/>
            <w:vAlign w:val="center"/>
          </w:tcPr>
          <w:p w14:paraId="68033C25"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den</w:t>
            </w:r>
            <w:r>
              <w:rPr>
                <w:rFonts w:ascii="Arial" w:hAnsi="Arial" w:cs="Arial"/>
                <w:b/>
                <w:bCs/>
                <w:i/>
                <w:iCs/>
                <w:kern w:val="0"/>
                <w:sz w:val="14"/>
                <w:szCs w:val="14"/>
              </w:rPr>
              <w:t>DF</w:t>
            </w:r>
          </w:p>
        </w:tc>
        <w:tc>
          <w:tcPr>
            <w:tcW w:w="979" w:type="dxa"/>
            <w:tcBorders>
              <w:top w:val="single" w:sz="12" w:space="0" w:color="000000"/>
              <w:left w:val="nil"/>
              <w:bottom w:val="single" w:sz="12" w:space="0" w:color="000000"/>
              <w:right w:val="nil"/>
            </w:tcBorders>
            <w:shd w:val="clear" w:color="auto" w:fill="auto"/>
            <w:noWrap/>
            <w:vAlign w:val="center"/>
          </w:tcPr>
          <w:p w14:paraId="5F273EC4" w14:textId="77777777" w:rsidR="00D56C02" w:rsidRDefault="00000000">
            <w:pPr>
              <w:widowControl/>
              <w:spacing w:line="480" w:lineRule="auto"/>
              <w:jc w:val="center"/>
              <w:rPr>
                <w:rFonts w:ascii="Arial" w:hAnsi="Arial" w:cs="Arial"/>
                <w:b/>
                <w:bCs/>
                <w:i/>
                <w:iCs/>
                <w:kern w:val="0"/>
                <w:sz w:val="14"/>
                <w:szCs w:val="14"/>
              </w:rPr>
            </w:pPr>
            <w:r>
              <w:rPr>
                <w:rFonts w:ascii="Arial" w:hAnsi="Arial" w:cs="Arial"/>
                <w:b/>
                <w:bCs/>
                <w:i/>
                <w:iCs/>
                <w:kern w:val="0"/>
                <w:sz w:val="14"/>
                <w:szCs w:val="14"/>
              </w:rPr>
              <w:t>F</w:t>
            </w:r>
          </w:p>
        </w:tc>
        <w:tc>
          <w:tcPr>
            <w:tcW w:w="903" w:type="dxa"/>
            <w:tcBorders>
              <w:top w:val="single" w:sz="12" w:space="0" w:color="000000"/>
              <w:left w:val="nil"/>
              <w:bottom w:val="single" w:sz="12" w:space="0" w:color="000000"/>
              <w:right w:val="nil"/>
            </w:tcBorders>
            <w:shd w:val="clear" w:color="auto" w:fill="auto"/>
            <w:noWrap/>
            <w:vAlign w:val="center"/>
          </w:tcPr>
          <w:p w14:paraId="7F9FD18C" w14:textId="77777777" w:rsidR="00D56C02" w:rsidRDefault="00000000">
            <w:pPr>
              <w:widowControl/>
              <w:spacing w:line="480" w:lineRule="auto"/>
              <w:jc w:val="center"/>
              <w:rPr>
                <w:rFonts w:ascii="Arial" w:hAnsi="Arial" w:cs="Arial"/>
                <w:b/>
                <w:bCs/>
                <w:i/>
                <w:iCs/>
                <w:kern w:val="0"/>
                <w:sz w:val="14"/>
                <w:szCs w:val="14"/>
              </w:rPr>
            </w:pPr>
            <w:r>
              <w:rPr>
                <w:rFonts w:ascii="Arial" w:hAnsi="Arial" w:cs="Arial"/>
                <w:b/>
                <w:bCs/>
                <w:i/>
                <w:iCs/>
                <w:kern w:val="0"/>
                <w:sz w:val="14"/>
                <w:szCs w:val="14"/>
              </w:rPr>
              <w:t>P</w:t>
            </w:r>
          </w:p>
        </w:tc>
      </w:tr>
      <w:tr w:rsidR="00D56C02" w14:paraId="373CAA90" w14:textId="77777777">
        <w:trPr>
          <w:trHeight w:val="330"/>
          <w:jc w:val="center"/>
        </w:trPr>
        <w:tc>
          <w:tcPr>
            <w:tcW w:w="2977" w:type="dxa"/>
            <w:tcBorders>
              <w:top w:val="nil"/>
              <w:left w:val="nil"/>
              <w:bottom w:val="nil"/>
              <w:right w:val="nil"/>
            </w:tcBorders>
            <w:shd w:val="clear" w:color="auto" w:fill="auto"/>
            <w:noWrap/>
            <w:vAlign w:val="center"/>
          </w:tcPr>
          <w:p w14:paraId="2071D695"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lang w:bidi="ar"/>
              </w:rPr>
              <w:t>LRR pathogen load</w:t>
            </w:r>
            <w:r>
              <w:rPr>
                <w:rFonts w:ascii="Arial" w:hAnsi="Arial" w:cs="Arial"/>
                <w:kern w:val="0"/>
                <w:sz w:val="14"/>
                <w:szCs w:val="14"/>
              </w:rPr>
              <w:t xml:space="preserve"> | others</w:t>
            </w:r>
          </w:p>
        </w:tc>
        <w:tc>
          <w:tcPr>
            <w:tcW w:w="3119" w:type="dxa"/>
            <w:tcBorders>
              <w:top w:val="nil"/>
              <w:left w:val="nil"/>
              <w:bottom w:val="nil"/>
              <w:right w:val="nil"/>
            </w:tcBorders>
            <w:shd w:val="clear" w:color="auto" w:fill="auto"/>
            <w:noWrap/>
            <w:vAlign w:val="center"/>
          </w:tcPr>
          <w:p w14:paraId="4A41D0C5"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MAT | others</w:t>
            </w:r>
          </w:p>
        </w:tc>
        <w:tc>
          <w:tcPr>
            <w:tcW w:w="1417" w:type="dxa"/>
            <w:tcBorders>
              <w:top w:val="nil"/>
              <w:left w:val="nil"/>
              <w:bottom w:val="nil"/>
              <w:right w:val="nil"/>
            </w:tcBorders>
            <w:shd w:val="clear" w:color="auto" w:fill="auto"/>
            <w:noWrap/>
            <w:vAlign w:val="center"/>
          </w:tcPr>
          <w:p w14:paraId="59F2E9B6"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1</w:t>
            </w:r>
          </w:p>
        </w:tc>
        <w:tc>
          <w:tcPr>
            <w:tcW w:w="1133" w:type="dxa"/>
            <w:tcBorders>
              <w:top w:val="nil"/>
              <w:left w:val="nil"/>
              <w:bottom w:val="nil"/>
              <w:right w:val="nil"/>
            </w:tcBorders>
            <w:shd w:val="clear" w:color="auto" w:fill="auto"/>
            <w:noWrap/>
            <w:vAlign w:val="center"/>
          </w:tcPr>
          <w:p w14:paraId="56FCC448"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318</w:t>
            </w:r>
          </w:p>
        </w:tc>
        <w:tc>
          <w:tcPr>
            <w:tcW w:w="979" w:type="dxa"/>
            <w:tcBorders>
              <w:top w:val="nil"/>
              <w:left w:val="nil"/>
              <w:bottom w:val="nil"/>
              <w:right w:val="nil"/>
            </w:tcBorders>
            <w:shd w:val="clear" w:color="auto" w:fill="8EAADB" w:themeFill="accent1" w:themeFillTint="99"/>
            <w:noWrap/>
            <w:vAlign w:val="center"/>
          </w:tcPr>
          <w:p w14:paraId="3A02DDD7"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6.885</w:t>
            </w:r>
          </w:p>
        </w:tc>
        <w:tc>
          <w:tcPr>
            <w:tcW w:w="903" w:type="dxa"/>
            <w:tcBorders>
              <w:top w:val="nil"/>
              <w:left w:val="nil"/>
              <w:bottom w:val="nil"/>
              <w:right w:val="nil"/>
            </w:tcBorders>
            <w:shd w:val="clear" w:color="auto" w:fill="8EAADB" w:themeFill="accent1" w:themeFillTint="99"/>
            <w:noWrap/>
            <w:vAlign w:val="center"/>
          </w:tcPr>
          <w:p w14:paraId="1B055939"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0.009</w:t>
            </w:r>
          </w:p>
        </w:tc>
      </w:tr>
      <w:tr w:rsidR="00D56C02" w14:paraId="2CEE8145" w14:textId="77777777">
        <w:trPr>
          <w:trHeight w:val="330"/>
          <w:jc w:val="center"/>
        </w:trPr>
        <w:tc>
          <w:tcPr>
            <w:tcW w:w="2977" w:type="dxa"/>
            <w:tcBorders>
              <w:top w:val="nil"/>
              <w:left w:val="nil"/>
              <w:bottom w:val="nil"/>
              <w:right w:val="nil"/>
            </w:tcBorders>
            <w:shd w:val="clear" w:color="auto" w:fill="auto"/>
            <w:noWrap/>
            <w:vAlign w:val="center"/>
          </w:tcPr>
          <w:p w14:paraId="2D681B66"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lang w:bidi="ar"/>
              </w:rPr>
              <w:t>LRR pathogen load</w:t>
            </w:r>
            <w:r>
              <w:rPr>
                <w:rFonts w:ascii="Arial" w:hAnsi="Arial" w:cs="Arial"/>
                <w:kern w:val="0"/>
                <w:sz w:val="14"/>
                <w:szCs w:val="14"/>
              </w:rPr>
              <w:t xml:space="preserve"> | others</w:t>
            </w:r>
          </w:p>
        </w:tc>
        <w:tc>
          <w:tcPr>
            <w:tcW w:w="3119" w:type="dxa"/>
            <w:tcBorders>
              <w:top w:val="nil"/>
              <w:left w:val="nil"/>
              <w:bottom w:val="nil"/>
              <w:right w:val="nil"/>
            </w:tcBorders>
            <w:shd w:val="clear" w:color="auto" w:fill="auto"/>
            <w:noWrap/>
            <w:vAlign w:val="center"/>
          </w:tcPr>
          <w:p w14:paraId="0DEFDDAB"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MAP | others</w:t>
            </w:r>
          </w:p>
        </w:tc>
        <w:tc>
          <w:tcPr>
            <w:tcW w:w="1417" w:type="dxa"/>
            <w:tcBorders>
              <w:top w:val="nil"/>
              <w:left w:val="nil"/>
              <w:bottom w:val="nil"/>
              <w:right w:val="nil"/>
            </w:tcBorders>
            <w:shd w:val="clear" w:color="auto" w:fill="auto"/>
            <w:noWrap/>
            <w:vAlign w:val="center"/>
          </w:tcPr>
          <w:p w14:paraId="461792C8"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1</w:t>
            </w:r>
          </w:p>
        </w:tc>
        <w:tc>
          <w:tcPr>
            <w:tcW w:w="1133" w:type="dxa"/>
            <w:tcBorders>
              <w:top w:val="nil"/>
              <w:left w:val="nil"/>
              <w:bottom w:val="nil"/>
              <w:right w:val="nil"/>
            </w:tcBorders>
            <w:shd w:val="clear" w:color="auto" w:fill="auto"/>
            <w:noWrap/>
            <w:vAlign w:val="center"/>
          </w:tcPr>
          <w:p w14:paraId="1166DC33"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318</w:t>
            </w:r>
          </w:p>
        </w:tc>
        <w:tc>
          <w:tcPr>
            <w:tcW w:w="979" w:type="dxa"/>
            <w:tcBorders>
              <w:top w:val="nil"/>
              <w:left w:val="nil"/>
              <w:bottom w:val="nil"/>
              <w:right w:val="nil"/>
            </w:tcBorders>
            <w:shd w:val="clear" w:color="auto" w:fill="auto"/>
            <w:noWrap/>
            <w:vAlign w:val="center"/>
          </w:tcPr>
          <w:p w14:paraId="321A4654"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0.001</w:t>
            </w:r>
          </w:p>
        </w:tc>
        <w:tc>
          <w:tcPr>
            <w:tcW w:w="903" w:type="dxa"/>
            <w:tcBorders>
              <w:top w:val="nil"/>
              <w:left w:val="nil"/>
              <w:bottom w:val="nil"/>
              <w:right w:val="nil"/>
            </w:tcBorders>
            <w:shd w:val="clear" w:color="auto" w:fill="auto"/>
            <w:noWrap/>
            <w:vAlign w:val="center"/>
          </w:tcPr>
          <w:p w14:paraId="3508C807"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0.969</w:t>
            </w:r>
          </w:p>
        </w:tc>
      </w:tr>
      <w:tr w:rsidR="00D56C02" w14:paraId="3E07341B" w14:textId="77777777">
        <w:trPr>
          <w:trHeight w:val="330"/>
          <w:jc w:val="center"/>
        </w:trPr>
        <w:tc>
          <w:tcPr>
            <w:tcW w:w="2977" w:type="dxa"/>
            <w:tcBorders>
              <w:top w:val="nil"/>
              <w:left w:val="nil"/>
              <w:bottom w:val="nil"/>
              <w:right w:val="nil"/>
            </w:tcBorders>
            <w:shd w:val="clear" w:color="auto" w:fill="auto"/>
            <w:noWrap/>
            <w:vAlign w:val="center"/>
          </w:tcPr>
          <w:p w14:paraId="54E20DE8"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lang w:bidi="ar"/>
              </w:rPr>
              <w:t>LRR pathogen load</w:t>
            </w:r>
            <w:r>
              <w:rPr>
                <w:rFonts w:ascii="Arial" w:hAnsi="Arial" w:cs="Arial"/>
                <w:kern w:val="0"/>
                <w:sz w:val="14"/>
                <w:szCs w:val="14"/>
              </w:rPr>
              <w:t xml:space="preserve"> | others</w:t>
            </w:r>
          </w:p>
        </w:tc>
        <w:tc>
          <w:tcPr>
            <w:tcW w:w="3119" w:type="dxa"/>
            <w:tcBorders>
              <w:top w:val="nil"/>
              <w:left w:val="nil"/>
              <w:bottom w:val="nil"/>
              <w:right w:val="nil"/>
            </w:tcBorders>
            <w:shd w:val="clear" w:color="auto" w:fill="auto"/>
            <w:noWrap/>
            <w:vAlign w:val="center"/>
          </w:tcPr>
          <w:p w14:paraId="7F3C4EF3"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Biomass | others</w:t>
            </w:r>
          </w:p>
        </w:tc>
        <w:tc>
          <w:tcPr>
            <w:tcW w:w="1417" w:type="dxa"/>
            <w:tcBorders>
              <w:top w:val="nil"/>
              <w:left w:val="nil"/>
              <w:bottom w:val="nil"/>
              <w:right w:val="nil"/>
            </w:tcBorders>
            <w:shd w:val="clear" w:color="auto" w:fill="auto"/>
            <w:noWrap/>
            <w:vAlign w:val="center"/>
          </w:tcPr>
          <w:p w14:paraId="47ADC008"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1</w:t>
            </w:r>
          </w:p>
        </w:tc>
        <w:tc>
          <w:tcPr>
            <w:tcW w:w="1133" w:type="dxa"/>
            <w:tcBorders>
              <w:top w:val="nil"/>
              <w:left w:val="nil"/>
              <w:bottom w:val="nil"/>
              <w:right w:val="nil"/>
            </w:tcBorders>
            <w:shd w:val="clear" w:color="auto" w:fill="auto"/>
            <w:noWrap/>
            <w:vAlign w:val="center"/>
          </w:tcPr>
          <w:p w14:paraId="6FACC134"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318</w:t>
            </w:r>
          </w:p>
        </w:tc>
        <w:tc>
          <w:tcPr>
            <w:tcW w:w="979" w:type="dxa"/>
            <w:tcBorders>
              <w:top w:val="nil"/>
              <w:left w:val="nil"/>
              <w:bottom w:val="nil"/>
              <w:right w:val="nil"/>
            </w:tcBorders>
            <w:shd w:val="clear" w:color="auto" w:fill="F4B083" w:themeFill="accent2" w:themeFillTint="99"/>
            <w:noWrap/>
            <w:vAlign w:val="center"/>
          </w:tcPr>
          <w:p w14:paraId="517CE0F9"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8.898</w:t>
            </w:r>
          </w:p>
        </w:tc>
        <w:tc>
          <w:tcPr>
            <w:tcW w:w="903" w:type="dxa"/>
            <w:tcBorders>
              <w:top w:val="nil"/>
              <w:left w:val="nil"/>
              <w:bottom w:val="nil"/>
              <w:right w:val="nil"/>
            </w:tcBorders>
            <w:shd w:val="clear" w:color="auto" w:fill="F4B083" w:themeFill="accent2" w:themeFillTint="99"/>
            <w:noWrap/>
            <w:vAlign w:val="center"/>
          </w:tcPr>
          <w:p w14:paraId="3ECF9EAD"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0.003</w:t>
            </w:r>
          </w:p>
        </w:tc>
      </w:tr>
      <w:tr w:rsidR="00D56C02" w14:paraId="39D37F87" w14:textId="77777777">
        <w:trPr>
          <w:trHeight w:val="330"/>
          <w:jc w:val="center"/>
        </w:trPr>
        <w:tc>
          <w:tcPr>
            <w:tcW w:w="2977" w:type="dxa"/>
            <w:tcBorders>
              <w:top w:val="nil"/>
              <w:left w:val="nil"/>
              <w:bottom w:val="nil"/>
              <w:right w:val="nil"/>
            </w:tcBorders>
            <w:shd w:val="clear" w:color="auto" w:fill="auto"/>
            <w:noWrap/>
            <w:vAlign w:val="center"/>
          </w:tcPr>
          <w:p w14:paraId="3566C0CF"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lang w:bidi="ar"/>
              </w:rPr>
              <w:t>LRR pathogen load</w:t>
            </w:r>
            <w:r>
              <w:rPr>
                <w:rFonts w:ascii="Arial" w:hAnsi="Arial" w:cs="Arial"/>
                <w:kern w:val="0"/>
                <w:sz w:val="14"/>
                <w:szCs w:val="14"/>
              </w:rPr>
              <w:t xml:space="preserve"> | others</w:t>
            </w:r>
          </w:p>
        </w:tc>
        <w:tc>
          <w:tcPr>
            <w:tcW w:w="3119" w:type="dxa"/>
            <w:tcBorders>
              <w:top w:val="nil"/>
              <w:left w:val="nil"/>
              <w:bottom w:val="nil"/>
              <w:right w:val="nil"/>
            </w:tcBorders>
            <w:shd w:val="clear" w:color="auto" w:fill="auto"/>
            <w:noWrap/>
            <w:vAlign w:val="center"/>
          </w:tcPr>
          <w:p w14:paraId="41FF863D"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Simpson | others</w:t>
            </w:r>
          </w:p>
        </w:tc>
        <w:tc>
          <w:tcPr>
            <w:tcW w:w="1417" w:type="dxa"/>
            <w:tcBorders>
              <w:top w:val="nil"/>
              <w:left w:val="nil"/>
              <w:bottom w:val="nil"/>
              <w:right w:val="nil"/>
            </w:tcBorders>
            <w:shd w:val="clear" w:color="auto" w:fill="auto"/>
            <w:noWrap/>
            <w:vAlign w:val="center"/>
          </w:tcPr>
          <w:p w14:paraId="02CD9F1E"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1</w:t>
            </w:r>
          </w:p>
        </w:tc>
        <w:tc>
          <w:tcPr>
            <w:tcW w:w="1133" w:type="dxa"/>
            <w:tcBorders>
              <w:top w:val="nil"/>
              <w:left w:val="nil"/>
              <w:bottom w:val="nil"/>
              <w:right w:val="nil"/>
            </w:tcBorders>
            <w:shd w:val="clear" w:color="auto" w:fill="auto"/>
            <w:noWrap/>
            <w:vAlign w:val="center"/>
          </w:tcPr>
          <w:p w14:paraId="255DE3EB"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318</w:t>
            </w:r>
          </w:p>
        </w:tc>
        <w:tc>
          <w:tcPr>
            <w:tcW w:w="979" w:type="dxa"/>
            <w:tcBorders>
              <w:top w:val="nil"/>
              <w:left w:val="nil"/>
              <w:bottom w:val="nil"/>
              <w:right w:val="nil"/>
            </w:tcBorders>
            <w:shd w:val="clear" w:color="auto" w:fill="auto"/>
            <w:noWrap/>
            <w:vAlign w:val="center"/>
          </w:tcPr>
          <w:p w14:paraId="1DFD73AF"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0.050</w:t>
            </w:r>
          </w:p>
        </w:tc>
        <w:tc>
          <w:tcPr>
            <w:tcW w:w="903" w:type="dxa"/>
            <w:tcBorders>
              <w:top w:val="nil"/>
              <w:left w:val="nil"/>
              <w:bottom w:val="nil"/>
              <w:right w:val="nil"/>
            </w:tcBorders>
            <w:shd w:val="clear" w:color="auto" w:fill="auto"/>
            <w:noWrap/>
            <w:vAlign w:val="center"/>
          </w:tcPr>
          <w:p w14:paraId="1F4BCBBB"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0.822</w:t>
            </w:r>
          </w:p>
        </w:tc>
      </w:tr>
      <w:tr w:rsidR="00D56C02" w14:paraId="2F46CEF7" w14:textId="77777777">
        <w:trPr>
          <w:trHeight w:val="330"/>
          <w:jc w:val="center"/>
        </w:trPr>
        <w:tc>
          <w:tcPr>
            <w:tcW w:w="2977" w:type="dxa"/>
            <w:tcBorders>
              <w:top w:val="nil"/>
              <w:left w:val="nil"/>
              <w:bottom w:val="single" w:sz="12" w:space="0" w:color="000000"/>
              <w:right w:val="nil"/>
            </w:tcBorders>
            <w:shd w:val="clear" w:color="auto" w:fill="auto"/>
            <w:noWrap/>
            <w:vAlign w:val="center"/>
          </w:tcPr>
          <w:p w14:paraId="01D03989"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lang w:bidi="ar"/>
              </w:rPr>
              <w:t>LRR pathogen load</w:t>
            </w:r>
            <w:r>
              <w:rPr>
                <w:rFonts w:ascii="Arial" w:hAnsi="Arial" w:cs="Arial"/>
                <w:kern w:val="0"/>
                <w:sz w:val="14"/>
                <w:szCs w:val="14"/>
              </w:rPr>
              <w:t xml:space="preserve"> | others</w:t>
            </w:r>
          </w:p>
        </w:tc>
        <w:tc>
          <w:tcPr>
            <w:tcW w:w="3119" w:type="dxa"/>
            <w:tcBorders>
              <w:top w:val="nil"/>
              <w:left w:val="nil"/>
              <w:bottom w:val="single" w:sz="12" w:space="0" w:color="000000"/>
              <w:right w:val="nil"/>
            </w:tcBorders>
            <w:shd w:val="clear" w:color="auto" w:fill="auto"/>
            <w:noWrap/>
            <w:vAlign w:val="center"/>
          </w:tcPr>
          <w:p w14:paraId="2C3BE7EE"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Soil PC1 | others</w:t>
            </w:r>
          </w:p>
        </w:tc>
        <w:tc>
          <w:tcPr>
            <w:tcW w:w="1417" w:type="dxa"/>
            <w:tcBorders>
              <w:top w:val="nil"/>
              <w:left w:val="nil"/>
              <w:bottom w:val="single" w:sz="12" w:space="0" w:color="000000"/>
              <w:right w:val="nil"/>
            </w:tcBorders>
            <w:shd w:val="clear" w:color="auto" w:fill="auto"/>
            <w:noWrap/>
            <w:vAlign w:val="center"/>
          </w:tcPr>
          <w:p w14:paraId="113D60EB"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1</w:t>
            </w:r>
          </w:p>
        </w:tc>
        <w:tc>
          <w:tcPr>
            <w:tcW w:w="1133" w:type="dxa"/>
            <w:tcBorders>
              <w:top w:val="nil"/>
              <w:left w:val="nil"/>
              <w:bottom w:val="single" w:sz="12" w:space="0" w:color="000000"/>
              <w:right w:val="nil"/>
            </w:tcBorders>
            <w:shd w:val="clear" w:color="auto" w:fill="auto"/>
            <w:noWrap/>
            <w:vAlign w:val="center"/>
          </w:tcPr>
          <w:p w14:paraId="7ABBDE7A"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318</w:t>
            </w:r>
          </w:p>
        </w:tc>
        <w:tc>
          <w:tcPr>
            <w:tcW w:w="979" w:type="dxa"/>
            <w:tcBorders>
              <w:top w:val="nil"/>
              <w:left w:val="nil"/>
              <w:bottom w:val="single" w:sz="12" w:space="0" w:color="000000"/>
              <w:right w:val="nil"/>
            </w:tcBorders>
            <w:shd w:val="clear" w:color="auto" w:fill="auto"/>
            <w:noWrap/>
            <w:vAlign w:val="center"/>
          </w:tcPr>
          <w:p w14:paraId="1452D6A0"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0.454</w:t>
            </w:r>
          </w:p>
        </w:tc>
        <w:tc>
          <w:tcPr>
            <w:tcW w:w="903" w:type="dxa"/>
            <w:tcBorders>
              <w:top w:val="nil"/>
              <w:left w:val="nil"/>
              <w:bottom w:val="single" w:sz="12" w:space="0" w:color="000000"/>
              <w:right w:val="nil"/>
            </w:tcBorders>
            <w:shd w:val="clear" w:color="auto" w:fill="auto"/>
            <w:noWrap/>
            <w:vAlign w:val="center"/>
          </w:tcPr>
          <w:p w14:paraId="4900659B"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0.500</w:t>
            </w:r>
          </w:p>
        </w:tc>
      </w:tr>
    </w:tbl>
    <w:p w14:paraId="77549562" w14:textId="77777777" w:rsidR="00D56C02" w:rsidRDefault="00000000">
      <w:pPr>
        <w:widowControl/>
        <w:spacing w:line="480" w:lineRule="auto"/>
        <w:jc w:val="left"/>
        <w:rPr>
          <w:rFonts w:eastAsiaTheme="minorEastAsia" w:cs="Times New Roman"/>
          <w:b/>
          <w:bCs/>
          <w:szCs w:val="24"/>
        </w:rPr>
      </w:pPr>
      <w:r>
        <w:rPr>
          <w:rFonts w:eastAsiaTheme="minorEastAsia" w:cs="Times New Roman"/>
          <w:b/>
          <w:bCs/>
          <w:szCs w:val="24"/>
        </w:rPr>
        <w:br w:type="page"/>
      </w:r>
    </w:p>
    <w:p w14:paraId="02F3CFE9" w14:textId="77777777" w:rsidR="00D56C02" w:rsidRDefault="00000000">
      <w:pPr>
        <w:widowControl/>
        <w:spacing w:line="480" w:lineRule="auto"/>
        <w:jc w:val="left"/>
        <w:outlineLvl w:val="1"/>
        <w:rPr>
          <w:rFonts w:eastAsiaTheme="minorEastAsia" w:cs="Times New Roman"/>
          <w:szCs w:val="24"/>
        </w:rPr>
      </w:pPr>
      <w:r>
        <w:rPr>
          <w:rFonts w:cs="Times New Roman"/>
          <w:b/>
          <w:bCs/>
          <w:color w:val="000000"/>
          <w:szCs w:val="24"/>
        </w:rPr>
        <w:lastRenderedPageBreak/>
        <w:t>Supplementary</w:t>
      </w:r>
      <w:r>
        <w:rPr>
          <w:rFonts w:cs="Times New Roman"/>
          <w:b/>
          <w:bCs/>
          <w:szCs w:val="24"/>
        </w:rPr>
        <w:t xml:space="preserve"> Table 6 | The</w:t>
      </w:r>
      <w:r>
        <w:rPr>
          <w:rFonts w:eastAsiaTheme="minorEastAsia" w:cs="Times New Roman"/>
          <w:b/>
          <w:bCs/>
          <w:szCs w:val="24"/>
        </w:rPr>
        <w:t xml:space="preserve"> effect of shrub and grassland treatment on</w:t>
      </w:r>
      <w:r>
        <w:rPr>
          <w:rFonts w:eastAsiaTheme="minorEastAsia" w:cs="Times New Roman"/>
          <w:szCs w:val="24"/>
        </w:rPr>
        <w:t xml:space="preserve"> air humidity and air temperature. Shown are the results of general linear models. Num</w:t>
      </w:r>
      <w:r>
        <w:rPr>
          <w:rFonts w:eastAsiaTheme="minorEastAsia" w:cs="Times New Roman"/>
          <w:i/>
          <w:iCs/>
          <w:szCs w:val="24"/>
        </w:rPr>
        <w:t>DF</w:t>
      </w:r>
      <w:r>
        <w:rPr>
          <w:rFonts w:eastAsiaTheme="minorEastAsia" w:cs="Times New Roman"/>
          <w:szCs w:val="24"/>
        </w:rPr>
        <w:t xml:space="preserve"> and den</w:t>
      </w:r>
      <w:r>
        <w:rPr>
          <w:rFonts w:eastAsiaTheme="minorEastAsia" w:cs="Times New Roman"/>
          <w:i/>
          <w:iCs/>
          <w:szCs w:val="24"/>
        </w:rPr>
        <w:t>DF</w:t>
      </w:r>
      <w:r>
        <w:rPr>
          <w:rFonts w:eastAsiaTheme="minorEastAsia" w:cs="Times New Roman"/>
          <w:szCs w:val="24"/>
        </w:rPr>
        <w:t xml:space="preserve"> denote the numerator and denominator degrees of freedom, the levels of significance for corresponding pathways (P value), respectively. Significant results (P &lt; 0.05) are given in bold. </w:t>
      </w:r>
    </w:p>
    <w:tbl>
      <w:tblPr>
        <w:tblW w:w="10206" w:type="dxa"/>
        <w:jc w:val="center"/>
        <w:tblLayout w:type="fixed"/>
        <w:tblLook w:val="04A0" w:firstRow="1" w:lastRow="0" w:firstColumn="1" w:lastColumn="0" w:noHBand="0" w:noVBand="1"/>
      </w:tblPr>
      <w:tblGrid>
        <w:gridCol w:w="2881"/>
        <w:gridCol w:w="2222"/>
        <w:gridCol w:w="1134"/>
        <w:gridCol w:w="1134"/>
        <w:gridCol w:w="1276"/>
        <w:gridCol w:w="1559"/>
      </w:tblGrid>
      <w:tr w:rsidR="00D56C02" w14:paraId="239ACBAA" w14:textId="77777777">
        <w:trPr>
          <w:trHeight w:val="345"/>
          <w:jc w:val="center"/>
        </w:trPr>
        <w:tc>
          <w:tcPr>
            <w:tcW w:w="2881" w:type="dxa"/>
            <w:tcBorders>
              <w:top w:val="single" w:sz="12" w:space="0" w:color="000000"/>
              <w:left w:val="nil"/>
              <w:bottom w:val="single" w:sz="12" w:space="0" w:color="000000"/>
              <w:right w:val="nil"/>
            </w:tcBorders>
            <w:noWrap/>
            <w:vAlign w:val="center"/>
          </w:tcPr>
          <w:p w14:paraId="5E7BC222"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sz w:val="14"/>
                <w:szCs w:val="14"/>
                <w:shd w:val="clear" w:color="auto" w:fill="FFFFFF"/>
              </w:rPr>
              <w:t>Predictor</w:t>
            </w:r>
          </w:p>
        </w:tc>
        <w:tc>
          <w:tcPr>
            <w:tcW w:w="2222" w:type="dxa"/>
            <w:tcBorders>
              <w:top w:val="single" w:sz="12" w:space="0" w:color="000000"/>
              <w:left w:val="nil"/>
              <w:bottom w:val="single" w:sz="12" w:space="0" w:color="000000"/>
              <w:right w:val="nil"/>
            </w:tcBorders>
            <w:noWrap/>
            <w:vAlign w:val="center"/>
          </w:tcPr>
          <w:p w14:paraId="4CD37DCD"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Response</w:t>
            </w:r>
          </w:p>
        </w:tc>
        <w:tc>
          <w:tcPr>
            <w:tcW w:w="1134" w:type="dxa"/>
            <w:tcBorders>
              <w:top w:val="single" w:sz="12" w:space="0" w:color="000000"/>
              <w:left w:val="nil"/>
              <w:bottom w:val="single" w:sz="12" w:space="0" w:color="000000"/>
              <w:right w:val="nil"/>
            </w:tcBorders>
            <w:noWrap/>
            <w:vAlign w:val="center"/>
          </w:tcPr>
          <w:p w14:paraId="688DFE15"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num</w:t>
            </w:r>
            <w:r>
              <w:rPr>
                <w:rFonts w:ascii="Arial" w:hAnsi="Arial" w:cs="Arial"/>
                <w:b/>
                <w:bCs/>
                <w:i/>
                <w:iCs/>
                <w:kern w:val="0"/>
                <w:sz w:val="14"/>
                <w:szCs w:val="14"/>
              </w:rPr>
              <w:t>DF</w:t>
            </w:r>
          </w:p>
        </w:tc>
        <w:tc>
          <w:tcPr>
            <w:tcW w:w="1134" w:type="dxa"/>
            <w:tcBorders>
              <w:top w:val="single" w:sz="12" w:space="0" w:color="000000"/>
              <w:left w:val="nil"/>
              <w:bottom w:val="single" w:sz="12" w:space="0" w:color="000000"/>
              <w:right w:val="nil"/>
            </w:tcBorders>
            <w:noWrap/>
            <w:vAlign w:val="center"/>
          </w:tcPr>
          <w:p w14:paraId="2A5958F3"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den</w:t>
            </w:r>
            <w:r>
              <w:rPr>
                <w:rFonts w:ascii="Arial" w:hAnsi="Arial" w:cs="Arial"/>
                <w:b/>
                <w:bCs/>
                <w:i/>
                <w:iCs/>
                <w:kern w:val="0"/>
                <w:sz w:val="14"/>
                <w:szCs w:val="14"/>
              </w:rPr>
              <w:t>DF</w:t>
            </w:r>
          </w:p>
        </w:tc>
        <w:tc>
          <w:tcPr>
            <w:tcW w:w="1276" w:type="dxa"/>
            <w:tcBorders>
              <w:top w:val="single" w:sz="12" w:space="0" w:color="000000"/>
              <w:left w:val="nil"/>
              <w:bottom w:val="single" w:sz="12" w:space="0" w:color="000000"/>
              <w:right w:val="nil"/>
            </w:tcBorders>
            <w:noWrap/>
            <w:vAlign w:val="center"/>
          </w:tcPr>
          <w:p w14:paraId="40B63CA4" w14:textId="77777777" w:rsidR="00D56C02" w:rsidRDefault="00000000">
            <w:pPr>
              <w:widowControl/>
              <w:spacing w:line="480" w:lineRule="auto"/>
              <w:jc w:val="center"/>
              <w:rPr>
                <w:rFonts w:ascii="Arial" w:hAnsi="Arial" w:cs="Arial"/>
                <w:b/>
                <w:bCs/>
                <w:i/>
                <w:iCs/>
                <w:kern w:val="0"/>
                <w:sz w:val="14"/>
                <w:szCs w:val="14"/>
              </w:rPr>
            </w:pPr>
            <w:r>
              <w:rPr>
                <w:rFonts w:ascii="Arial" w:hAnsi="Arial" w:cs="Arial"/>
                <w:b/>
                <w:bCs/>
                <w:i/>
                <w:iCs/>
                <w:kern w:val="0"/>
                <w:sz w:val="14"/>
                <w:szCs w:val="14"/>
              </w:rPr>
              <w:t>F</w:t>
            </w:r>
          </w:p>
        </w:tc>
        <w:tc>
          <w:tcPr>
            <w:tcW w:w="1559" w:type="dxa"/>
            <w:tcBorders>
              <w:top w:val="single" w:sz="12" w:space="0" w:color="000000"/>
              <w:left w:val="nil"/>
              <w:bottom w:val="single" w:sz="12" w:space="0" w:color="000000"/>
              <w:right w:val="nil"/>
            </w:tcBorders>
            <w:noWrap/>
            <w:vAlign w:val="center"/>
          </w:tcPr>
          <w:p w14:paraId="2A413BAB" w14:textId="77777777" w:rsidR="00D56C02" w:rsidRDefault="00000000">
            <w:pPr>
              <w:widowControl/>
              <w:spacing w:line="480" w:lineRule="auto"/>
              <w:jc w:val="center"/>
              <w:rPr>
                <w:rFonts w:ascii="Arial" w:hAnsi="Arial" w:cs="Arial"/>
                <w:b/>
                <w:bCs/>
                <w:i/>
                <w:iCs/>
                <w:kern w:val="0"/>
                <w:sz w:val="14"/>
                <w:szCs w:val="14"/>
              </w:rPr>
            </w:pPr>
            <w:r>
              <w:rPr>
                <w:rFonts w:ascii="Arial" w:hAnsi="Arial" w:cs="Arial"/>
                <w:b/>
                <w:bCs/>
                <w:i/>
                <w:iCs/>
                <w:kern w:val="0"/>
                <w:sz w:val="14"/>
                <w:szCs w:val="14"/>
              </w:rPr>
              <w:t>P</w:t>
            </w:r>
          </w:p>
        </w:tc>
      </w:tr>
      <w:tr w:rsidR="00D56C02" w14:paraId="4F9816A7" w14:textId="77777777">
        <w:trPr>
          <w:trHeight w:val="330"/>
          <w:jc w:val="center"/>
        </w:trPr>
        <w:tc>
          <w:tcPr>
            <w:tcW w:w="2881" w:type="dxa"/>
            <w:noWrap/>
            <w:vAlign w:val="center"/>
          </w:tcPr>
          <w:p w14:paraId="0484099C" w14:textId="77777777" w:rsidR="00D56C02" w:rsidRDefault="00000000">
            <w:pPr>
              <w:widowControl/>
              <w:spacing w:line="480" w:lineRule="auto"/>
              <w:jc w:val="left"/>
              <w:rPr>
                <w:rFonts w:ascii="Arial" w:hAnsi="Arial" w:cs="Arial"/>
                <w:i/>
                <w:iCs/>
                <w:kern w:val="0"/>
                <w:sz w:val="14"/>
                <w:szCs w:val="14"/>
              </w:rPr>
            </w:pPr>
            <w:r>
              <w:rPr>
                <w:rFonts w:ascii="Arial" w:hAnsi="Arial" w:cs="Arial"/>
                <w:i/>
                <w:iCs/>
                <w:kern w:val="0"/>
                <w:sz w:val="14"/>
                <w:szCs w:val="14"/>
              </w:rPr>
              <w:t>Treatment</w:t>
            </w:r>
          </w:p>
        </w:tc>
        <w:tc>
          <w:tcPr>
            <w:tcW w:w="2222" w:type="dxa"/>
            <w:noWrap/>
            <w:vAlign w:val="center"/>
          </w:tcPr>
          <w:p w14:paraId="587158C6"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Air humidity</w:t>
            </w:r>
          </w:p>
        </w:tc>
        <w:tc>
          <w:tcPr>
            <w:tcW w:w="1134" w:type="dxa"/>
            <w:noWrap/>
            <w:vAlign w:val="center"/>
          </w:tcPr>
          <w:p w14:paraId="0F677920"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1</w:t>
            </w:r>
          </w:p>
        </w:tc>
        <w:tc>
          <w:tcPr>
            <w:tcW w:w="1134" w:type="dxa"/>
            <w:noWrap/>
            <w:vAlign w:val="center"/>
          </w:tcPr>
          <w:p w14:paraId="0F9E8842"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638</w:t>
            </w:r>
          </w:p>
        </w:tc>
        <w:tc>
          <w:tcPr>
            <w:tcW w:w="1276" w:type="dxa"/>
            <w:noWrap/>
            <w:vAlign w:val="center"/>
          </w:tcPr>
          <w:p w14:paraId="4FDE1854"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60.41</w:t>
            </w:r>
          </w:p>
        </w:tc>
        <w:tc>
          <w:tcPr>
            <w:tcW w:w="1559" w:type="dxa"/>
            <w:noWrap/>
          </w:tcPr>
          <w:p w14:paraId="16582BE1"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&lt;0.001</w:t>
            </w:r>
          </w:p>
        </w:tc>
      </w:tr>
      <w:tr w:rsidR="00D56C02" w14:paraId="633A1E27" w14:textId="77777777">
        <w:trPr>
          <w:trHeight w:val="330"/>
          <w:jc w:val="center"/>
        </w:trPr>
        <w:tc>
          <w:tcPr>
            <w:tcW w:w="2881" w:type="dxa"/>
            <w:tcBorders>
              <w:top w:val="nil"/>
              <w:left w:val="nil"/>
              <w:bottom w:val="single" w:sz="12" w:space="0" w:color="auto"/>
              <w:right w:val="nil"/>
            </w:tcBorders>
            <w:noWrap/>
            <w:vAlign w:val="center"/>
          </w:tcPr>
          <w:p w14:paraId="18A9DC30" w14:textId="77777777" w:rsidR="00D56C02" w:rsidRDefault="00000000">
            <w:pPr>
              <w:widowControl/>
              <w:spacing w:line="480" w:lineRule="auto"/>
              <w:jc w:val="left"/>
              <w:rPr>
                <w:rFonts w:ascii="Arial" w:hAnsi="Arial" w:cs="Arial"/>
                <w:i/>
                <w:iCs/>
                <w:kern w:val="0"/>
                <w:sz w:val="14"/>
                <w:szCs w:val="14"/>
              </w:rPr>
            </w:pPr>
            <w:r>
              <w:rPr>
                <w:rFonts w:ascii="Arial" w:hAnsi="Arial" w:cs="Arial"/>
                <w:i/>
                <w:iCs/>
                <w:kern w:val="0"/>
                <w:sz w:val="14"/>
                <w:szCs w:val="14"/>
              </w:rPr>
              <w:t>Treatment</w:t>
            </w:r>
          </w:p>
        </w:tc>
        <w:tc>
          <w:tcPr>
            <w:tcW w:w="2222" w:type="dxa"/>
            <w:tcBorders>
              <w:top w:val="nil"/>
              <w:left w:val="nil"/>
              <w:bottom w:val="single" w:sz="12" w:space="0" w:color="auto"/>
              <w:right w:val="nil"/>
            </w:tcBorders>
            <w:noWrap/>
            <w:vAlign w:val="center"/>
          </w:tcPr>
          <w:p w14:paraId="4770D6E8"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Air temperature</w:t>
            </w:r>
          </w:p>
        </w:tc>
        <w:tc>
          <w:tcPr>
            <w:tcW w:w="1134" w:type="dxa"/>
            <w:tcBorders>
              <w:top w:val="nil"/>
              <w:left w:val="nil"/>
              <w:bottom w:val="single" w:sz="12" w:space="0" w:color="auto"/>
              <w:right w:val="nil"/>
            </w:tcBorders>
            <w:noWrap/>
            <w:vAlign w:val="center"/>
          </w:tcPr>
          <w:p w14:paraId="4EF16855"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1</w:t>
            </w:r>
          </w:p>
        </w:tc>
        <w:tc>
          <w:tcPr>
            <w:tcW w:w="1134" w:type="dxa"/>
            <w:tcBorders>
              <w:top w:val="nil"/>
              <w:left w:val="nil"/>
              <w:bottom w:val="single" w:sz="12" w:space="0" w:color="auto"/>
              <w:right w:val="nil"/>
            </w:tcBorders>
            <w:noWrap/>
            <w:vAlign w:val="center"/>
          </w:tcPr>
          <w:p w14:paraId="1E3C6DDB"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638</w:t>
            </w:r>
          </w:p>
        </w:tc>
        <w:tc>
          <w:tcPr>
            <w:tcW w:w="1276" w:type="dxa"/>
            <w:tcBorders>
              <w:top w:val="nil"/>
              <w:left w:val="nil"/>
              <w:bottom w:val="single" w:sz="12" w:space="0" w:color="auto"/>
              <w:right w:val="nil"/>
            </w:tcBorders>
            <w:noWrap/>
            <w:vAlign w:val="center"/>
          </w:tcPr>
          <w:p w14:paraId="0F4F3065"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2</w:t>
            </w:r>
            <w:r>
              <w:rPr>
                <w:rFonts w:ascii="Arial" w:hAnsi="Arial" w:cs="Arial"/>
                <w:sz w:val="14"/>
                <w:szCs w:val="14"/>
              </w:rPr>
              <w:t>0.08</w:t>
            </w:r>
          </w:p>
        </w:tc>
        <w:tc>
          <w:tcPr>
            <w:tcW w:w="1559" w:type="dxa"/>
            <w:tcBorders>
              <w:top w:val="nil"/>
              <w:left w:val="nil"/>
              <w:bottom w:val="single" w:sz="12" w:space="0" w:color="auto"/>
              <w:right w:val="nil"/>
            </w:tcBorders>
            <w:noWrap/>
          </w:tcPr>
          <w:p w14:paraId="6C005141"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&lt;0.001</w:t>
            </w:r>
          </w:p>
        </w:tc>
      </w:tr>
    </w:tbl>
    <w:p w14:paraId="47A39B9A" w14:textId="77777777" w:rsidR="00D56C02" w:rsidRDefault="00D56C02">
      <w:pPr>
        <w:widowControl/>
        <w:spacing w:line="480" w:lineRule="auto"/>
        <w:jc w:val="left"/>
        <w:rPr>
          <w:rFonts w:eastAsiaTheme="minorEastAsia" w:cs="Times New Roman"/>
          <w:b/>
          <w:bCs/>
          <w:szCs w:val="24"/>
        </w:rPr>
        <w:sectPr w:rsidR="00D56C02" w:rsidSect="00AE5B83">
          <w:pgSz w:w="11906" w:h="16838"/>
          <w:pgMar w:top="1440" w:right="1134" w:bottom="1440" w:left="1134" w:header="851" w:footer="992" w:gutter="0"/>
          <w:lnNumType w:countBy="1" w:restart="continuous"/>
          <w:cols w:space="425"/>
          <w:docGrid w:linePitch="326"/>
        </w:sectPr>
      </w:pPr>
    </w:p>
    <w:p w14:paraId="6A955030" w14:textId="77777777" w:rsidR="00D56C02" w:rsidRDefault="00000000">
      <w:pPr>
        <w:widowControl/>
        <w:spacing w:line="480" w:lineRule="auto"/>
        <w:jc w:val="left"/>
        <w:outlineLvl w:val="1"/>
        <w:rPr>
          <w:rFonts w:cs="Times New Roman"/>
          <w:szCs w:val="24"/>
        </w:rPr>
      </w:pPr>
      <w:r>
        <w:rPr>
          <w:rFonts w:cs="Times New Roman"/>
          <w:b/>
          <w:bCs/>
          <w:color w:val="000000"/>
          <w:szCs w:val="24"/>
        </w:rPr>
        <w:lastRenderedPageBreak/>
        <w:t>Supplementary</w:t>
      </w:r>
      <w:r>
        <w:rPr>
          <w:rFonts w:cs="Times New Roman"/>
          <w:b/>
          <w:szCs w:val="24"/>
        </w:rPr>
        <w:t xml:space="preserve"> Table 7</w:t>
      </w:r>
      <w:r>
        <w:rPr>
          <w:rFonts w:cs="Times New Roman"/>
          <w:b/>
          <w:bCs/>
          <w:szCs w:val="24"/>
        </w:rPr>
        <w:t xml:space="preserve"> |</w:t>
      </w:r>
      <w:r>
        <w:rPr>
          <w:rFonts w:cs="Times New Roman"/>
          <w:szCs w:val="24"/>
        </w:rPr>
        <w:t xml:space="preserve"> </w:t>
      </w:r>
      <w:r>
        <w:rPr>
          <w:rFonts w:cs="Times New Roman"/>
          <w:bCs/>
          <w:szCs w:val="24"/>
        </w:rPr>
        <w:t xml:space="preserve">The effect of </w:t>
      </w:r>
      <w:r>
        <w:rPr>
          <w:rFonts w:cs="Times New Roman"/>
          <w:szCs w:val="24"/>
        </w:rPr>
        <w:t xml:space="preserve">mean annual temperature (MAT), mean annual precipitation (MAP) on </w:t>
      </w:r>
      <w:r>
        <w:rPr>
          <w:rFonts w:cs="Times New Roman"/>
          <w:kern w:val="0"/>
          <w:szCs w:val="24"/>
          <w:lang w:bidi="ar"/>
        </w:rPr>
        <w:t xml:space="preserve">log-transformed response ratio of </w:t>
      </w:r>
      <w:r>
        <w:rPr>
          <w:rFonts w:cs="Times New Roman"/>
          <w:bCs/>
          <w:szCs w:val="24"/>
          <w:lang w:bidi="ar"/>
        </w:rPr>
        <w:t xml:space="preserve">air humidity and air temperature </w:t>
      </w:r>
      <w:r>
        <w:rPr>
          <w:rFonts w:cs="Times New Roman"/>
          <w:kern w:val="0"/>
          <w:szCs w:val="24"/>
          <w:lang w:bidi="ar"/>
        </w:rPr>
        <w:t xml:space="preserve">between </w:t>
      </w:r>
      <w:r>
        <w:rPr>
          <w:rFonts w:cs="Times New Roman"/>
          <w:bCs/>
          <w:szCs w:val="24"/>
          <w:lang w:bidi="ar"/>
        </w:rPr>
        <w:t>shrub patches</w:t>
      </w:r>
      <w:r>
        <w:rPr>
          <w:rFonts w:cs="Times New Roman"/>
          <w:kern w:val="0"/>
          <w:szCs w:val="24"/>
          <w:lang w:bidi="ar"/>
        </w:rPr>
        <w:t xml:space="preserve"> and grassland patches’ plots </w:t>
      </w:r>
      <w:r>
        <w:rPr>
          <w:rFonts w:cs="Times New Roman"/>
          <w:bCs/>
          <w:szCs w:val="24"/>
          <w:lang w:bidi="ar"/>
        </w:rPr>
        <w:t>(i.e., LRR air humidity and LRR air temperature, respectively)</w:t>
      </w:r>
      <w:r>
        <w:rPr>
          <w:rFonts w:cs="Times New Roman"/>
          <w:szCs w:val="24"/>
        </w:rPr>
        <w:t>.</w:t>
      </w:r>
      <w:r>
        <w:rPr>
          <w:rFonts w:eastAsiaTheme="minorEastAsia" w:cs="Times New Roman"/>
          <w:szCs w:val="24"/>
        </w:rPr>
        <w:t xml:space="preserve"> Shown are the results of linear mixed-effects models with ‘site’ as a random effect; num</w:t>
      </w:r>
      <w:r>
        <w:rPr>
          <w:rFonts w:eastAsiaTheme="minorEastAsia" w:cs="Times New Roman"/>
          <w:i/>
          <w:iCs/>
          <w:szCs w:val="24"/>
        </w:rPr>
        <w:t>DF</w:t>
      </w:r>
      <w:r>
        <w:rPr>
          <w:rFonts w:eastAsiaTheme="minorEastAsia" w:cs="Times New Roman"/>
          <w:szCs w:val="24"/>
        </w:rPr>
        <w:t xml:space="preserve"> and den</w:t>
      </w:r>
      <w:r>
        <w:rPr>
          <w:rFonts w:eastAsiaTheme="minorEastAsia" w:cs="Times New Roman"/>
          <w:i/>
          <w:iCs/>
          <w:szCs w:val="24"/>
        </w:rPr>
        <w:t>DF</w:t>
      </w:r>
      <w:r>
        <w:rPr>
          <w:rFonts w:eastAsiaTheme="minorEastAsia" w:cs="Times New Roman"/>
          <w:szCs w:val="24"/>
        </w:rPr>
        <w:t xml:space="preserve"> denote the numerator and denominator degrees of freedom, and the levels of significance for corresponding pathways (</w:t>
      </w:r>
      <w:r>
        <w:rPr>
          <w:rFonts w:eastAsiaTheme="minorEastAsia" w:cs="Times New Roman"/>
          <w:i/>
          <w:iCs/>
          <w:szCs w:val="24"/>
        </w:rPr>
        <w:t xml:space="preserve">P </w:t>
      </w:r>
      <w:r>
        <w:rPr>
          <w:rFonts w:eastAsiaTheme="minorEastAsia" w:cs="Times New Roman"/>
          <w:szCs w:val="24"/>
        </w:rPr>
        <w:t>value)</w:t>
      </w:r>
      <w:r>
        <w:rPr>
          <w:rFonts w:cs="Times New Roman"/>
          <w:szCs w:val="24"/>
        </w:rPr>
        <w:t>. Significant results (</w:t>
      </w:r>
      <w:r>
        <w:rPr>
          <w:rFonts w:cs="Times New Roman"/>
          <w:i/>
          <w:szCs w:val="24"/>
        </w:rPr>
        <w:t>P</w:t>
      </w:r>
      <w:r>
        <w:rPr>
          <w:rFonts w:cs="Times New Roman"/>
          <w:szCs w:val="24"/>
        </w:rPr>
        <w:t xml:space="preserve"> &lt; 0.05) are given in bold. </w:t>
      </w:r>
    </w:p>
    <w:tbl>
      <w:tblPr>
        <w:tblW w:w="10206" w:type="dxa"/>
        <w:jc w:val="center"/>
        <w:tblLayout w:type="fixed"/>
        <w:tblLook w:val="04A0" w:firstRow="1" w:lastRow="0" w:firstColumn="1" w:lastColumn="0" w:noHBand="0" w:noVBand="1"/>
      </w:tblPr>
      <w:tblGrid>
        <w:gridCol w:w="2881"/>
        <w:gridCol w:w="3017"/>
        <w:gridCol w:w="1375"/>
        <w:gridCol w:w="1101"/>
        <w:gridCol w:w="953"/>
        <w:gridCol w:w="879"/>
      </w:tblGrid>
      <w:tr w:rsidR="00D56C02" w14:paraId="2C4C23FB" w14:textId="77777777">
        <w:trPr>
          <w:trHeight w:val="345"/>
          <w:jc w:val="center"/>
        </w:trPr>
        <w:tc>
          <w:tcPr>
            <w:tcW w:w="2977" w:type="dxa"/>
            <w:tcBorders>
              <w:top w:val="single" w:sz="12" w:space="0" w:color="000000"/>
              <w:left w:val="nil"/>
              <w:bottom w:val="single" w:sz="12" w:space="0" w:color="000000"/>
              <w:right w:val="nil"/>
            </w:tcBorders>
            <w:shd w:val="clear" w:color="auto" w:fill="auto"/>
            <w:noWrap/>
            <w:vAlign w:val="center"/>
          </w:tcPr>
          <w:p w14:paraId="7D323B31"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sz w:val="14"/>
                <w:szCs w:val="14"/>
                <w:shd w:val="clear" w:color="auto" w:fill="FFFFFF"/>
              </w:rPr>
              <w:t>Predictor</w:t>
            </w:r>
          </w:p>
        </w:tc>
        <w:tc>
          <w:tcPr>
            <w:tcW w:w="3119" w:type="dxa"/>
            <w:tcBorders>
              <w:top w:val="single" w:sz="12" w:space="0" w:color="000000"/>
              <w:left w:val="nil"/>
              <w:bottom w:val="single" w:sz="12" w:space="0" w:color="000000"/>
              <w:right w:val="nil"/>
            </w:tcBorders>
            <w:shd w:val="clear" w:color="auto" w:fill="auto"/>
            <w:noWrap/>
            <w:vAlign w:val="center"/>
          </w:tcPr>
          <w:p w14:paraId="0B15CD60"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Response</w:t>
            </w:r>
          </w:p>
        </w:tc>
        <w:tc>
          <w:tcPr>
            <w:tcW w:w="1417" w:type="dxa"/>
            <w:tcBorders>
              <w:top w:val="single" w:sz="12" w:space="0" w:color="000000"/>
              <w:left w:val="nil"/>
              <w:bottom w:val="single" w:sz="12" w:space="0" w:color="000000"/>
              <w:right w:val="nil"/>
            </w:tcBorders>
            <w:shd w:val="clear" w:color="auto" w:fill="auto"/>
            <w:noWrap/>
            <w:vAlign w:val="center"/>
          </w:tcPr>
          <w:p w14:paraId="5E74980A"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num</w:t>
            </w:r>
            <w:r>
              <w:rPr>
                <w:rFonts w:ascii="Arial" w:hAnsi="Arial" w:cs="Arial"/>
                <w:b/>
                <w:bCs/>
                <w:i/>
                <w:iCs/>
                <w:kern w:val="0"/>
                <w:sz w:val="14"/>
                <w:szCs w:val="14"/>
              </w:rPr>
              <w:t>DF</w:t>
            </w:r>
          </w:p>
        </w:tc>
        <w:tc>
          <w:tcPr>
            <w:tcW w:w="1133" w:type="dxa"/>
            <w:tcBorders>
              <w:top w:val="single" w:sz="12" w:space="0" w:color="000000"/>
              <w:left w:val="nil"/>
              <w:bottom w:val="single" w:sz="12" w:space="0" w:color="000000"/>
              <w:right w:val="nil"/>
            </w:tcBorders>
            <w:shd w:val="clear" w:color="auto" w:fill="auto"/>
            <w:noWrap/>
            <w:vAlign w:val="center"/>
          </w:tcPr>
          <w:p w14:paraId="39F9B25E" w14:textId="77777777" w:rsidR="00D56C02" w:rsidRDefault="00000000">
            <w:pPr>
              <w:widowControl/>
              <w:spacing w:line="480" w:lineRule="auto"/>
              <w:jc w:val="center"/>
              <w:rPr>
                <w:rFonts w:ascii="Arial" w:hAnsi="Arial" w:cs="Arial"/>
                <w:b/>
                <w:bCs/>
                <w:kern w:val="0"/>
                <w:sz w:val="14"/>
                <w:szCs w:val="14"/>
              </w:rPr>
            </w:pPr>
            <w:r>
              <w:rPr>
                <w:rFonts w:ascii="Arial" w:hAnsi="Arial" w:cs="Arial"/>
                <w:b/>
                <w:bCs/>
                <w:kern w:val="0"/>
                <w:sz w:val="14"/>
                <w:szCs w:val="14"/>
              </w:rPr>
              <w:t>den</w:t>
            </w:r>
            <w:r>
              <w:rPr>
                <w:rFonts w:ascii="Arial" w:hAnsi="Arial" w:cs="Arial"/>
                <w:b/>
                <w:bCs/>
                <w:i/>
                <w:iCs/>
                <w:kern w:val="0"/>
                <w:sz w:val="14"/>
                <w:szCs w:val="14"/>
              </w:rPr>
              <w:t>DF</w:t>
            </w:r>
          </w:p>
        </w:tc>
        <w:tc>
          <w:tcPr>
            <w:tcW w:w="979" w:type="dxa"/>
            <w:tcBorders>
              <w:top w:val="single" w:sz="12" w:space="0" w:color="000000"/>
              <w:left w:val="nil"/>
              <w:bottom w:val="single" w:sz="12" w:space="0" w:color="000000"/>
              <w:right w:val="nil"/>
            </w:tcBorders>
            <w:shd w:val="clear" w:color="auto" w:fill="auto"/>
            <w:noWrap/>
            <w:vAlign w:val="center"/>
          </w:tcPr>
          <w:p w14:paraId="3B3C87DB" w14:textId="77777777" w:rsidR="00D56C02" w:rsidRDefault="00000000">
            <w:pPr>
              <w:widowControl/>
              <w:spacing w:line="480" w:lineRule="auto"/>
              <w:jc w:val="center"/>
              <w:rPr>
                <w:rFonts w:ascii="Arial" w:hAnsi="Arial" w:cs="Arial"/>
                <w:b/>
                <w:bCs/>
                <w:i/>
                <w:iCs/>
                <w:kern w:val="0"/>
                <w:sz w:val="14"/>
                <w:szCs w:val="14"/>
              </w:rPr>
            </w:pPr>
            <w:r>
              <w:rPr>
                <w:rFonts w:ascii="Arial" w:hAnsi="Arial" w:cs="Arial"/>
                <w:b/>
                <w:bCs/>
                <w:i/>
                <w:iCs/>
                <w:kern w:val="0"/>
                <w:sz w:val="14"/>
                <w:szCs w:val="14"/>
              </w:rPr>
              <w:t>F</w:t>
            </w:r>
          </w:p>
        </w:tc>
        <w:tc>
          <w:tcPr>
            <w:tcW w:w="903" w:type="dxa"/>
            <w:tcBorders>
              <w:top w:val="single" w:sz="12" w:space="0" w:color="000000"/>
              <w:left w:val="nil"/>
              <w:bottom w:val="single" w:sz="12" w:space="0" w:color="000000"/>
              <w:right w:val="nil"/>
            </w:tcBorders>
            <w:shd w:val="clear" w:color="auto" w:fill="auto"/>
            <w:noWrap/>
            <w:vAlign w:val="center"/>
          </w:tcPr>
          <w:p w14:paraId="1C34AFE2" w14:textId="77777777" w:rsidR="00D56C02" w:rsidRDefault="00000000">
            <w:pPr>
              <w:widowControl/>
              <w:spacing w:line="480" w:lineRule="auto"/>
              <w:jc w:val="center"/>
              <w:rPr>
                <w:rFonts w:ascii="Arial" w:hAnsi="Arial" w:cs="Arial"/>
                <w:b/>
                <w:bCs/>
                <w:i/>
                <w:iCs/>
                <w:kern w:val="0"/>
                <w:sz w:val="14"/>
                <w:szCs w:val="14"/>
              </w:rPr>
            </w:pPr>
            <w:r>
              <w:rPr>
                <w:rFonts w:ascii="Arial" w:hAnsi="Arial" w:cs="Arial"/>
                <w:b/>
                <w:bCs/>
                <w:i/>
                <w:iCs/>
                <w:kern w:val="0"/>
                <w:sz w:val="14"/>
                <w:szCs w:val="14"/>
              </w:rPr>
              <w:t>P</w:t>
            </w:r>
          </w:p>
        </w:tc>
      </w:tr>
      <w:tr w:rsidR="00D56C02" w14:paraId="7E80D096" w14:textId="77777777">
        <w:trPr>
          <w:trHeight w:val="330"/>
          <w:jc w:val="center"/>
        </w:trPr>
        <w:tc>
          <w:tcPr>
            <w:tcW w:w="2977" w:type="dxa"/>
            <w:tcBorders>
              <w:top w:val="nil"/>
              <w:left w:val="nil"/>
              <w:bottom w:val="nil"/>
              <w:right w:val="nil"/>
            </w:tcBorders>
            <w:shd w:val="clear" w:color="auto" w:fill="auto"/>
            <w:noWrap/>
            <w:vAlign w:val="center"/>
          </w:tcPr>
          <w:p w14:paraId="000D147A" w14:textId="77777777" w:rsidR="00D56C02" w:rsidRDefault="00000000">
            <w:pPr>
              <w:widowControl/>
              <w:spacing w:line="480" w:lineRule="auto"/>
              <w:jc w:val="left"/>
              <w:rPr>
                <w:rFonts w:ascii="Arial" w:hAnsi="Arial" w:cs="Arial"/>
                <w:i/>
                <w:iCs/>
                <w:kern w:val="0"/>
                <w:sz w:val="14"/>
                <w:szCs w:val="14"/>
              </w:rPr>
            </w:pPr>
            <w:r>
              <w:rPr>
                <w:rFonts w:ascii="Arial" w:hAnsi="Arial" w:cs="Arial"/>
                <w:i/>
                <w:iCs/>
                <w:kern w:val="0"/>
                <w:sz w:val="14"/>
                <w:szCs w:val="14"/>
                <w:lang w:bidi="ar"/>
              </w:rPr>
              <w:t>LRR air humidity</w:t>
            </w:r>
          </w:p>
        </w:tc>
        <w:tc>
          <w:tcPr>
            <w:tcW w:w="3119" w:type="dxa"/>
            <w:tcBorders>
              <w:top w:val="nil"/>
              <w:left w:val="nil"/>
              <w:bottom w:val="nil"/>
              <w:right w:val="nil"/>
            </w:tcBorders>
            <w:shd w:val="clear" w:color="auto" w:fill="auto"/>
            <w:noWrap/>
            <w:vAlign w:val="center"/>
          </w:tcPr>
          <w:p w14:paraId="10D739F4"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MAT</w:t>
            </w:r>
          </w:p>
        </w:tc>
        <w:tc>
          <w:tcPr>
            <w:tcW w:w="1417" w:type="dxa"/>
            <w:tcBorders>
              <w:top w:val="nil"/>
              <w:left w:val="nil"/>
              <w:bottom w:val="nil"/>
              <w:right w:val="nil"/>
            </w:tcBorders>
            <w:shd w:val="clear" w:color="auto" w:fill="auto"/>
            <w:noWrap/>
            <w:vAlign w:val="center"/>
          </w:tcPr>
          <w:p w14:paraId="2BD710DF"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1</w:t>
            </w:r>
          </w:p>
        </w:tc>
        <w:tc>
          <w:tcPr>
            <w:tcW w:w="1133" w:type="dxa"/>
            <w:tcBorders>
              <w:top w:val="nil"/>
              <w:left w:val="nil"/>
              <w:bottom w:val="nil"/>
              <w:right w:val="nil"/>
            </w:tcBorders>
            <w:shd w:val="clear" w:color="auto" w:fill="auto"/>
            <w:noWrap/>
            <w:vAlign w:val="center"/>
          </w:tcPr>
          <w:p w14:paraId="74AF0A3A"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78</w:t>
            </w:r>
          </w:p>
        </w:tc>
        <w:tc>
          <w:tcPr>
            <w:tcW w:w="979" w:type="dxa"/>
            <w:tcBorders>
              <w:top w:val="nil"/>
              <w:left w:val="nil"/>
              <w:bottom w:val="nil"/>
              <w:right w:val="nil"/>
            </w:tcBorders>
            <w:shd w:val="clear" w:color="auto" w:fill="auto"/>
            <w:noWrap/>
            <w:vAlign w:val="center"/>
          </w:tcPr>
          <w:p w14:paraId="7A284B2D"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1.362</w:t>
            </w:r>
          </w:p>
        </w:tc>
        <w:tc>
          <w:tcPr>
            <w:tcW w:w="903" w:type="dxa"/>
            <w:tcBorders>
              <w:top w:val="nil"/>
              <w:left w:val="nil"/>
              <w:bottom w:val="nil"/>
              <w:right w:val="nil"/>
            </w:tcBorders>
            <w:shd w:val="clear" w:color="auto" w:fill="auto"/>
            <w:noWrap/>
            <w:vAlign w:val="center"/>
          </w:tcPr>
          <w:p w14:paraId="76D90424"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0.246</w:t>
            </w:r>
          </w:p>
        </w:tc>
      </w:tr>
      <w:tr w:rsidR="00D56C02" w14:paraId="69EFE04A" w14:textId="77777777">
        <w:trPr>
          <w:trHeight w:val="330"/>
          <w:jc w:val="center"/>
        </w:trPr>
        <w:tc>
          <w:tcPr>
            <w:tcW w:w="2977" w:type="dxa"/>
            <w:tcBorders>
              <w:top w:val="nil"/>
              <w:left w:val="nil"/>
              <w:bottom w:val="nil"/>
              <w:right w:val="nil"/>
            </w:tcBorders>
            <w:shd w:val="clear" w:color="auto" w:fill="auto"/>
            <w:noWrap/>
            <w:vAlign w:val="center"/>
          </w:tcPr>
          <w:p w14:paraId="2ECEFFE8" w14:textId="77777777" w:rsidR="00D56C02" w:rsidRDefault="00000000">
            <w:pPr>
              <w:widowControl/>
              <w:spacing w:line="480" w:lineRule="auto"/>
              <w:jc w:val="left"/>
              <w:rPr>
                <w:rFonts w:ascii="Arial" w:hAnsi="Arial" w:cs="Arial"/>
                <w:i/>
                <w:iCs/>
                <w:kern w:val="0"/>
                <w:sz w:val="14"/>
                <w:szCs w:val="14"/>
              </w:rPr>
            </w:pPr>
            <w:r>
              <w:rPr>
                <w:rFonts w:ascii="Arial" w:hAnsi="Arial" w:cs="Arial"/>
                <w:i/>
                <w:iCs/>
                <w:kern w:val="0"/>
                <w:sz w:val="14"/>
                <w:szCs w:val="14"/>
                <w:lang w:bidi="ar"/>
              </w:rPr>
              <w:t>LRR air humidity</w:t>
            </w:r>
          </w:p>
        </w:tc>
        <w:tc>
          <w:tcPr>
            <w:tcW w:w="3119" w:type="dxa"/>
            <w:tcBorders>
              <w:top w:val="nil"/>
              <w:left w:val="nil"/>
              <w:bottom w:val="nil"/>
              <w:right w:val="nil"/>
            </w:tcBorders>
            <w:shd w:val="clear" w:color="auto" w:fill="auto"/>
            <w:noWrap/>
            <w:vAlign w:val="center"/>
          </w:tcPr>
          <w:p w14:paraId="563C3308"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MAP</w:t>
            </w:r>
          </w:p>
        </w:tc>
        <w:tc>
          <w:tcPr>
            <w:tcW w:w="1417" w:type="dxa"/>
            <w:tcBorders>
              <w:top w:val="nil"/>
              <w:left w:val="nil"/>
              <w:bottom w:val="nil"/>
              <w:right w:val="nil"/>
            </w:tcBorders>
            <w:shd w:val="clear" w:color="auto" w:fill="auto"/>
            <w:noWrap/>
            <w:vAlign w:val="center"/>
          </w:tcPr>
          <w:p w14:paraId="5E7EAC3F"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1</w:t>
            </w:r>
          </w:p>
        </w:tc>
        <w:tc>
          <w:tcPr>
            <w:tcW w:w="1133" w:type="dxa"/>
            <w:tcBorders>
              <w:top w:val="nil"/>
              <w:left w:val="nil"/>
              <w:bottom w:val="nil"/>
              <w:right w:val="nil"/>
            </w:tcBorders>
            <w:shd w:val="clear" w:color="auto" w:fill="auto"/>
            <w:noWrap/>
            <w:vAlign w:val="center"/>
          </w:tcPr>
          <w:p w14:paraId="3CA2CDC5"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78</w:t>
            </w:r>
          </w:p>
        </w:tc>
        <w:tc>
          <w:tcPr>
            <w:tcW w:w="979" w:type="dxa"/>
            <w:tcBorders>
              <w:top w:val="nil"/>
              <w:left w:val="nil"/>
              <w:bottom w:val="nil"/>
              <w:right w:val="nil"/>
            </w:tcBorders>
            <w:shd w:val="clear" w:color="auto" w:fill="auto"/>
            <w:noWrap/>
            <w:vAlign w:val="center"/>
          </w:tcPr>
          <w:p w14:paraId="4CBCD316"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0.694</w:t>
            </w:r>
          </w:p>
        </w:tc>
        <w:tc>
          <w:tcPr>
            <w:tcW w:w="903" w:type="dxa"/>
            <w:tcBorders>
              <w:top w:val="nil"/>
              <w:left w:val="nil"/>
              <w:bottom w:val="nil"/>
              <w:right w:val="nil"/>
            </w:tcBorders>
            <w:shd w:val="clear" w:color="auto" w:fill="auto"/>
            <w:noWrap/>
            <w:vAlign w:val="center"/>
          </w:tcPr>
          <w:p w14:paraId="02FAC8A4"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0.407</w:t>
            </w:r>
          </w:p>
        </w:tc>
      </w:tr>
      <w:tr w:rsidR="00D56C02" w14:paraId="708EE675" w14:textId="77777777">
        <w:trPr>
          <w:trHeight w:val="330"/>
          <w:jc w:val="center"/>
        </w:trPr>
        <w:tc>
          <w:tcPr>
            <w:tcW w:w="2977" w:type="dxa"/>
            <w:tcBorders>
              <w:top w:val="nil"/>
              <w:left w:val="nil"/>
              <w:bottom w:val="nil"/>
              <w:right w:val="nil"/>
            </w:tcBorders>
            <w:shd w:val="clear" w:color="auto" w:fill="auto"/>
            <w:noWrap/>
            <w:vAlign w:val="center"/>
          </w:tcPr>
          <w:p w14:paraId="327C773D" w14:textId="77777777" w:rsidR="00D56C02" w:rsidRDefault="00000000">
            <w:pPr>
              <w:widowControl/>
              <w:spacing w:line="480" w:lineRule="auto"/>
              <w:jc w:val="left"/>
              <w:rPr>
                <w:rFonts w:ascii="Arial" w:hAnsi="Arial" w:cs="Arial"/>
                <w:i/>
                <w:iCs/>
                <w:kern w:val="0"/>
                <w:sz w:val="14"/>
                <w:szCs w:val="14"/>
              </w:rPr>
            </w:pPr>
            <w:r>
              <w:rPr>
                <w:rFonts w:ascii="Arial" w:hAnsi="Arial" w:cs="Arial"/>
                <w:i/>
                <w:iCs/>
                <w:kern w:val="0"/>
                <w:sz w:val="14"/>
                <w:szCs w:val="14"/>
                <w:lang w:bidi="ar"/>
              </w:rPr>
              <w:t>LRR air temperature</w:t>
            </w:r>
          </w:p>
        </w:tc>
        <w:tc>
          <w:tcPr>
            <w:tcW w:w="3119" w:type="dxa"/>
            <w:tcBorders>
              <w:top w:val="nil"/>
              <w:left w:val="nil"/>
              <w:bottom w:val="nil"/>
              <w:right w:val="nil"/>
            </w:tcBorders>
            <w:shd w:val="clear" w:color="auto" w:fill="auto"/>
            <w:noWrap/>
            <w:vAlign w:val="center"/>
          </w:tcPr>
          <w:p w14:paraId="6BF72F68"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MAT</w:t>
            </w:r>
          </w:p>
        </w:tc>
        <w:tc>
          <w:tcPr>
            <w:tcW w:w="1417" w:type="dxa"/>
            <w:tcBorders>
              <w:top w:val="nil"/>
              <w:left w:val="nil"/>
              <w:bottom w:val="nil"/>
              <w:right w:val="nil"/>
            </w:tcBorders>
            <w:shd w:val="clear" w:color="auto" w:fill="auto"/>
            <w:noWrap/>
            <w:vAlign w:val="center"/>
          </w:tcPr>
          <w:p w14:paraId="04E2973B"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1</w:t>
            </w:r>
          </w:p>
        </w:tc>
        <w:tc>
          <w:tcPr>
            <w:tcW w:w="1133" w:type="dxa"/>
            <w:tcBorders>
              <w:top w:val="nil"/>
              <w:left w:val="nil"/>
              <w:bottom w:val="nil"/>
              <w:right w:val="nil"/>
            </w:tcBorders>
            <w:shd w:val="clear" w:color="auto" w:fill="auto"/>
            <w:noWrap/>
            <w:vAlign w:val="center"/>
          </w:tcPr>
          <w:p w14:paraId="03D05C06"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78</w:t>
            </w:r>
          </w:p>
        </w:tc>
        <w:tc>
          <w:tcPr>
            <w:tcW w:w="979" w:type="dxa"/>
            <w:tcBorders>
              <w:top w:val="nil"/>
              <w:left w:val="nil"/>
              <w:bottom w:val="nil"/>
              <w:right w:val="nil"/>
            </w:tcBorders>
            <w:shd w:val="clear" w:color="auto" w:fill="auto"/>
            <w:noWrap/>
            <w:vAlign w:val="center"/>
          </w:tcPr>
          <w:p w14:paraId="6B66FE63"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0.001</w:t>
            </w:r>
          </w:p>
        </w:tc>
        <w:tc>
          <w:tcPr>
            <w:tcW w:w="903" w:type="dxa"/>
            <w:tcBorders>
              <w:top w:val="nil"/>
              <w:left w:val="nil"/>
              <w:bottom w:val="nil"/>
              <w:right w:val="nil"/>
            </w:tcBorders>
            <w:shd w:val="clear" w:color="auto" w:fill="auto"/>
            <w:noWrap/>
          </w:tcPr>
          <w:p w14:paraId="6939FC3F"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0.966</w:t>
            </w:r>
          </w:p>
        </w:tc>
      </w:tr>
      <w:tr w:rsidR="00D56C02" w14:paraId="6A5FAAEB" w14:textId="77777777">
        <w:trPr>
          <w:trHeight w:val="330"/>
          <w:jc w:val="center"/>
        </w:trPr>
        <w:tc>
          <w:tcPr>
            <w:tcW w:w="2977" w:type="dxa"/>
            <w:tcBorders>
              <w:top w:val="nil"/>
              <w:left w:val="nil"/>
              <w:bottom w:val="single" w:sz="12" w:space="0" w:color="000000"/>
              <w:right w:val="nil"/>
            </w:tcBorders>
            <w:shd w:val="clear" w:color="auto" w:fill="auto"/>
            <w:noWrap/>
            <w:vAlign w:val="center"/>
          </w:tcPr>
          <w:p w14:paraId="352C1416" w14:textId="77777777" w:rsidR="00D56C02" w:rsidRDefault="00000000">
            <w:pPr>
              <w:widowControl/>
              <w:spacing w:line="480" w:lineRule="auto"/>
              <w:jc w:val="left"/>
              <w:rPr>
                <w:rFonts w:ascii="Arial" w:hAnsi="Arial" w:cs="Arial"/>
                <w:i/>
                <w:iCs/>
                <w:kern w:val="0"/>
                <w:sz w:val="14"/>
                <w:szCs w:val="14"/>
                <w:lang w:bidi="ar"/>
              </w:rPr>
            </w:pPr>
            <w:r>
              <w:rPr>
                <w:rFonts w:ascii="Arial" w:hAnsi="Arial" w:cs="Arial"/>
                <w:i/>
                <w:iCs/>
                <w:kern w:val="0"/>
                <w:sz w:val="14"/>
                <w:szCs w:val="14"/>
                <w:lang w:bidi="ar"/>
              </w:rPr>
              <w:t>LRR air temperature</w:t>
            </w:r>
          </w:p>
        </w:tc>
        <w:tc>
          <w:tcPr>
            <w:tcW w:w="3119" w:type="dxa"/>
            <w:tcBorders>
              <w:top w:val="nil"/>
              <w:left w:val="nil"/>
              <w:bottom w:val="single" w:sz="12" w:space="0" w:color="000000"/>
              <w:right w:val="nil"/>
            </w:tcBorders>
            <w:shd w:val="clear" w:color="auto" w:fill="auto"/>
            <w:noWrap/>
            <w:vAlign w:val="center"/>
          </w:tcPr>
          <w:p w14:paraId="770B53F3" w14:textId="77777777" w:rsidR="00D56C02" w:rsidRDefault="00000000">
            <w:pPr>
              <w:widowControl/>
              <w:spacing w:line="480" w:lineRule="auto"/>
              <w:jc w:val="left"/>
              <w:rPr>
                <w:rFonts w:ascii="Arial" w:hAnsi="Arial" w:cs="Arial"/>
                <w:kern w:val="0"/>
                <w:sz w:val="14"/>
                <w:szCs w:val="14"/>
              </w:rPr>
            </w:pPr>
            <w:r>
              <w:rPr>
                <w:rFonts w:ascii="Arial" w:hAnsi="Arial" w:cs="Arial"/>
                <w:kern w:val="0"/>
                <w:sz w:val="14"/>
                <w:szCs w:val="14"/>
              </w:rPr>
              <w:t>MAP</w:t>
            </w:r>
          </w:p>
        </w:tc>
        <w:tc>
          <w:tcPr>
            <w:tcW w:w="1417" w:type="dxa"/>
            <w:tcBorders>
              <w:top w:val="nil"/>
              <w:left w:val="nil"/>
              <w:bottom w:val="single" w:sz="12" w:space="0" w:color="000000"/>
              <w:right w:val="nil"/>
            </w:tcBorders>
            <w:shd w:val="clear" w:color="auto" w:fill="auto"/>
            <w:noWrap/>
            <w:vAlign w:val="center"/>
          </w:tcPr>
          <w:p w14:paraId="08A087D1"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1</w:t>
            </w:r>
          </w:p>
        </w:tc>
        <w:tc>
          <w:tcPr>
            <w:tcW w:w="1133" w:type="dxa"/>
            <w:tcBorders>
              <w:top w:val="nil"/>
              <w:left w:val="nil"/>
              <w:bottom w:val="single" w:sz="12" w:space="0" w:color="000000"/>
              <w:right w:val="nil"/>
            </w:tcBorders>
            <w:shd w:val="clear" w:color="auto" w:fill="auto"/>
            <w:noWrap/>
            <w:vAlign w:val="center"/>
          </w:tcPr>
          <w:p w14:paraId="11871E31"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78</w:t>
            </w:r>
          </w:p>
        </w:tc>
        <w:tc>
          <w:tcPr>
            <w:tcW w:w="979" w:type="dxa"/>
            <w:tcBorders>
              <w:top w:val="nil"/>
              <w:left w:val="nil"/>
              <w:bottom w:val="single" w:sz="12" w:space="0" w:color="000000"/>
              <w:right w:val="nil"/>
            </w:tcBorders>
            <w:shd w:val="clear" w:color="auto" w:fill="auto"/>
            <w:noWrap/>
            <w:vAlign w:val="center"/>
          </w:tcPr>
          <w:p w14:paraId="079DF94C"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1.097</w:t>
            </w:r>
          </w:p>
        </w:tc>
        <w:tc>
          <w:tcPr>
            <w:tcW w:w="903" w:type="dxa"/>
            <w:tcBorders>
              <w:top w:val="nil"/>
              <w:left w:val="nil"/>
              <w:bottom w:val="single" w:sz="12" w:space="0" w:color="000000"/>
              <w:right w:val="nil"/>
            </w:tcBorders>
            <w:shd w:val="clear" w:color="auto" w:fill="auto"/>
            <w:noWrap/>
          </w:tcPr>
          <w:p w14:paraId="527194A0" w14:textId="77777777" w:rsidR="00D56C02" w:rsidRDefault="00000000">
            <w:pPr>
              <w:widowControl/>
              <w:spacing w:line="480" w:lineRule="auto"/>
              <w:jc w:val="center"/>
              <w:rPr>
                <w:rFonts w:ascii="Arial" w:hAnsi="Arial" w:cs="Arial"/>
                <w:kern w:val="0"/>
                <w:sz w:val="14"/>
                <w:szCs w:val="14"/>
              </w:rPr>
            </w:pPr>
            <w:r>
              <w:rPr>
                <w:rFonts w:ascii="Arial" w:hAnsi="Arial" w:cs="Arial"/>
                <w:kern w:val="0"/>
                <w:sz w:val="14"/>
                <w:szCs w:val="14"/>
              </w:rPr>
              <w:t>0.298</w:t>
            </w:r>
          </w:p>
        </w:tc>
      </w:tr>
    </w:tbl>
    <w:p w14:paraId="732CEFAE" w14:textId="77777777" w:rsidR="00D56C02" w:rsidRDefault="00D56C02">
      <w:pPr>
        <w:spacing w:line="480" w:lineRule="auto"/>
        <w:jc w:val="left"/>
        <w:rPr>
          <w:rStyle w:val="None"/>
          <w:rFonts w:cs="Times New Roman"/>
          <w:b/>
          <w:kern w:val="0"/>
          <w:szCs w:val="24"/>
        </w:rPr>
      </w:pPr>
    </w:p>
    <w:sectPr w:rsidR="00D56C02" w:rsidSect="00AE5B83">
      <w:pgSz w:w="11906" w:h="16838"/>
      <w:pgMar w:top="1440" w:right="1134" w:bottom="1440" w:left="1134" w:header="851" w:footer="992" w:gutter="0"/>
      <w:lnNumType w:countBy="1" w:restart="continuous"/>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0ECDD4" w14:textId="77777777" w:rsidR="00AE5B83" w:rsidRDefault="00AE5B83">
      <w:r>
        <w:separator/>
      </w:r>
    </w:p>
  </w:endnote>
  <w:endnote w:type="continuationSeparator" w:id="0">
    <w:p w14:paraId="0E122052" w14:textId="77777777" w:rsidR="00AE5B83" w:rsidRDefault="00AE5B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Arial Unicode MS">
    <w:altName w:val="Microsoft YaHei UI"/>
    <w:panose1 w:val="020B0604020202020204"/>
    <w:charset w:val="86"/>
    <w:family w:val="swiss"/>
    <w:pitch w:val="variable"/>
    <w:sig w:usb0="00000000"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299074"/>
    </w:sdtPr>
    <w:sdtContent>
      <w:sdt>
        <w:sdtPr>
          <w:id w:val="1728636285"/>
        </w:sdtPr>
        <w:sdtContent>
          <w:p w14:paraId="28E16564" w14:textId="77777777" w:rsidR="00D56C02" w:rsidRDefault="00000000">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44</w:t>
            </w:r>
            <w:r>
              <w:rPr>
                <w:b/>
                <w:bCs/>
                <w:sz w:val="24"/>
                <w:szCs w:val="24"/>
              </w:rPr>
              <w:fldChar w:fldCharType="end"/>
            </w:r>
          </w:p>
        </w:sdtContent>
      </w:sdt>
    </w:sdtContent>
  </w:sdt>
  <w:p w14:paraId="69FB848B" w14:textId="77777777" w:rsidR="00D56C02" w:rsidRDefault="00D56C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A9A9A0" w14:textId="77777777" w:rsidR="00AE5B83" w:rsidRDefault="00AE5B83">
      <w:r>
        <w:separator/>
      </w:r>
    </w:p>
  </w:footnote>
  <w:footnote w:type="continuationSeparator" w:id="0">
    <w:p w14:paraId="31C0EAE8" w14:textId="77777777" w:rsidR="00AE5B83" w:rsidRDefault="00AE5B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DC6C2B"/>
    <w:multiLevelType w:val="multilevel"/>
    <w:tmpl w:val="39DC6C2B"/>
    <w:lvl w:ilvl="0">
      <w:start w:val="1"/>
      <w:numFmt w:val="decimal"/>
      <w:pStyle w:val="ListParagraph"/>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18135225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IxtzQxNrUwMTWyNLdQ0lEKTi0uzszPAykwrgUA8DcapywAAAA="/>
    <w:docVar w:name="commondata" w:val="eyJoZGlkIjoiMGI0MTExY2ZlMDNhMGU0YTQwYzdhOWVmMWJhZjA5NTEifQ=="/>
    <w:docVar w:name="EN.InstantFormat" w:val="&lt;ENInstantFormat&gt;&lt;Enabled&gt;1&lt;/Enabled&gt;&lt;ScanUnformatted&gt;1&lt;/ScanUnformatted&gt;&lt;ScanChanges&gt;1&lt;/ScanChanges&gt;&lt;Suspended&gt;1&lt;/Suspended&gt;&lt;/ENInstantFormat&gt;"/>
    <w:docVar w:name="EN.Layout" w:val="&lt;ENLayout&gt;&lt;Style&gt;MHRA (Author-Dat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t22rxs0mr9p2serdsqp2zx5pvr55sw00saf&quot;&gt;My EndNote Library&lt;record-ids&gt;&lt;item&gt;3&lt;/item&gt;&lt;item&gt;5&lt;/item&gt;&lt;item&gt;7&lt;/item&gt;&lt;item&gt;9&lt;/item&gt;&lt;item&gt;10&lt;/item&gt;&lt;item&gt;12&lt;/item&gt;&lt;item&gt;13&lt;/item&gt;&lt;item&gt;14&lt;/item&gt;&lt;item&gt;15&lt;/item&gt;&lt;item&gt;16&lt;/item&gt;&lt;item&gt;18&lt;/item&gt;&lt;item&gt;19&lt;/item&gt;&lt;item&gt;20&lt;/item&gt;&lt;item&gt;21&lt;/item&gt;&lt;item&gt;22&lt;/item&gt;&lt;item&gt;23&lt;/item&gt;&lt;item&gt;24&lt;/item&gt;&lt;item&gt;28&lt;/item&gt;&lt;item&gt;29&lt;/item&gt;&lt;item&gt;30&lt;/item&gt;&lt;item&gt;158&lt;/item&gt;&lt;item&gt;159&lt;/item&gt;&lt;item&gt;160&lt;/item&gt;&lt;item&gt;161&lt;/item&gt;&lt;item&gt;162&lt;/item&gt;&lt;item&gt;163&lt;/item&gt;&lt;item&gt;164&lt;/item&gt;&lt;item&gt;166&lt;/item&gt;&lt;item&gt;167&lt;/item&gt;&lt;item&gt;168&lt;/item&gt;&lt;item&gt;169&lt;/item&gt;&lt;item&gt;170&lt;/item&gt;&lt;item&gt;171&lt;/item&gt;&lt;item&gt;172&lt;/item&gt;&lt;item&gt;173&lt;/item&gt;&lt;item&gt;174&lt;/item&gt;&lt;item&gt;175&lt;/item&gt;&lt;item&gt;176&lt;/item&gt;&lt;item&gt;177&lt;/item&gt;&lt;item&gt;181&lt;/item&gt;&lt;item&gt;182&lt;/item&gt;&lt;item&gt;212&lt;/item&gt;&lt;item&gt;228&lt;/item&gt;&lt;item&gt;229&lt;/item&gt;&lt;item&gt;230&lt;/item&gt;&lt;item&gt;231&lt;/item&gt;&lt;item&gt;232&lt;/item&gt;&lt;item&gt;236&lt;/item&gt;&lt;item&gt;238&lt;/item&gt;&lt;item&gt;239&lt;/item&gt;&lt;item&gt;240&lt;/item&gt;&lt;item&gt;241&lt;/item&gt;&lt;item&gt;242&lt;/item&gt;&lt;item&gt;243&lt;/item&gt;&lt;item&gt;246&lt;/item&gt;&lt;item&gt;248&lt;/item&gt;&lt;item&gt;249&lt;/item&gt;&lt;item&gt;250&lt;/item&gt;&lt;item&gt;251&lt;/item&gt;&lt;item&gt;253&lt;/item&gt;&lt;item&gt;254&lt;/item&gt;&lt;item&gt;255&lt;/item&gt;&lt;item&gt;257&lt;/item&gt;&lt;item&gt;258&lt;/item&gt;&lt;item&gt;260&lt;/item&gt;&lt;item&gt;261&lt;/item&gt;&lt;item&gt;264&lt;/item&gt;&lt;item&gt;266&lt;/item&gt;&lt;item&gt;267&lt;/item&gt;&lt;item&gt;268&lt;/item&gt;&lt;item&gt;269&lt;/item&gt;&lt;item&gt;270&lt;/item&gt;&lt;item&gt;271&lt;/item&gt;&lt;item&gt;272&lt;/item&gt;&lt;item&gt;273&lt;/item&gt;&lt;item&gt;274&lt;/item&gt;&lt;item&gt;275&lt;/item&gt;&lt;item&gt;276&lt;/item&gt;&lt;item&gt;279&lt;/item&gt;&lt;/record-ids&gt;&lt;/item&gt;&lt;/Libraries&gt;"/>
  </w:docVars>
  <w:rsids>
    <w:rsidRoot w:val="005F6C85"/>
    <w:rsid w:val="0000345C"/>
    <w:rsid w:val="00004BC1"/>
    <w:rsid w:val="000055F9"/>
    <w:rsid w:val="00005719"/>
    <w:rsid w:val="00006D98"/>
    <w:rsid w:val="00010529"/>
    <w:rsid w:val="000110D3"/>
    <w:rsid w:val="000121A1"/>
    <w:rsid w:val="00012F8B"/>
    <w:rsid w:val="00014A02"/>
    <w:rsid w:val="0001546C"/>
    <w:rsid w:val="00015CFB"/>
    <w:rsid w:val="000161E4"/>
    <w:rsid w:val="00016604"/>
    <w:rsid w:val="00016C6F"/>
    <w:rsid w:val="000178CB"/>
    <w:rsid w:val="00017E47"/>
    <w:rsid w:val="000203ED"/>
    <w:rsid w:val="0002044D"/>
    <w:rsid w:val="00020D53"/>
    <w:rsid w:val="00021820"/>
    <w:rsid w:val="00021BE3"/>
    <w:rsid w:val="00022CFF"/>
    <w:rsid w:val="0002324D"/>
    <w:rsid w:val="00023611"/>
    <w:rsid w:val="000245D1"/>
    <w:rsid w:val="00026824"/>
    <w:rsid w:val="0002688E"/>
    <w:rsid w:val="00026C56"/>
    <w:rsid w:val="00027DAF"/>
    <w:rsid w:val="00030992"/>
    <w:rsid w:val="00032347"/>
    <w:rsid w:val="00032783"/>
    <w:rsid w:val="00032AB7"/>
    <w:rsid w:val="00032D63"/>
    <w:rsid w:val="00033505"/>
    <w:rsid w:val="000353FF"/>
    <w:rsid w:val="00035A33"/>
    <w:rsid w:val="00035B79"/>
    <w:rsid w:val="00035D91"/>
    <w:rsid w:val="00037180"/>
    <w:rsid w:val="00037318"/>
    <w:rsid w:val="00037E13"/>
    <w:rsid w:val="000400D7"/>
    <w:rsid w:val="000404C7"/>
    <w:rsid w:val="0004163D"/>
    <w:rsid w:val="000420ED"/>
    <w:rsid w:val="0004432C"/>
    <w:rsid w:val="000447FE"/>
    <w:rsid w:val="00044E5D"/>
    <w:rsid w:val="00045190"/>
    <w:rsid w:val="00045453"/>
    <w:rsid w:val="00045F57"/>
    <w:rsid w:val="00047509"/>
    <w:rsid w:val="00047F84"/>
    <w:rsid w:val="00051B61"/>
    <w:rsid w:val="00053023"/>
    <w:rsid w:val="00053AFD"/>
    <w:rsid w:val="00054A1C"/>
    <w:rsid w:val="000551BD"/>
    <w:rsid w:val="0005569A"/>
    <w:rsid w:val="000559B5"/>
    <w:rsid w:val="00056A4E"/>
    <w:rsid w:val="00057FE6"/>
    <w:rsid w:val="00062DC3"/>
    <w:rsid w:val="000636A6"/>
    <w:rsid w:val="00064966"/>
    <w:rsid w:val="00065B92"/>
    <w:rsid w:val="000676BA"/>
    <w:rsid w:val="00067B51"/>
    <w:rsid w:val="00070759"/>
    <w:rsid w:val="0007534E"/>
    <w:rsid w:val="00075882"/>
    <w:rsid w:val="0007649B"/>
    <w:rsid w:val="00076ECE"/>
    <w:rsid w:val="000777F8"/>
    <w:rsid w:val="00077935"/>
    <w:rsid w:val="000779D7"/>
    <w:rsid w:val="000809D6"/>
    <w:rsid w:val="000865BE"/>
    <w:rsid w:val="00086C2B"/>
    <w:rsid w:val="00086C55"/>
    <w:rsid w:val="00087508"/>
    <w:rsid w:val="000911D1"/>
    <w:rsid w:val="00091306"/>
    <w:rsid w:val="00091F5B"/>
    <w:rsid w:val="0009317E"/>
    <w:rsid w:val="0009381F"/>
    <w:rsid w:val="0009401C"/>
    <w:rsid w:val="00094837"/>
    <w:rsid w:val="00094CBC"/>
    <w:rsid w:val="000977CC"/>
    <w:rsid w:val="000A18A9"/>
    <w:rsid w:val="000A29D1"/>
    <w:rsid w:val="000A3989"/>
    <w:rsid w:val="000A539A"/>
    <w:rsid w:val="000A59A6"/>
    <w:rsid w:val="000A5DC7"/>
    <w:rsid w:val="000A5F7F"/>
    <w:rsid w:val="000A6587"/>
    <w:rsid w:val="000A680E"/>
    <w:rsid w:val="000A6B77"/>
    <w:rsid w:val="000B0363"/>
    <w:rsid w:val="000B07EC"/>
    <w:rsid w:val="000B0DEF"/>
    <w:rsid w:val="000B0E39"/>
    <w:rsid w:val="000B17BE"/>
    <w:rsid w:val="000B2032"/>
    <w:rsid w:val="000B288B"/>
    <w:rsid w:val="000B3951"/>
    <w:rsid w:val="000B464E"/>
    <w:rsid w:val="000B4737"/>
    <w:rsid w:val="000C0C1F"/>
    <w:rsid w:val="000C2C51"/>
    <w:rsid w:val="000C2DFC"/>
    <w:rsid w:val="000C4B59"/>
    <w:rsid w:val="000C54FD"/>
    <w:rsid w:val="000C5F62"/>
    <w:rsid w:val="000C7C2E"/>
    <w:rsid w:val="000D0134"/>
    <w:rsid w:val="000D0935"/>
    <w:rsid w:val="000D1D9D"/>
    <w:rsid w:val="000D2FAA"/>
    <w:rsid w:val="000D4009"/>
    <w:rsid w:val="000D4C4E"/>
    <w:rsid w:val="000D7E06"/>
    <w:rsid w:val="000D7F6F"/>
    <w:rsid w:val="000E0238"/>
    <w:rsid w:val="000E0B0E"/>
    <w:rsid w:val="000E0E32"/>
    <w:rsid w:val="000E1194"/>
    <w:rsid w:val="000E2583"/>
    <w:rsid w:val="000E46D2"/>
    <w:rsid w:val="000E5CCC"/>
    <w:rsid w:val="000E600C"/>
    <w:rsid w:val="000E6151"/>
    <w:rsid w:val="000E7AE3"/>
    <w:rsid w:val="000F09AB"/>
    <w:rsid w:val="000F0B38"/>
    <w:rsid w:val="000F1E33"/>
    <w:rsid w:val="000F245A"/>
    <w:rsid w:val="000F271F"/>
    <w:rsid w:val="000F273B"/>
    <w:rsid w:val="000F399D"/>
    <w:rsid w:val="000F5276"/>
    <w:rsid w:val="000F6D68"/>
    <w:rsid w:val="00100CB0"/>
    <w:rsid w:val="00101131"/>
    <w:rsid w:val="00101D93"/>
    <w:rsid w:val="00102094"/>
    <w:rsid w:val="00103DFC"/>
    <w:rsid w:val="00104B12"/>
    <w:rsid w:val="001053D5"/>
    <w:rsid w:val="0010599D"/>
    <w:rsid w:val="00106B71"/>
    <w:rsid w:val="00107FA5"/>
    <w:rsid w:val="00110796"/>
    <w:rsid w:val="0011124B"/>
    <w:rsid w:val="001113F5"/>
    <w:rsid w:val="00111D9A"/>
    <w:rsid w:val="00112472"/>
    <w:rsid w:val="00112637"/>
    <w:rsid w:val="001156C6"/>
    <w:rsid w:val="0011710E"/>
    <w:rsid w:val="00117D76"/>
    <w:rsid w:val="00120129"/>
    <w:rsid w:val="00123356"/>
    <w:rsid w:val="00123675"/>
    <w:rsid w:val="00123B5A"/>
    <w:rsid w:val="00124668"/>
    <w:rsid w:val="00125949"/>
    <w:rsid w:val="00126BF5"/>
    <w:rsid w:val="00127219"/>
    <w:rsid w:val="00127927"/>
    <w:rsid w:val="0013035B"/>
    <w:rsid w:val="001313CD"/>
    <w:rsid w:val="0013158E"/>
    <w:rsid w:val="00131B91"/>
    <w:rsid w:val="00131EFF"/>
    <w:rsid w:val="00132229"/>
    <w:rsid w:val="00133BCA"/>
    <w:rsid w:val="00134659"/>
    <w:rsid w:val="00134CFD"/>
    <w:rsid w:val="00135FF8"/>
    <w:rsid w:val="00136E14"/>
    <w:rsid w:val="00137750"/>
    <w:rsid w:val="001411D8"/>
    <w:rsid w:val="00141224"/>
    <w:rsid w:val="00141F36"/>
    <w:rsid w:val="00142316"/>
    <w:rsid w:val="0014354C"/>
    <w:rsid w:val="00143C81"/>
    <w:rsid w:val="00144326"/>
    <w:rsid w:val="001454FA"/>
    <w:rsid w:val="001470D2"/>
    <w:rsid w:val="001502C6"/>
    <w:rsid w:val="00150876"/>
    <w:rsid w:val="001512C2"/>
    <w:rsid w:val="00151FEB"/>
    <w:rsid w:val="001523A6"/>
    <w:rsid w:val="001533CC"/>
    <w:rsid w:val="00155D6F"/>
    <w:rsid w:val="001562C4"/>
    <w:rsid w:val="00157651"/>
    <w:rsid w:val="00157E41"/>
    <w:rsid w:val="001619A7"/>
    <w:rsid w:val="00163446"/>
    <w:rsid w:val="00164FE2"/>
    <w:rsid w:val="00167AF1"/>
    <w:rsid w:val="00173797"/>
    <w:rsid w:val="00173A3A"/>
    <w:rsid w:val="00174734"/>
    <w:rsid w:val="00174A4A"/>
    <w:rsid w:val="001752DF"/>
    <w:rsid w:val="00175C2A"/>
    <w:rsid w:val="00176A18"/>
    <w:rsid w:val="00176FD7"/>
    <w:rsid w:val="0017736F"/>
    <w:rsid w:val="0017789C"/>
    <w:rsid w:val="00177DE5"/>
    <w:rsid w:val="00180382"/>
    <w:rsid w:val="00183CA9"/>
    <w:rsid w:val="00184824"/>
    <w:rsid w:val="001856E0"/>
    <w:rsid w:val="001874A9"/>
    <w:rsid w:val="00191BA4"/>
    <w:rsid w:val="00195B0C"/>
    <w:rsid w:val="00196DE9"/>
    <w:rsid w:val="00197334"/>
    <w:rsid w:val="001A0637"/>
    <w:rsid w:val="001A0DD6"/>
    <w:rsid w:val="001A17FD"/>
    <w:rsid w:val="001A2143"/>
    <w:rsid w:val="001A3A61"/>
    <w:rsid w:val="001A3AB3"/>
    <w:rsid w:val="001A3B90"/>
    <w:rsid w:val="001A443D"/>
    <w:rsid w:val="001A5AF9"/>
    <w:rsid w:val="001A6266"/>
    <w:rsid w:val="001A6275"/>
    <w:rsid w:val="001A654F"/>
    <w:rsid w:val="001B02AE"/>
    <w:rsid w:val="001B0B59"/>
    <w:rsid w:val="001B1DA9"/>
    <w:rsid w:val="001B3880"/>
    <w:rsid w:val="001B38A9"/>
    <w:rsid w:val="001B520C"/>
    <w:rsid w:val="001B646B"/>
    <w:rsid w:val="001B72BF"/>
    <w:rsid w:val="001B780A"/>
    <w:rsid w:val="001C0EF3"/>
    <w:rsid w:val="001C1051"/>
    <w:rsid w:val="001C1444"/>
    <w:rsid w:val="001C1718"/>
    <w:rsid w:val="001C41AC"/>
    <w:rsid w:val="001C49FD"/>
    <w:rsid w:val="001C68FC"/>
    <w:rsid w:val="001C6E35"/>
    <w:rsid w:val="001C7242"/>
    <w:rsid w:val="001D19FC"/>
    <w:rsid w:val="001D33FA"/>
    <w:rsid w:val="001D4C26"/>
    <w:rsid w:val="001D544B"/>
    <w:rsid w:val="001D5870"/>
    <w:rsid w:val="001D5C92"/>
    <w:rsid w:val="001D5D6D"/>
    <w:rsid w:val="001D7411"/>
    <w:rsid w:val="001E438A"/>
    <w:rsid w:val="001E47B1"/>
    <w:rsid w:val="001E5C3E"/>
    <w:rsid w:val="001E64A2"/>
    <w:rsid w:val="001F0F84"/>
    <w:rsid w:val="001F1D17"/>
    <w:rsid w:val="001F2B73"/>
    <w:rsid w:val="001F5403"/>
    <w:rsid w:val="001F55F8"/>
    <w:rsid w:val="001F6AA4"/>
    <w:rsid w:val="001F7B81"/>
    <w:rsid w:val="00202412"/>
    <w:rsid w:val="002050F1"/>
    <w:rsid w:val="002052B3"/>
    <w:rsid w:val="00205A8D"/>
    <w:rsid w:val="00206E2B"/>
    <w:rsid w:val="002076EB"/>
    <w:rsid w:val="00207B77"/>
    <w:rsid w:val="00211164"/>
    <w:rsid w:val="0021253E"/>
    <w:rsid w:val="00213390"/>
    <w:rsid w:val="00213460"/>
    <w:rsid w:val="00214519"/>
    <w:rsid w:val="00214A94"/>
    <w:rsid w:val="00215226"/>
    <w:rsid w:val="002153B3"/>
    <w:rsid w:val="002158FA"/>
    <w:rsid w:val="00216EB7"/>
    <w:rsid w:val="00217511"/>
    <w:rsid w:val="002205C3"/>
    <w:rsid w:val="00221188"/>
    <w:rsid w:val="00222081"/>
    <w:rsid w:val="0022395F"/>
    <w:rsid w:val="00223C01"/>
    <w:rsid w:val="0022491F"/>
    <w:rsid w:val="002271D0"/>
    <w:rsid w:val="00227B2C"/>
    <w:rsid w:val="00231437"/>
    <w:rsid w:val="00232A11"/>
    <w:rsid w:val="00232F7A"/>
    <w:rsid w:val="00236263"/>
    <w:rsid w:val="00236E60"/>
    <w:rsid w:val="002371EE"/>
    <w:rsid w:val="002427C2"/>
    <w:rsid w:val="002446EA"/>
    <w:rsid w:val="0024482B"/>
    <w:rsid w:val="00244D59"/>
    <w:rsid w:val="00245BBF"/>
    <w:rsid w:val="0025099F"/>
    <w:rsid w:val="002528AE"/>
    <w:rsid w:val="0025445D"/>
    <w:rsid w:val="0025465D"/>
    <w:rsid w:val="002553CE"/>
    <w:rsid w:val="00255895"/>
    <w:rsid w:val="00256701"/>
    <w:rsid w:val="00256C1E"/>
    <w:rsid w:val="002616E8"/>
    <w:rsid w:val="00262E34"/>
    <w:rsid w:val="00264CEA"/>
    <w:rsid w:val="002655C4"/>
    <w:rsid w:val="00266C44"/>
    <w:rsid w:val="0026714E"/>
    <w:rsid w:val="002710E6"/>
    <w:rsid w:val="00273EB4"/>
    <w:rsid w:val="002744F5"/>
    <w:rsid w:val="00277946"/>
    <w:rsid w:val="00280750"/>
    <w:rsid w:val="00281578"/>
    <w:rsid w:val="002831A6"/>
    <w:rsid w:val="00286AD9"/>
    <w:rsid w:val="00286D49"/>
    <w:rsid w:val="002872ED"/>
    <w:rsid w:val="00287B85"/>
    <w:rsid w:val="002905AE"/>
    <w:rsid w:val="00291694"/>
    <w:rsid w:val="0029352E"/>
    <w:rsid w:val="0029393A"/>
    <w:rsid w:val="002966CC"/>
    <w:rsid w:val="002A03BD"/>
    <w:rsid w:val="002A056F"/>
    <w:rsid w:val="002A28FF"/>
    <w:rsid w:val="002A37C1"/>
    <w:rsid w:val="002A42D9"/>
    <w:rsid w:val="002A4590"/>
    <w:rsid w:val="002A4EFB"/>
    <w:rsid w:val="002A7A49"/>
    <w:rsid w:val="002B13F6"/>
    <w:rsid w:val="002B269B"/>
    <w:rsid w:val="002B2AB5"/>
    <w:rsid w:val="002B2BCD"/>
    <w:rsid w:val="002B2CAB"/>
    <w:rsid w:val="002B4757"/>
    <w:rsid w:val="002B4A32"/>
    <w:rsid w:val="002B614D"/>
    <w:rsid w:val="002B68A4"/>
    <w:rsid w:val="002B6F3E"/>
    <w:rsid w:val="002B73F5"/>
    <w:rsid w:val="002B7F7B"/>
    <w:rsid w:val="002C06F7"/>
    <w:rsid w:val="002C5B9F"/>
    <w:rsid w:val="002C6E52"/>
    <w:rsid w:val="002C6F94"/>
    <w:rsid w:val="002C7887"/>
    <w:rsid w:val="002D07B4"/>
    <w:rsid w:val="002D0AA9"/>
    <w:rsid w:val="002D0EBE"/>
    <w:rsid w:val="002D2129"/>
    <w:rsid w:val="002D4457"/>
    <w:rsid w:val="002D522D"/>
    <w:rsid w:val="002D57A7"/>
    <w:rsid w:val="002D69FA"/>
    <w:rsid w:val="002E0F6F"/>
    <w:rsid w:val="002F156C"/>
    <w:rsid w:val="002F1B97"/>
    <w:rsid w:val="002F2498"/>
    <w:rsid w:val="002F2949"/>
    <w:rsid w:val="002F319D"/>
    <w:rsid w:val="002F37A3"/>
    <w:rsid w:val="002F4FB1"/>
    <w:rsid w:val="002F5A19"/>
    <w:rsid w:val="002F635D"/>
    <w:rsid w:val="002F6929"/>
    <w:rsid w:val="002F7840"/>
    <w:rsid w:val="002F7B9C"/>
    <w:rsid w:val="002F7E79"/>
    <w:rsid w:val="003003B1"/>
    <w:rsid w:val="00300FF2"/>
    <w:rsid w:val="00302F8A"/>
    <w:rsid w:val="0030459B"/>
    <w:rsid w:val="00306085"/>
    <w:rsid w:val="003100DD"/>
    <w:rsid w:val="00310EA5"/>
    <w:rsid w:val="00312936"/>
    <w:rsid w:val="00313C63"/>
    <w:rsid w:val="00313D18"/>
    <w:rsid w:val="00314475"/>
    <w:rsid w:val="0031501D"/>
    <w:rsid w:val="00315029"/>
    <w:rsid w:val="00315713"/>
    <w:rsid w:val="00315920"/>
    <w:rsid w:val="00316976"/>
    <w:rsid w:val="0031700D"/>
    <w:rsid w:val="00320233"/>
    <w:rsid w:val="0032138E"/>
    <w:rsid w:val="00321B47"/>
    <w:rsid w:val="00322168"/>
    <w:rsid w:val="00323534"/>
    <w:rsid w:val="00324D55"/>
    <w:rsid w:val="003263EA"/>
    <w:rsid w:val="00326FC4"/>
    <w:rsid w:val="00330020"/>
    <w:rsid w:val="003304A4"/>
    <w:rsid w:val="003313F3"/>
    <w:rsid w:val="00332612"/>
    <w:rsid w:val="0033291B"/>
    <w:rsid w:val="00332994"/>
    <w:rsid w:val="00333014"/>
    <w:rsid w:val="00334131"/>
    <w:rsid w:val="0033550B"/>
    <w:rsid w:val="00337FD6"/>
    <w:rsid w:val="00341882"/>
    <w:rsid w:val="00343778"/>
    <w:rsid w:val="00345BDD"/>
    <w:rsid w:val="00346EA1"/>
    <w:rsid w:val="00347991"/>
    <w:rsid w:val="00350AD0"/>
    <w:rsid w:val="003524A2"/>
    <w:rsid w:val="00354A27"/>
    <w:rsid w:val="00357F80"/>
    <w:rsid w:val="00360C43"/>
    <w:rsid w:val="003619B1"/>
    <w:rsid w:val="00361EAF"/>
    <w:rsid w:val="00362104"/>
    <w:rsid w:val="0036212F"/>
    <w:rsid w:val="00363D92"/>
    <w:rsid w:val="003643BB"/>
    <w:rsid w:val="003646D3"/>
    <w:rsid w:val="003663E0"/>
    <w:rsid w:val="00367162"/>
    <w:rsid w:val="0036771B"/>
    <w:rsid w:val="00372DC7"/>
    <w:rsid w:val="00376A4D"/>
    <w:rsid w:val="00377501"/>
    <w:rsid w:val="00377D7A"/>
    <w:rsid w:val="0038056C"/>
    <w:rsid w:val="0038219A"/>
    <w:rsid w:val="003829DA"/>
    <w:rsid w:val="003832E8"/>
    <w:rsid w:val="0038337B"/>
    <w:rsid w:val="003841A6"/>
    <w:rsid w:val="0038432F"/>
    <w:rsid w:val="00386651"/>
    <w:rsid w:val="00387348"/>
    <w:rsid w:val="00387DD3"/>
    <w:rsid w:val="0039050B"/>
    <w:rsid w:val="00393092"/>
    <w:rsid w:val="00395143"/>
    <w:rsid w:val="00396B45"/>
    <w:rsid w:val="00397934"/>
    <w:rsid w:val="00397956"/>
    <w:rsid w:val="00397C58"/>
    <w:rsid w:val="003A011C"/>
    <w:rsid w:val="003A1C5B"/>
    <w:rsid w:val="003A1F1A"/>
    <w:rsid w:val="003A3C9F"/>
    <w:rsid w:val="003A4C43"/>
    <w:rsid w:val="003A4EB4"/>
    <w:rsid w:val="003A5C22"/>
    <w:rsid w:val="003A5EAD"/>
    <w:rsid w:val="003A628E"/>
    <w:rsid w:val="003A6902"/>
    <w:rsid w:val="003A72A0"/>
    <w:rsid w:val="003A731D"/>
    <w:rsid w:val="003B2D04"/>
    <w:rsid w:val="003B30FE"/>
    <w:rsid w:val="003B3EC9"/>
    <w:rsid w:val="003B43E9"/>
    <w:rsid w:val="003B4ADC"/>
    <w:rsid w:val="003B5FFB"/>
    <w:rsid w:val="003C0529"/>
    <w:rsid w:val="003C0B66"/>
    <w:rsid w:val="003C1706"/>
    <w:rsid w:val="003C4514"/>
    <w:rsid w:val="003C4576"/>
    <w:rsid w:val="003C4817"/>
    <w:rsid w:val="003C50AD"/>
    <w:rsid w:val="003C6605"/>
    <w:rsid w:val="003D0D41"/>
    <w:rsid w:val="003D14BE"/>
    <w:rsid w:val="003D1C3E"/>
    <w:rsid w:val="003D4D88"/>
    <w:rsid w:val="003D59C4"/>
    <w:rsid w:val="003D6A01"/>
    <w:rsid w:val="003E04BB"/>
    <w:rsid w:val="003E1786"/>
    <w:rsid w:val="003E1E5B"/>
    <w:rsid w:val="003E24F1"/>
    <w:rsid w:val="003E3CE9"/>
    <w:rsid w:val="003E4CE4"/>
    <w:rsid w:val="003E582B"/>
    <w:rsid w:val="003E6D78"/>
    <w:rsid w:val="003E7534"/>
    <w:rsid w:val="003E7B3D"/>
    <w:rsid w:val="003F0546"/>
    <w:rsid w:val="003F1563"/>
    <w:rsid w:val="003F2723"/>
    <w:rsid w:val="003F30B8"/>
    <w:rsid w:val="003F4302"/>
    <w:rsid w:val="003F431D"/>
    <w:rsid w:val="003F55C9"/>
    <w:rsid w:val="003F5DC6"/>
    <w:rsid w:val="003F6A16"/>
    <w:rsid w:val="003F6FB6"/>
    <w:rsid w:val="003F7DEC"/>
    <w:rsid w:val="003F7FB7"/>
    <w:rsid w:val="0040216C"/>
    <w:rsid w:val="00402532"/>
    <w:rsid w:val="004031EE"/>
    <w:rsid w:val="004106F4"/>
    <w:rsid w:val="004110C5"/>
    <w:rsid w:val="004112F4"/>
    <w:rsid w:val="0041186F"/>
    <w:rsid w:val="00411ACA"/>
    <w:rsid w:val="00412B6A"/>
    <w:rsid w:val="00415575"/>
    <w:rsid w:val="00416AC0"/>
    <w:rsid w:val="004206C2"/>
    <w:rsid w:val="00421D82"/>
    <w:rsid w:val="004248AD"/>
    <w:rsid w:val="00424C19"/>
    <w:rsid w:val="0042678B"/>
    <w:rsid w:val="004311C3"/>
    <w:rsid w:val="00435557"/>
    <w:rsid w:val="00435BDE"/>
    <w:rsid w:val="00436216"/>
    <w:rsid w:val="0043639E"/>
    <w:rsid w:val="00437528"/>
    <w:rsid w:val="004376D9"/>
    <w:rsid w:val="00437C9C"/>
    <w:rsid w:val="0044006B"/>
    <w:rsid w:val="00440939"/>
    <w:rsid w:val="00441642"/>
    <w:rsid w:val="00441F93"/>
    <w:rsid w:val="00442773"/>
    <w:rsid w:val="00445042"/>
    <w:rsid w:val="00445CA2"/>
    <w:rsid w:val="00451767"/>
    <w:rsid w:val="0045177A"/>
    <w:rsid w:val="00452299"/>
    <w:rsid w:val="00452B56"/>
    <w:rsid w:val="004533D8"/>
    <w:rsid w:val="004539DE"/>
    <w:rsid w:val="00455D5C"/>
    <w:rsid w:val="0045703F"/>
    <w:rsid w:val="004579AC"/>
    <w:rsid w:val="00457B74"/>
    <w:rsid w:val="00457CAE"/>
    <w:rsid w:val="00460A52"/>
    <w:rsid w:val="004612D2"/>
    <w:rsid w:val="004613BF"/>
    <w:rsid w:val="0046263E"/>
    <w:rsid w:val="004627C0"/>
    <w:rsid w:val="00462AEF"/>
    <w:rsid w:val="004632B6"/>
    <w:rsid w:val="004636D5"/>
    <w:rsid w:val="0046419F"/>
    <w:rsid w:val="00465B7D"/>
    <w:rsid w:val="004663EE"/>
    <w:rsid w:val="0047026D"/>
    <w:rsid w:val="00470831"/>
    <w:rsid w:val="004710DD"/>
    <w:rsid w:val="00471558"/>
    <w:rsid w:val="0047257B"/>
    <w:rsid w:val="004728A9"/>
    <w:rsid w:val="004748FE"/>
    <w:rsid w:val="00476A17"/>
    <w:rsid w:val="004772B5"/>
    <w:rsid w:val="00477E73"/>
    <w:rsid w:val="00481415"/>
    <w:rsid w:val="00481B56"/>
    <w:rsid w:val="004820B5"/>
    <w:rsid w:val="0048246A"/>
    <w:rsid w:val="00482C05"/>
    <w:rsid w:val="004830CE"/>
    <w:rsid w:val="0048399B"/>
    <w:rsid w:val="00484338"/>
    <w:rsid w:val="00484800"/>
    <w:rsid w:val="0048539B"/>
    <w:rsid w:val="00485C68"/>
    <w:rsid w:val="00485E5A"/>
    <w:rsid w:val="00486678"/>
    <w:rsid w:val="00487B83"/>
    <w:rsid w:val="00487F71"/>
    <w:rsid w:val="00491005"/>
    <w:rsid w:val="00491103"/>
    <w:rsid w:val="00492F4F"/>
    <w:rsid w:val="00493FEB"/>
    <w:rsid w:val="004943D1"/>
    <w:rsid w:val="00494BA8"/>
    <w:rsid w:val="00495578"/>
    <w:rsid w:val="00495C4F"/>
    <w:rsid w:val="00497036"/>
    <w:rsid w:val="004976FD"/>
    <w:rsid w:val="004A045A"/>
    <w:rsid w:val="004A295D"/>
    <w:rsid w:val="004A299A"/>
    <w:rsid w:val="004A307F"/>
    <w:rsid w:val="004A398B"/>
    <w:rsid w:val="004A4AB4"/>
    <w:rsid w:val="004A4E69"/>
    <w:rsid w:val="004B049E"/>
    <w:rsid w:val="004B04BE"/>
    <w:rsid w:val="004B063A"/>
    <w:rsid w:val="004B3217"/>
    <w:rsid w:val="004B3FE0"/>
    <w:rsid w:val="004B7C57"/>
    <w:rsid w:val="004C2EB5"/>
    <w:rsid w:val="004C51C5"/>
    <w:rsid w:val="004C56B9"/>
    <w:rsid w:val="004C5943"/>
    <w:rsid w:val="004C5A22"/>
    <w:rsid w:val="004C6432"/>
    <w:rsid w:val="004C6FA3"/>
    <w:rsid w:val="004C7684"/>
    <w:rsid w:val="004D0100"/>
    <w:rsid w:val="004D02AC"/>
    <w:rsid w:val="004D0C06"/>
    <w:rsid w:val="004D1D7B"/>
    <w:rsid w:val="004D4AC2"/>
    <w:rsid w:val="004D4B78"/>
    <w:rsid w:val="004D4BE1"/>
    <w:rsid w:val="004D735E"/>
    <w:rsid w:val="004D7A7F"/>
    <w:rsid w:val="004E0730"/>
    <w:rsid w:val="004E17DA"/>
    <w:rsid w:val="004E1923"/>
    <w:rsid w:val="004E2F76"/>
    <w:rsid w:val="004E3391"/>
    <w:rsid w:val="004E33FC"/>
    <w:rsid w:val="004E457D"/>
    <w:rsid w:val="004E46E8"/>
    <w:rsid w:val="004E4C2C"/>
    <w:rsid w:val="004E7B85"/>
    <w:rsid w:val="004F08C1"/>
    <w:rsid w:val="004F2F03"/>
    <w:rsid w:val="004F3448"/>
    <w:rsid w:val="004F4600"/>
    <w:rsid w:val="004F4EED"/>
    <w:rsid w:val="004F4F9B"/>
    <w:rsid w:val="004F542E"/>
    <w:rsid w:val="004F764C"/>
    <w:rsid w:val="00500F77"/>
    <w:rsid w:val="00503783"/>
    <w:rsid w:val="00503F1E"/>
    <w:rsid w:val="00505631"/>
    <w:rsid w:val="005057B8"/>
    <w:rsid w:val="005065C7"/>
    <w:rsid w:val="00507705"/>
    <w:rsid w:val="005077EE"/>
    <w:rsid w:val="00510115"/>
    <w:rsid w:val="0051193F"/>
    <w:rsid w:val="00511A66"/>
    <w:rsid w:val="00512F33"/>
    <w:rsid w:val="00513173"/>
    <w:rsid w:val="00513909"/>
    <w:rsid w:val="00514EDB"/>
    <w:rsid w:val="0051531B"/>
    <w:rsid w:val="0051564A"/>
    <w:rsid w:val="00515955"/>
    <w:rsid w:val="00520058"/>
    <w:rsid w:val="00520B5C"/>
    <w:rsid w:val="005217CD"/>
    <w:rsid w:val="00521896"/>
    <w:rsid w:val="0052189C"/>
    <w:rsid w:val="00522D0D"/>
    <w:rsid w:val="0052310D"/>
    <w:rsid w:val="00523767"/>
    <w:rsid w:val="00523A4B"/>
    <w:rsid w:val="00524F5C"/>
    <w:rsid w:val="0052520C"/>
    <w:rsid w:val="00525447"/>
    <w:rsid w:val="00527FDB"/>
    <w:rsid w:val="00531831"/>
    <w:rsid w:val="00531F2E"/>
    <w:rsid w:val="0053238A"/>
    <w:rsid w:val="00533EF2"/>
    <w:rsid w:val="00534E45"/>
    <w:rsid w:val="00534FF1"/>
    <w:rsid w:val="0053522E"/>
    <w:rsid w:val="00536877"/>
    <w:rsid w:val="005378C9"/>
    <w:rsid w:val="00542F2A"/>
    <w:rsid w:val="00546C7D"/>
    <w:rsid w:val="00547BA0"/>
    <w:rsid w:val="00547BCF"/>
    <w:rsid w:val="005515A3"/>
    <w:rsid w:val="00551AAE"/>
    <w:rsid w:val="00551AE8"/>
    <w:rsid w:val="00553415"/>
    <w:rsid w:val="00560F5B"/>
    <w:rsid w:val="00561266"/>
    <w:rsid w:val="00561483"/>
    <w:rsid w:val="00561DE8"/>
    <w:rsid w:val="00562C3C"/>
    <w:rsid w:val="00567474"/>
    <w:rsid w:val="00570438"/>
    <w:rsid w:val="00570E35"/>
    <w:rsid w:val="0057166A"/>
    <w:rsid w:val="00571C77"/>
    <w:rsid w:val="00572982"/>
    <w:rsid w:val="005747CF"/>
    <w:rsid w:val="00575772"/>
    <w:rsid w:val="00576ECC"/>
    <w:rsid w:val="00577F76"/>
    <w:rsid w:val="00580B85"/>
    <w:rsid w:val="00582356"/>
    <w:rsid w:val="00583C18"/>
    <w:rsid w:val="00583D28"/>
    <w:rsid w:val="00584112"/>
    <w:rsid w:val="00584349"/>
    <w:rsid w:val="00587B87"/>
    <w:rsid w:val="00587FB8"/>
    <w:rsid w:val="0059029F"/>
    <w:rsid w:val="0059038D"/>
    <w:rsid w:val="0059297F"/>
    <w:rsid w:val="005929FD"/>
    <w:rsid w:val="00592B5D"/>
    <w:rsid w:val="00592D18"/>
    <w:rsid w:val="00593686"/>
    <w:rsid w:val="00593E05"/>
    <w:rsid w:val="005952BE"/>
    <w:rsid w:val="005955B4"/>
    <w:rsid w:val="00595F8F"/>
    <w:rsid w:val="00597ADB"/>
    <w:rsid w:val="005A1419"/>
    <w:rsid w:val="005A1706"/>
    <w:rsid w:val="005A23B6"/>
    <w:rsid w:val="005A2A0D"/>
    <w:rsid w:val="005A32CE"/>
    <w:rsid w:val="005A4B9C"/>
    <w:rsid w:val="005A53FA"/>
    <w:rsid w:val="005A632C"/>
    <w:rsid w:val="005A67DC"/>
    <w:rsid w:val="005A6846"/>
    <w:rsid w:val="005B1C4C"/>
    <w:rsid w:val="005B6466"/>
    <w:rsid w:val="005B7300"/>
    <w:rsid w:val="005B732A"/>
    <w:rsid w:val="005C0A1A"/>
    <w:rsid w:val="005C325E"/>
    <w:rsid w:val="005C51A8"/>
    <w:rsid w:val="005C572B"/>
    <w:rsid w:val="005C624C"/>
    <w:rsid w:val="005C6D30"/>
    <w:rsid w:val="005D0C66"/>
    <w:rsid w:val="005D209F"/>
    <w:rsid w:val="005D2C94"/>
    <w:rsid w:val="005D2EC4"/>
    <w:rsid w:val="005D37FA"/>
    <w:rsid w:val="005D3F94"/>
    <w:rsid w:val="005D44C5"/>
    <w:rsid w:val="005D68CF"/>
    <w:rsid w:val="005D7318"/>
    <w:rsid w:val="005D7864"/>
    <w:rsid w:val="005E1722"/>
    <w:rsid w:val="005E21B0"/>
    <w:rsid w:val="005E221F"/>
    <w:rsid w:val="005E23CB"/>
    <w:rsid w:val="005E3D79"/>
    <w:rsid w:val="005E4737"/>
    <w:rsid w:val="005E53BE"/>
    <w:rsid w:val="005E56F7"/>
    <w:rsid w:val="005E660A"/>
    <w:rsid w:val="005E6635"/>
    <w:rsid w:val="005E74FA"/>
    <w:rsid w:val="005F03A9"/>
    <w:rsid w:val="005F0C85"/>
    <w:rsid w:val="005F0D77"/>
    <w:rsid w:val="005F2E55"/>
    <w:rsid w:val="005F3D7B"/>
    <w:rsid w:val="005F3EEB"/>
    <w:rsid w:val="005F6500"/>
    <w:rsid w:val="005F6C85"/>
    <w:rsid w:val="005F7301"/>
    <w:rsid w:val="005F7350"/>
    <w:rsid w:val="00600D00"/>
    <w:rsid w:val="0060222B"/>
    <w:rsid w:val="00602B1A"/>
    <w:rsid w:val="006033E4"/>
    <w:rsid w:val="0060365D"/>
    <w:rsid w:val="00603F2F"/>
    <w:rsid w:val="006044E7"/>
    <w:rsid w:val="00605129"/>
    <w:rsid w:val="0060702B"/>
    <w:rsid w:val="00607953"/>
    <w:rsid w:val="00607B6A"/>
    <w:rsid w:val="00607DBC"/>
    <w:rsid w:val="00610879"/>
    <w:rsid w:val="006119AC"/>
    <w:rsid w:val="00611FB2"/>
    <w:rsid w:val="006121B8"/>
    <w:rsid w:val="00612338"/>
    <w:rsid w:val="00612BEB"/>
    <w:rsid w:val="00614827"/>
    <w:rsid w:val="006148E2"/>
    <w:rsid w:val="00615CE2"/>
    <w:rsid w:val="006179B0"/>
    <w:rsid w:val="0062023E"/>
    <w:rsid w:val="00627658"/>
    <w:rsid w:val="0063018E"/>
    <w:rsid w:val="0063198E"/>
    <w:rsid w:val="00633000"/>
    <w:rsid w:val="006351AA"/>
    <w:rsid w:val="00635DB7"/>
    <w:rsid w:val="00637B02"/>
    <w:rsid w:val="006401BC"/>
    <w:rsid w:val="00640601"/>
    <w:rsid w:val="00641A6F"/>
    <w:rsid w:val="00642A01"/>
    <w:rsid w:val="00642C95"/>
    <w:rsid w:val="00642D3E"/>
    <w:rsid w:val="00643BCF"/>
    <w:rsid w:val="006456D0"/>
    <w:rsid w:val="00645D35"/>
    <w:rsid w:val="0064608C"/>
    <w:rsid w:val="00646F8B"/>
    <w:rsid w:val="00647B85"/>
    <w:rsid w:val="00650690"/>
    <w:rsid w:val="006510E6"/>
    <w:rsid w:val="006514F7"/>
    <w:rsid w:val="006518A1"/>
    <w:rsid w:val="0065281D"/>
    <w:rsid w:val="00653364"/>
    <w:rsid w:val="00655B3A"/>
    <w:rsid w:val="00656D69"/>
    <w:rsid w:val="00656F26"/>
    <w:rsid w:val="00657437"/>
    <w:rsid w:val="00660495"/>
    <w:rsid w:val="00660D44"/>
    <w:rsid w:val="00661229"/>
    <w:rsid w:val="0066257F"/>
    <w:rsid w:val="00663350"/>
    <w:rsid w:val="00663947"/>
    <w:rsid w:val="0066410F"/>
    <w:rsid w:val="0066587A"/>
    <w:rsid w:val="0066703B"/>
    <w:rsid w:val="00667178"/>
    <w:rsid w:val="00667A5D"/>
    <w:rsid w:val="00670482"/>
    <w:rsid w:val="006713D0"/>
    <w:rsid w:val="006715C0"/>
    <w:rsid w:val="00671840"/>
    <w:rsid w:val="0067189F"/>
    <w:rsid w:val="00673B02"/>
    <w:rsid w:val="0067411B"/>
    <w:rsid w:val="00674A53"/>
    <w:rsid w:val="00676E56"/>
    <w:rsid w:val="00677339"/>
    <w:rsid w:val="00677574"/>
    <w:rsid w:val="0068050E"/>
    <w:rsid w:val="0068052D"/>
    <w:rsid w:val="00680BDB"/>
    <w:rsid w:val="006811A4"/>
    <w:rsid w:val="006820D0"/>
    <w:rsid w:val="0068406E"/>
    <w:rsid w:val="00684499"/>
    <w:rsid w:val="00685174"/>
    <w:rsid w:val="00685BFF"/>
    <w:rsid w:val="00685CDB"/>
    <w:rsid w:val="006861E0"/>
    <w:rsid w:val="00686744"/>
    <w:rsid w:val="00686F21"/>
    <w:rsid w:val="006875D3"/>
    <w:rsid w:val="00687881"/>
    <w:rsid w:val="00687AF2"/>
    <w:rsid w:val="0069326C"/>
    <w:rsid w:val="006955AF"/>
    <w:rsid w:val="00696081"/>
    <w:rsid w:val="006966F0"/>
    <w:rsid w:val="00696AC5"/>
    <w:rsid w:val="006A11F0"/>
    <w:rsid w:val="006A21AC"/>
    <w:rsid w:val="006A4C59"/>
    <w:rsid w:val="006B2BE7"/>
    <w:rsid w:val="006B4AEC"/>
    <w:rsid w:val="006B4C2C"/>
    <w:rsid w:val="006B5B61"/>
    <w:rsid w:val="006B7643"/>
    <w:rsid w:val="006B7D31"/>
    <w:rsid w:val="006C35B1"/>
    <w:rsid w:val="006C3A44"/>
    <w:rsid w:val="006C40C8"/>
    <w:rsid w:val="006C49E1"/>
    <w:rsid w:val="006C74E1"/>
    <w:rsid w:val="006C7DF7"/>
    <w:rsid w:val="006D0360"/>
    <w:rsid w:val="006D08F0"/>
    <w:rsid w:val="006D13ED"/>
    <w:rsid w:val="006D452C"/>
    <w:rsid w:val="006D58F6"/>
    <w:rsid w:val="006D5955"/>
    <w:rsid w:val="006D5E3F"/>
    <w:rsid w:val="006D66EE"/>
    <w:rsid w:val="006D67D7"/>
    <w:rsid w:val="006D7176"/>
    <w:rsid w:val="006D7434"/>
    <w:rsid w:val="006D7608"/>
    <w:rsid w:val="006E17B6"/>
    <w:rsid w:val="006E1FCA"/>
    <w:rsid w:val="006E31F5"/>
    <w:rsid w:val="006E3865"/>
    <w:rsid w:val="006E4719"/>
    <w:rsid w:val="006E4AFA"/>
    <w:rsid w:val="006E5580"/>
    <w:rsid w:val="006E5E8E"/>
    <w:rsid w:val="006E5FA8"/>
    <w:rsid w:val="006E7A4A"/>
    <w:rsid w:val="006F4354"/>
    <w:rsid w:val="006F48F9"/>
    <w:rsid w:val="006F6C54"/>
    <w:rsid w:val="00701973"/>
    <w:rsid w:val="00701F54"/>
    <w:rsid w:val="00706D97"/>
    <w:rsid w:val="007077EF"/>
    <w:rsid w:val="0071039D"/>
    <w:rsid w:val="0071145B"/>
    <w:rsid w:val="00711522"/>
    <w:rsid w:val="0071567C"/>
    <w:rsid w:val="00716546"/>
    <w:rsid w:val="00716D78"/>
    <w:rsid w:val="00720C78"/>
    <w:rsid w:val="00720C8F"/>
    <w:rsid w:val="007219EE"/>
    <w:rsid w:val="007225BC"/>
    <w:rsid w:val="0072268B"/>
    <w:rsid w:val="0072490A"/>
    <w:rsid w:val="007261DB"/>
    <w:rsid w:val="00726CFD"/>
    <w:rsid w:val="00730482"/>
    <w:rsid w:val="00730FB1"/>
    <w:rsid w:val="00732AEB"/>
    <w:rsid w:val="007332D6"/>
    <w:rsid w:val="00733967"/>
    <w:rsid w:val="007360FC"/>
    <w:rsid w:val="0073649D"/>
    <w:rsid w:val="00736D96"/>
    <w:rsid w:val="00737717"/>
    <w:rsid w:val="00737CDD"/>
    <w:rsid w:val="00740DE6"/>
    <w:rsid w:val="00741FAF"/>
    <w:rsid w:val="00742754"/>
    <w:rsid w:val="007458C9"/>
    <w:rsid w:val="00746169"/>
    <w:rsid w:val="007468E4"/>
    <w:rsid w:val="00747930"/>
    <w:rsid w:val="007479A0"/>
    <w:rsid w:val="00747A81"/>
    <w:rsid w:val="00750021"/>
    <w:rsid w:val="007508E9"/>
    <w:rsid w:val="0075117D"/>
    <w:rsid w:val="00752B0E"/>
    <w:rsid w:val="00752F5A"/>
    <w:rsid w:val="007531B8"/>
    <w:rsid w:val="007566CA"/>
    <w:rsid w:val="00757AC3"/>
    <w:rsid w:val="00757C22"/>
    <w:rsid w:val="007627CF"/>
    <w:rsid w:val="007679D8"/>
    <w:rsid w:val="007679E4"/>
    <w:rsid w:val="007704A8"/>
    <w:rsid w:val="00770A29"/>
    <w:rsid w:val="00771798"/>
    <w:rsid w:val="0077443C"/>
    <w:rsid w:val="00774A90"/>
    <w:rsid w:val="00774DCC"/>
    <w:rsid w:val="00775923"/>
    <w:rsid w:val="00775A19"/>
    <w:rsid w:val="00777028"/>
    <w:rsid w:val="0077712F"/>
    <w:rsid w:val="007776E7"/>
    <w:rsid w:val="00777991"/>
    <w:rsid w:val="00777CAD"/>
    <w:rsid w:val="00781E03"/>
    <w:rsid w:val="00782FD2"/>
    <w:rsid w:val="00783FD0"/>
    <w:rsid w:val="0078520D"/>
    <w:rsid w:val="00785928"/>
    <w:rsid w:val="00785D71"/>
    <w:rsid w:val="007862E1"/>
    <w:rsid w:val="00786E79"/>
    <w:rsid w:val="00787AD6"/>
    <w:rsid w:val="00791841"/>
    <w:rsid w:val="0079271B"/>
    <w:rsid w:val="007950C9"/>
    <w:rsid w:val="00795BD9"/>
    <w:rsid w:val="007A0178"/>
    <w:rsid w:val="007A02E4"/>
    <w:rsid w:val="007A1207"/>
    <w:rsid w:val="007A4C95"/>
    <w:rsid w:val="007A6FA0"/>
    <w:rsid w:val="007A7445"/>
    <w:rsid w:val="007A7537"/>
    <w:rsid w:val="007A7BDB"/>
    <w:rsid w:val="007B119F"/>
    <w:rsid w:val="007B2C04"/>
    <w:rsid w:val="007B656B"/>
    <w:rsid w:val="007C0A2C"/>
    <w:rsid w:val="007C0ED9"/>
    <w:rsid w:val="007C20FD"/>
    <w:rsid w:val="007C2B00"/>
    <w:rsid w:val="007C3D74"/>
    <w:rsid w:val="007C5EBA"/>
    <w:rsid w:val="007C647F"/>
    <w:rsid w:val="007D00DC"/>
    <w:rsid w:val="007D0A99"/>
    <w:rsid w:val="007D172A"/>
    <w:rsid w:val="007D4D54"/>
    <w:rsid w:val="007D510A"/>
    <w:rsid w:val="007D51A8"/>
    <w:rsid w:val="007D6F16"/>
    <w:rsid w:val="007D737C"/>
    <w:rsid w:val="007D7629"/>
    <w:rsid w:val="007E20C8"/>
    <w:rsid w:val="007E702C"/>
    <w:rsid w:val="007E7B21"/>
    <w:rsid w:val="007F0849"/>
    <w:rsid w:val="007F10D6"/>
    <w:rsid w:val="007F1B9C"/>
    <w:rsid w:val="007F355D"/>
    <w:rsid w:val="007F38FD"/>
    <w:rsid w:val="007F3AF7"/>
    <w:rsid w:val="007F5732"/>
    <w:rsid w:val="007F610D"/>
    <w:rsid w:val="007F78BA"/>
    <w:rsid w:val="0080049D"/>
    <w:rsid w:val="00800B51"/>
    <w:rsid w:val="00802EEF"/>
    <w:rsid w:val="00803A94"/>
    <w:rsid w:val="0080466D"/>
    <w:rsid w:val="00804BB1"/>
    <w:rsid w:val="00805522"/>
    <w:rsid w:val="0080617D"/>
    <w:rsid w:val="00806228"/>
    <w:rsid w:val="00806743"/>
    <w:rsid w:val="008067D9"/>
    <w:rsid w:val="00806956"/>
    <w:rsid w:val="008075E6"/>
    <w:rsid w:val="00807BFF"/>
    <w:rsid w:val="00810F9B"/>
    <w:rsid w:val="00811C10"/>
    <w:rsid w:val="008121C0"/>
    <w:rsid w:val="00812707"/>
    <w:rsid w:val="00812B7A"/>
    <w:rsid w:val="00812DAB"/>
    <w:rsid w:val="008151B6"/>
    <w:rsid w:val="0081657B"/>
    <w:rsid w:val="0081705A"/>
    <w:rsid w:val="008174E5"/>
    <w:rsid w:val="00820039"/>
    <w:rsid w:val="00820250"/>
    <w:rsid w:val="00820520"/>
    <w:rsid w:val="008216FA"/>
    <w:rsid w:val="008218E2"/>
    <w:rsid w:val="008233A3"/>
    <w:rsid w:val="008233B1"/>
    <w:rsid w:val="00823669"/>
    <w:rsid w:val="00824943"/>
    <w:rsid w:val="00824C49"/>
    <w:rsid w:val="0082572C"/>
    <w:rsid w:val="008260E1"/>
    <w:rsid w:val="0082687F"/>
    <w:rsid w:val="00826896"/>
    <w:rsid w:val="00826BEF"/>
    <w:rsid w:val="00826EE1"/>
    <w:rsid w:val="00827238"/>
    <w:rsid w:val="00827337"/>
    <w:rsid w:val="008301FF"/>
    <w:rsid w:val="00830520"/>
    <w:rsid w:val="008305B7"/>
    <w:rsid w:val="008319AA"/>
    <w:rsid w:val="008323AE"/>
    <w:rsid w:val="00833C72"/>
    <w:rsid w:val="008351FC"/>
    <w:rsid w:val="00835A5C"/>
    <w:rsid w:val="00836986"/>
    <w:rsid w:val="0083699E"/>
    <w:rsid w:val="00836DBE"/>
    <w:rsid w:val="00837A52"/>
    <w:rsid w:val="00837E5B"/>
    <w:rsid w:val="00841875"/>
    <w:rsid w:val="00842FF2"/>
    <w:rsid w:val="00844B96"/>
    <w:rsid w:val="00844C28"/>
    <w:rsid w:val="00846989"/>
    <w:rsid w:val="0084778D"/>
    <w:rsid w:val="008508DE"/>
    <w:rsid w:val="00852BF3"/>
    <w:rsid w:val="00852F27"/>
    <w:rsid w:val="008537D2"/>
    <w:rsid w:val="00854B0E"/>
    <w:rsid w:val="00854F5B"/>
    <w:rsid w:val="00856B35"/>
    <w:rsid w:val="00856E00"/>
    <w:rsid w:val="00856FCF"/>
    <w:rsid w:val="00857502"/>
    <w:rsid w:val="00860489"/>
    <w:rsid w:val="008604BC"/>
    <w:rsid w:val="008604F6"/>
    <w:rsid w:val="00862C8C"/>
    <w:rsid w:val="00863221"/>
    <w:rsid w:val="00863445"/>
    <w:rsid w:val="008646BA"/>
    <w:rsid w:val="008653B0"/>
    <w:rsid w:val="0086563A"/>
    <w:rsid w:val="0086605B"/>
    <w:rsid w:val="00866509"/>
    <w:rsid w:val="008702B0"/>
    <w:rsid w:val="00871A7E"/>
    <w:rsid w:val="00871F49"/>
    <w:rsid w:val="00872577"/>
    <w:rsid w:val="008729BC"/>
    <w:rsid w:val="00872C6B"/>
    <w:rsid w:val="00874F30"/>
    <w:rsid w:val="00876CA2"/>
    <w:rsid w:val="00876F9E"/>
    <w:rsid w:val="00876FB8"/>
    <w:rsid w:val="00880106"/>
    <w:rsid w:val="008804D1"/>
    <w:rsid w:val="0088057F"/>
    <w:rsid w:val="008805EF"/>
    <w:rsid w:val="00880CAE"/>
    <w:rsid w:val="008820D4"/>
    <w:rsid w:val="00884E84"/>
    <w:rsid w:val="0088546F"/>
    <w:rsid w:val="00885B5B"/>
    <w:rsid w:val="008910FC"/>
    <w:rsid w:val="00892AB3"/>
    <w:rsid w:val="00892B05"/>
    <w:rsid w:val="00892D00"/>
    <w:rsid w:val="00893726"/>
    <w:rsid w:val="00896AD5"/>
    <w:rsid w:val="008A0BF8"/>
    <w:rsid w:val="008A2C99"/>
    <w:rsid w:val="008A2CE3"/>
    <w:rsid w:val="008A3209"/>
    <w:rsid w:val="008A3273"/>
    <w:rsid w:val="008A3717"/>
    <w:rsid w:val="008A4AF1"/>
    <w:rsid w:val="008A5963"/>
    <w:rsid w:val="008A6405"/>
    <w:rsid w:val="008A7769"/>
    <w:rsid w:val="008A7BA3"/>
    <w:rsid w:val="008B0B97"/>
    <w:rsid w:val="008B18F4"/>
    <w:rsid w:val="008B2625"/>
    <w:rsid w:val="008B2B42"/>
    <w:rsid w:val="008B4925"/>
    <w:rsid w:val="008B4934"/>
    <w:rsid w:val="008B6AC0"/>
    <w:rsid w:val="008B7070"/>
    <w:rsid w:val="008B707C"/>
    <w:rsid w:val="008B76E2"/>
    <w:rsid w:val="008C0001"/>
    <w:rsid w:val="008C0258"/>
    <w:rsid w:val="008C0623"/>
    <w:rsid w:val="008C0996"/>
    <w:rsid w:val="008C1D49"/>
    <w:rsid w:val="008C3EF9"/>
    <w:rsid w:val="008C41C5"/>
    <w:rsid w:val="008C44B3"/>
    <w:rsid w:val="008C51BA"/>
    <w:rsid w:val="008D0238"/>
    <w:rsid w:val="008D17E8"/>
    <w:rsid w:val="008D261B"/>
    <w:rsid w:val="008D2890"/>
    <w:rsid w:val="008D2D24"/>
    <w:rsid w:val="008D52A2"/>
    <w:rsid w:val="008D534E"/>
    <w:rsid w:val="008D7F42"/>
    <w:rsid w:val="008E2692"/>
    <w:rsid w:val="008E2C8C"/>
    <w:rsid w:val="008E3507"/>
    <w:rsid w:val="008E5517"/>
    <w:rsid w:val="008E5D1F"/>
    <w:rsid w:val="008E6213"/>
    <w:rsid w:val="008E6E34"/>
    <w:rsid w:val="008F088B"/>
    <w:rsid w:val="008F1088"/>
    <w:rsid w:val="008F28F2"/>
    <w:rsid w:val="008F35BE"/>
    <w:rsid w:val="008F5073"/>
    <w:rsid w:val="008F50E2"/>
    <w:rsid w:val="008F5AEF"/>
    <w:rsid w:val="008F5D6A"/>
    <w:rsid w:val="008F7DF6"/>
    <w:rsid w:val="009002E2"/>
    <w:rsid w:val="00901ED1"/>
    <w:rsid w:val="00903B97"/>
    <w:rsid w:val="00904854"/>
    <w:rsid w:val="00911760"/>
    <w:rsid w:val="00920C89"/>
    <w:rsid w:val="00923733"/>
    <w:rsid w:val="009238B7"/>
    <w:rsid w:val="00924162"/>
    <w:rsid w:val="009253E7"/>
    <w:rsid w:val="00926C2F"/>
    <w:rsid w:val="00926DD6"/>
    <w:rsid w:val="00927733"/>
    <w:rsid w:val="00931632"/>
    <w:rsid w:val="00932CC7"/>
    <w:rsid w:val="00933C8A"/>
    <w:rsid w:val="00934924"/>
    <w:rsid w:val="00935749"/>
    <w:rsid w:val="00935866"/>
    <w:rsid w:val="009359EB"/>
    <w:rsid w:val="0093640F"/>
    <w:rsid w:val="00936544"/>
    <w:rsid w:val="00937539"/>
    <w:rsid w:val="009407C7"/>
    <w:rsid w:val="00940E70"/>
    <w:rsid w:val="00941480"/>
    <w:rsid w:val="009419E4"/>
    <w:rsid w:val="00941EC4"/>
    <w:rsid w:val="0094240B"/>
    <w:rsid w:val="0094330C"/>
    <w:rsid w:val="009454B0"/>
    <w:rsid w:val="00946496"/>
    <w:rsid w:val="009466F1"/>
    <w:rsid w:val="00946CDA"/>
    <w:rsid w:val="00947E5C"/>
    <w:rsid w:val="0095056E"/>
    <w:rsid w:val="00950611"/>
    <w:rsid w:val="009507B2"/>
    <w:rsid w:val="00951158"/>
    <w:rsid w:val="00952ACD"/>
    <w:rsid w:val="00952E16"/>
    <w:rsid w:val="0095351D"/>
    <w:rsid w:val="00954E41"/>
    <w:rsid w:val="00954F7F"/>
    <w:rsid w:val="00954FB6"/>
    <w:rsid w:val="00955511"/>
    <w:rsid w:val="00956F2B"/>
    <w:rsid w:val="00957688"/>
    <w:rsid w:val="009577AA"/>
    <w:rsid w:val="009578A4"/>
    <w:rsid w:val="00957A93"/>
    <w:rsid w:val="00960502"/>
    <w:rsid w:val="00960BFE"/>
    <w:rsid w:val="00960E04"/>
    <w:rsid w:val="00964AF3"/>
    <w:rsid w:val="00965448"/>
    <w:rsid w:val="00965899"/>
    <w:rsid w:val="00966192"/>
    <w:rsid w:val="00967828"/>
    <w:rsid w:val="00972382"/>
    <w:rsid w:val="009723F5"/>
    <w:rsid w:val="00973162"/>
    <w:rsid w:val="00973912"/>
    <w:rsid w:val="00975749"/>
    <w:rsid w:val="00976E7F"/>
    <w:rsid w:val="0098194A"/>
    <w:rsid w:val="00981D82"/>
    <w:rsid w:val="00982554"/>
    <w:rsid w:val="00983163"/>
    <w:rsid w:val="009866E3"/>
    <w:rsid w:val="009867AE"/>
    <w:rsid w:val="00986BDA"/>
    <w:rsid w:val="00986BDC"/>
    <w:rsid w:val="0098787A"/>
    <w:rsid w:val="00987AB4"/>
    <w:rsid w:val="00990A3E"/>
    <w:rsid w:val="00991559"/>
    <w:rsid w:val="0099186D"/>
    <w:rsid w:val="009930AA"/>
    <w:rsid w:val="009931F2"/>
    <w:rsid w:val="009933DD"/>
    <w:rsid w:val="009939F1"/>
    <w:rsid w:val="00994943"/>
    <w:rsid w:val="00994A92"/>
    <w:rsid w:val="00996691"/>
    <w:rsid w:val="00996849"/>
    <w:rsid w:val="00996C13"/>
    <w:rsid w:val="009A09E6"/>
    <w:rsid w:val="009A1F5F"/>
    <w:rsid w:val="009A450F"/>
    <w:rsid w:val="009A5A3A"/>
    <w:rsid w:val="009A6380"/>
    <w:rsid w:val="009A7584"/>
    <w:rsid w:val="009A7C1F"/>
    <w:rsid w:val="009B316C"/>
    <w:rsid w:val="009B332A"/>
    <w:rsid w:val="009B4A6D"/>
    <w:rsid w:val="009B6381"/>
    <w:rsid w:val="009C0156"/>
    <w:rsid w:val="009C0D82"/>
    <w:rsid w:val="009C218B"/>
    <w:rsid w:val="009C2B5A"/>
    <w:rsid w:val="009C2E08"/>
    <w:rsid w:val="009C3D2A"/>
    <w:rsid w:val="009C433E"/>
    <w:rsid w:val="009C56F0"/>
    <w:rsid w:val="009C5947"/>
    <w:rsid w:val="009C681A"/>
    <w:rsid w:val="009D0186"/>
    <w:rsid w:val="009D1062"/>
    <w:rsid w:val="009D247C"/>
    <w:rsid w:val="009D253E"/>
    <w:rsid w:val="009D4E92"/>
    <w:rsid w:val="009D5EB0"/>
    <w:rsid w:val="009D79A5"/>
    <w:rsid w:val="009D7DCC"/>
    <w:rsid w:val="009E12BA"/>
    <w:rsid w:val="009E159E"/>
    <w:rsid w:val="009E4DE2"/>
    <w:rsid w:val="009E60B9"/>
    <w:rsid w:val="009E60EE"/>
    <w:rsid w:val="009E64BB"/>
    <w:rsid w:val="009E6BCE"/>
    <w:rsid w:val="009F0026"/>
    <w:rsid w:val="009F0D3D"/>
    <w:rsid w:val="009F0F30"/>
    <w:rsid w:val="009F11FA"/>
    <w:rsid w:val="009F1CDA"/>
    <w:rsid w:val="009F23D4"/>
    <w:rsid w:val="009F3277"/>
    <w:rsid w:val="009F3885"/>
    <w:rsid w:val="009F3C58"/>
    <w:rsid w:val="009F58E3"/>
    <w:rsid w:val="009F662C"/>
    <w:rsid w:val="009F6B39"/>
    <w:rsid w:val="009F6E76"/>
    <w:rsid w:val="00A00CB1"/>
    <w:rsid w:val="00A037B5"/>
    <w:rsid w:val="00A03D39"/>
    <w:rsid w:val="00A0441E"/>
    <w:rsid w:val="00A04C22"/>
    <w:rsid w:val="00A056CC"/>
    <w:rsid w:val="00A070E2"/>
    <w:rsid w:val="00A07893"/>
    <w:rsid w:val="00A1231D"/>
    <w:rsid w:val="00A1436D"/>
    <w:rsid w:val="00A158F0"/>
    <w:rsid w:val="00A16136"/>
    <w:rsid w:val="00A16E61"/>
    <w:rsid w:val="00A171B6"/>
    <w:rsid w:val="00A178FC"/>
    <w:rsid w:val="00A17C56"/>
    <w:rsid w:val="00A201E3"/>
    <w:rsid w:val="00A20D68"/>
    <w:rsid w:val="00A21159"/>
    <w:rsid w:val="00A2345E"/>
    <w:rsid w:val="00A23992"/>
    <w:rsid w:val="00A300A2"/>
    <w:rsid w:val="00A30850"/>
    <w:rsid w:val="00A31D29"/>
    <w:rsid w:val="00A333B4"/>
    <w:rsid w:val="00A33F7A"/>
    <w:rsid w:val="00A34264"/>
    <w:rsid w:val="00A344F1"/>
    <w:rsid w:val="00A37D77"/>
    <w:rsid w:val="00A4058B"/>
    <w:rsid w:val="00A41A15"/>
    <w:rsid w:val="00A43390"/>
    <w:rsid w:val="00A43E85"/>
    <w:rsid w:val="00A4500B"/>
    <w:rsid w:val="00A4524A"/>
    <w:rsid w:val="00A455D5"/>
    <w:rsid w:val="00A45B28"/>
    <w:rsid w:val="00A478DC"/>
    <w:rsid w:val="00A5044C"/>
    <w:rsid w:val="00A54CE1"/>
    <w:rsid w:val="00A55094"/>
    <w:rsid w:val="00A552FE"/>
    <w:rsid w:val="00A56275"/>
    <w:rsid w:val="00A56ED6"/>
    <w:rsid w:val="00A5735C"/>
    <w:rsid w:val="00A57E08"/>
    <w:rsid w:val="00A615B6"/>
    <w:rsid w:val="00A6472E"/>
    <w:rsid w:val="00A64C36"/>
    <w:rsid w:val="00A6533E"/>
    <w:rsid w:val="00A6666E"/>
    <w:rsid w:val="00A672FF"/>
    <w:rsid w:val="00A674A1"/>
    <w:rsid w:val="00A70071"/>
    <w:rsid w:val="00A70A9B"/>
    <w:rsid w:val="00A70AC5"/>
    <w:rsid w:val="00A711C9"/>
    <w:rsid w:val="00A71AF0"/>
    <w:rsid w:val="00A721BF"/>
    <w:rsid w:val="00A746E1"/>
    <w:rsid w:val="00A75203"/>
    <w:rsid w:val="00A75CDD"/>
    <w:rsid w:val="00A8052D"/>
    <w:rsid w:val="00A82FED"/>
    <w:rsid w:val="00A8502B"/>
    <w:rsid w:val="00A86B40"/>
    <w:rsid w:val="00A86F28"/>
    <w:rsid w:val="00A873DD"/>
    <w:rsid w:val="00A91089"/>
    <w:rsid w:val="00A9119E"/>
    <w:rsid w:val="00A91BCB"/>
    <w:rsid w:val="00A929E2"/>
    <w:rsid w:val="00A93033"/>
    <w:rsid w:val="00A94509"/>
    <w:rsid w:val="00AA249A"/>
    <w:rsid w:val="00AA36D7"/>
    <w:rsid w:val="00AA4261"/>
    <w:rsid w:val="00AA4653"/>
    <w:rsid w:val="00AA486B"/>
    <w:rsid w:val="00AA6B3C"/>
    <w:rsid w:val="00AB177C"/>
    <w:rsid w:val="00AB1858"/>
    <w:rsid w:val="00AB2637"/>
    <w:rsid w:val="00AB28B6"/>
    <w:rsid w:val="00AB29B6"/>
    <w:rsid w:val="00AB44C5"/>
    <w:rsid w:val="00AB54B2"/>
    <w:rsid w:val="00AB5A4B"/>
    <w:rsid w:val="00AB6EB2"/>
    <w:rsid w:val="00AC0C4B"/>
    <w:rsid w:val="00AC1782"/>
    <w:rsid w:val="00AC1BC7"/>
    <w:rsid w:val="00AC1C82"/>
    <w:rsid w:val="00AC35C5"/>
    <w:rsid w:val="00AC5964"/>
    <w:rsid w:val="00AC5A36"/>
    <w:rsid w:val="00AC5C3B"/>
    <w:rsid w:val="00AC633C"/>
    <w:rsid w:val="00AC6D7D"/>
    <w:rsid w:val="00AD08E8"/>
    <w:rsid w:val="00AD22ED"/>
    <w:rsid w:val="00AD3148"/>
    <w:rsid w:val="00AD3D11"/>
    <w:rsid w:val="00AD3DED"/>
    <w:rsid w:val="00AD3FB5"/>
    <w:rsid w:val="00AD5ADC"/>
    <w:rsid w:val="00AD646F"/>
    <w:rsid w:val="00AD64C4"/>
    <w:rsid w:val="00AD748D"/>
    <w:rsid w:val="00AE1619"/>
    <w:rsid w:val="00AE3D36"/>
    <w:rsid w:val="00AE5B83"/>
    <w:rsid w:val="00AE5E26"/>
    <w:rsid w:val="00AE649D"/>
    <w:rsid w:val="00AE75EE"/>
    <w:rsid w:val="00AF11F1"/>
    <w:rsid w:val="00AF288C"/>
    <w:rsid w:val="00AF2BE8"/>
    <w:rsid w:val="00AF2E2A"/>
    <w:rsid w:val="00AF4EF6"/>
    <w:rsid w:val="00AF6CE4"/>
    <w:rsid w:val="00AF7B3C"/>
    <w:rsid w:val="00B01239"/>
    <w:rsid w:val="00B01946"/>
    <w:rsid w:val="00B025CE"/>
    <w:rsid w:val="00B04009"/>
    <w:rsid w:val="00B04FF5"/>
    <w:rsid w:val="00B053DB"/>
    <w:rsid w:val="00B0798F"/>
    <w:rsid w:val="00B07EAF"/>
    <w:rsid w:val="00B1314D"/>
    <w:rsid w:val="00B14F79"/>
    <w:rsid w:val="00B1515F"/>
    <w:rsid w:val="00B153ED"/>
    <w:rsid w:val="00B15BAA"/>
    <w:rsid w:val="00B1652C"/>
    <w:rsid w:val="00B20C4C"/>
    <w:rsid w:val="00B21002"/>
    <w:rsid w:val="00B258DA"/>
    <w:rsid w:val="00B260EA"/>
    <w:rsid w:val="00B265F0"/>
    <w:rsid w:val="00B270AE"/>
    <w:rsid w:val="00B3254A"/>
    <w:rsid w:val="00B3309E"/>
    <w:rsid w:val="00B33649"/>
    <w:rsid w:val="00B34E49"/>
    <w:rsid w:val="00B36ED7"/>
    <w:rsid w:val="00B37667"/>
    <w:rsid w:val="00B40C16"/>
    <w:rsid w:val="00B4144F"/>
    <w:rsid w:val="00B42522"/>
    <w:rsid w:val="00B42B44"/>
    <w:rsid w:val="00B43613"/>
    <w:rsid w:val="00B44873"/>
    <w:rsid w:val="00B45F9A"/>
    <w:rsid w:val="00B47990"/>
    <w:rsid w:val="00B47FDA"/>
    <w:rsid w:val="00B508DB"/>
    <w:rsid w:val="00B50A8D"/>
    <w:rsid w:val="00B50DA1"/>
    <w:rsid w:val="00B51237"/>
    <w:rsid w:val="00B5190A"/>
    <w:rsid w:val="00B519B5"/>
    <w:rsid w:val="00B51EE8"/>
    <w:rsid w:val="00B52171"/>
    <w:rsid w:val="00B5223C"/>
    <w:rsid w:val="00B523A9"/>
    <w:rsid w:val="00B52653"/>
    <w:rsid w:val="00B527D9"/>
    <w:rsid w:val="00B54B2E"/>
    <w:rsid w:val="00B55ED7"/>
    <w:rsid w:val="00B56667"/>
    <w:rsid w:val="00B57815"/>
    <w:rsid w:val="00B57D2B"/>
    <w:rsid w:val="00B610DE"/>
    <w:rsid w:val="00B63BEC"/>
    <w:rsid w:val="00B644EC"/>
    <w:rsid w:val="00B655A7"/>
    <w:rsid w:val="00B676BD"/>
    <w:rsid w:val="00B67C0D"/>
    <w:rsid w:val="00B70259"/>
    <w:rsid w:val="00B70A13"/>
    <w:rsid w:val="00B70FDF"/>
    <w:rsid w:val="00B718EF"/>
    <w:rsid w:val="00B73220"/>
    <w:rsid w:val="00B73C88"/>
    <w:rsid w:val="00B73CEE"/>
    <w:rsid w:val="00B74D07"/>
    <w:rsid w:val="00B7558F"/>
    <w:rsid w:val="00B7563F"/>
    <w:rsid w:val="00B763AF"/>
    <w:rsid w:val="00B76B74"/>
    <w:rsid w:val="00B77C79"/>
    <w:rsid w:val="00B80392"/>
    <w:rsid w:val="00B8168C"/>
    <w:rsid w:val="00B82419"/>
    <w:rsid w:val="00B82C25"/>
    <w:rsid w:val="00B83549"/>
    <w:rsid w:val="00B85706"/>
    <w:rsid w:val="00B874AE"/>
    <w:rsid w:val="00B87D77"/>
    <w:rsid w:val="00B91D8C"/>
    <w:rsid w:val="00B92123"/>
    <w:rsid w:val="00B92878"/>
    <w:rsid w:val="00B93927"/>
    <w:rsid w:val="00B95A76"/>
    <w:rsid w:val="00B96D26"/>
    <w:rsid w:val="00B97CC9"/>
    <w:rsid w:val="00B97F95"/>
    <w:rsid w:val="00BA0763"/>
    <w:rsid w:val="00BA252F"/>
    <w:rsid w:val="00BA2F98"/>
    <w:rsid w:val="00BA4E03"/>
    <w:rsid w:val="00BA625B"/>
    <w:rsid w:val="00BA694B"/>
    <w:rsid w:val="00BA6D4C"/>
    <w:rsid w:val="00BA7950"/>
    <w:rsid w:val="00BB02C1"/>
    <w:rsid w:val="00BB0A0E"/>
    <w:rsid w:val="00BB1030"/>
    <w:rsid w:val="00BB1D24"/>
    <w:rsid w:val="00BB1D75"/>
    <w:rsid w:val="00BB3BCD"/>
    <w:rsid w:val="00BB4494"/>
    <w:rsid w:val="00BB5191"/>
    <w:rsid w:val="00BB59CD"/>
    <w:rsid w:val="00BB64CA"/>
    <w:rsid w:val="00BB6D7F"/>
    <w:rsid w:val="00BC06FF"/>
    <w:rsid w:val="00BC13BA"/>
    <w:rsid w:val="00BC29C4"/>
    <w:rsid w:val="00BC2E07"/>
    <w:rsid w:val="00BC3F36"/>
    <w:rsid w:val="00BC40F5"/>
    <w:rsid w:val="00BC5543"/>
    <w:rsid w:val="00BC6B96"/>
    <w:rsid w:val="00BC76F0"/>
    <w:rsid w:val="00BD02AC"/>
    <w:rsid w:val="00BD0560"/>
    <w:rsid w:val="00BD075E"/>
    <w:rsid w:val="00BD12C7"/>
    <w:rsid w:val="00BD1332"/>
    <w:rsid w:val="00BD1700"/>
    <w:rsid w:val="00BD1C55"/>
    <w:rsid w:val="00BD2B1C"/>
    <w:rsid w:val="00BD54FC"/>
    <w:rsid w:val="00BD6BEC"/>
    <w:rsid w:val="00BD70BE"/>
    <w:rsid w:val="00BE1249"/>
    <w:rsid w:val="00BE1B55"/>
    <w:rsid w:val="00BE28AE"/>
    <w:rsid w:val="00BE2CDA"/>
    <w:rsid w:val="00BE3227"/>
    <w:rsid w:val="00BE3A75"/>
    <w:rsid w:val="00BE5649"/>
    <w:rsid w:val="00BE7F87"/>
    <w:rsid w:val="00BF0BF4"/>
    <w:rsid w:val="00BF0F7D"/>
    <w:rsid w:val="00BF172F"/>
    <w:rsid w:val="00BF1EA5"/>
    <w:rsid w:val="00BF2DC4"/>
    <w:rsid w:val="00BF4BDE"/>
    <w:rsid w:val="00BF64A5"/>
    <w:rsid w:val="00BF7096"/>
    <w:rsid w:val="00C0029E"/>
    <w:rsid w:val="00C00864"/>
    <w:rsid w:val="00C01F81"/>
    <w:rsid w:val="00C03449"/>
    <w:rsid w:val="00C06A57"/>
    <w:rsid w:val="00C12729"/>
    <w:rsid w:val="00C138E6"/>
    <w:rsid w:val="00C16BBF"/>
    <w:rsid w:val="00C16E43"/>
    <w:rsid w:val="00C1795A"/>
    <w:rsid w:val="00C20122"/>
    <w:rsid w:val="00C21E8C"/>
    <w:rsid w:val="00C23202"/>
    <w:rsid w:val="00C23219"/>
    <w:rsid w:val="00C239A9"/>
    <w:rsid w:val="00C24169"/>
    <w:rsid w:val="00C24456"/>
    <w:rsid w:val="00C25CDC"/>
    <w:rsid w:val="00C26E5A"/>
    <w:rsid w:val="00C26F5B"/>
    <w:rsid w:val="00C30253"/>
    <w:rsid w:val="00C33BE2"/>
    <w:rsid w:val="00C33F85"/>
    <w:rsid w:val="00C34AF4"/>
    <w:rsid w:val="00C353F3"/>
    <w:rsid w:val="00C35407"/>
    <w:rsid w:val="00C35C30"/>
    <w:rsid w:val="00C362E3"/>
    <w:rsid w:val="00C37A42"/>
    <w:rsid w:val="00C40522"/>
    <w:rsid w:val="00C41B94"/>
    <w:rsid w:val="00C41D65"/>
    <w:rsid w:val="00C420BB"/>
    <w:rsid w:val="00C445BB"/>
    <w:rsid w:val="00C4578C"/>
    <w:rsid w:val="00C50777"/>
    <w:rsid w:val="00C50985"/>
    <w:rsid w:val="00C50AA6"/>
    <w:rsid w:val="00C53862"/>
    <w:rsid w:val="00C546B6"/>
    <w:rsid w:val="00C549C4"/>
    <w:rsid w:val="00C54EF2"/>
    <w:rsid w:val="00C55198"/>
    <w:rsid w:val="00C63AE1"/>
    <w:rsid w:val="00C63E2E"/>
    <w:rsid w:val="00C64658"/>
    <w:rsid w:val="00C65104"/>
    <w:rsid w:val="00C660D6"/>
    <w:rsid w:val="00C667CC"/>
    <w:rsid w:val="00C674F8"/>
    <w:rsid w:val="00C70052"/>
    <w:rsid w:val="00C70370"/>
    <w:rsid w:val="00C70990"/>
    <w:rsid w:val="00C70E3A"/>
    <w:rsid w:val="00C71577"/>
    <w:rsid w:val="00C7412A"/>
    <w:rsid w:val="00C75E14"/>
    <w:rsid w:val="00C77D82"/>
    <w:rsid w:val="00C80A00"/>
    <w:rsid w:val="00C80AAD"/>
    <w:rsid w:val="00C81CD4"/>
    <w:rsid w:val="00C82624"/>
    <w:rsid w:val="00C82C04"/>
    <w:rsid w:val="00C85208"/>
    <w:rsid w:val="00C873E9"/>
    <w:rsid w:val="00C90338"/>
    <w:rsid w:val="00C9128F"/>
    <w:rsid w:val="00C919BF"/>
    <w:rsid w:val="00C91A43"/>
    <w:rsid w:val="00C9279F"/>
    <w:rsid w:val="00C934D4"/>
    <w:rsid w:val="00C93D84"/>
    <w:rsid w:val="00C94261"/>
    <w:rsid w:val="00C9579B"/>
    <w:rsid w:val="00C95900"/>
    <w:rsid w:val="00C960F2"/>
    <w:rsid w:val="00C9640D"/>
    <w:rsid w:val="00C96495"/>
    <w:rsid w:val="00C97C72"/>
    <w:rsid w:val="00CA1402"/>
    <w:rsid w:val="00CA55C8"/>
    <w:rsid w:val="00CA55CF"/>
    <w:rsid w:val="00CA6455"/>
    <w:rsid w:val="00CA6F51"/>
    <w:rsid w:val="00CA7441"/>
    <w:rsid w:val="00CB0FDE"/>
    <w:rsid w:val="00CB2076"/>
    <w:rsid w:val="00CB3724"/>
    <w:rsid w:val="00CB385C"/>
    <w:rsid w:val="00CB39F3"/>
    <w:rsid w:val="00CB4822"/>
    <w:rsid w:val="00CB4CCC"/>
    <w:rsid w:val="00CB580D"/>
    <w:rsid w:val="00CB61B2"/>
    <w:rsid w:val="00CB7A97"/>
    <w:rsid w:val="00CC027B"/>
    <w:rsid w:val="00CC234A"/>
    <w:rsid w:val="00CC282A"/>
    <w:rsid w:val="00CC288A"/>
    <w:rsid w:val="00CC29F8"/>
    <w:rsid w:val="00CC337B"/>
    <w:rsid w:val="00CC44BA"/>
    <w:rsid w:val="00CC5197"/>
    <w:rsid w:val="00CC552A"/>
    <w:rsid w:val="00CC5D16"/>
    <w:rsid w:val="00CC6D47"/>
    <w:rsid w:val="00CC6E6D"/>
    <w:rsid w:val="00CC7356"/>
    <w:rsid w:val="00CD0A28"/>
    <w:rsid w:val="00CD1286"/>
    <w:rsid w:val="00CD46FB"/>
    <w:rsid w:val="00CD7187"/>
    <w:rsid w:val="00CD770A"/>
    <w:rsid w:val="00CD7E5D"/>
    <w:rsid w:val="00CE0BF1"/>
    <w:rsid w:val="00CE1713"/>
    <w:rsid w:val="00CE1984"/>
    <w:rsid w:val="00CE2DCB"/>
    <w:rsid w:val="00CE4997"/>
    <w:rsid w:val="00CE5ABB"/>
    <w:rsid w:val="00CE7F75"/>
    <w:rsid w:val="00CF0ABB"/>
    <w:rsid w:val="00CF159C"/>
    <w:rsid w:val="00CF1C9E"/>
    <w:rsid w:val="00CF2812"/>
    <w:rsid w:val="00CF2CD7"/>
    <w:rsid w:val="00CF37CB"/>
    <w:rsid w:val="00CF46D2"/>
    <w:rsid w:val="00CF5F92"/>
    <w:rsid w:val="00CF78B7"/>
    <w:rsid w:val="00CF796D"/>
    <w:rsid w:val="00D00FAC"/>
    <w:rsid w:val="00D02021"/>
    <w:rsid w:val="00D03712"/>
    <w:rsid w:val="00D03C56"/>
    <w:rsid w:val="00D045CE"/>
    <w:rsid w:val="00D067CE"/>
    <w:rsid w:val="00D0694B"/>
    <w:rsid w:val="00D108E6"/>
    <w:rsid w:val="00D114D2"/>
    <w:rsid w:val="00D14B9C"/>
    <w:rsid w:val="00D16B28"/>
    <w:rsid w:val="00D171D4"/>
    <w:rsid w:val="00D20477"/>
    <w:rsid w:val="00D20866"/>
    <w:rsid w:val="00D20C63"/>
    <w:rsid w:val="00D214FD"/>
    <w:rsid w:val="00D21677"/>
    <w:rsid w:val="00D22134"/>
    <w:rsid w:val="00D2283D"/>
    <w:rsid w:val="00D22D23"/>
    <w:rsid w:val="00D2304B"/>
    <w:rsid w:val="00D23C75"/>
    <w:rsid w:val="00D2484A"/>
    <w:rsid w:val="00D24BAA"/>
    <w:rsid w:val="00D25336"/>
    <w:rsid w:val="00D25D76"/>
    <w:rsid w:val="00D25E53"/>
    <w:rsid w:val="00D26817"/>
    <w:rsid w:val="00D300D5"/>
    <w:rsid w:val="00D30492"/>
    <w:rsid w:val="00D325C9"/>
    <w:rsid w:val="00D33C57"/>
    <w:rsid w:val="00D3417C"/>
    <w:rsid w:val="00D34D81"/>
    <w:rsid w:val="00D35564"/>
    <w:rsid w:val="00D35802"/>
    <w:rsid w:val="00D35852"/>
    <w:rsid w:val="00D35934"/>
    <w:rsid w:val="00D365B8"/>
    <w:rsid w:val="00D3696E"/>
    <w:rsid w:val="00D36BBE"/>
    <w:rsid w:val="00D41DB3"/>
    <w:rsid w:val="00D4287C"/>
    <w:rsid w:val="00D42D9C"/>
    <w:rsid w:val="00D44066"/>
    <w:rsid w:val="00D442D2"/>
    <w:rsid w:val="00D445AE"/>
    <w:rsid w:val="00D4545B"/>
    <w:rsid w:val="00D45849"/>
    <w:rsid w:val="00D4667F"/>
    <w:rsid w:val="00D47212"/>
    <w:rsid w:val="00D47A90"/>
    <w:rsid w:val="00D502F1"/>
    <w:rsid w:val="00D5522D"/>
    <w:rsid w:val="00D5568B"/>
    <w:rsid w:val="00D55C63"/>
    <w:rsid w:val="00D55E09"/>
    <w:rsid w:val="00D56B51"/>
    <w:rsid w:val="00D56C02"/>
    <w:rsid w:val="00D57027"/>
    <w:rsid w:val="00D57441"/>
    <w:rsid w:val="00D57660"/>
    <w:rsid w:val="00D576A0"/>
    <w:rsid w:val="00D61865"/>
    <w:rsid w:val="00D61EE6"/>
    <w:rsid w:val="00D63E47"/>
    <w:rsid w:val="00D64717"/>
    <w:rsid w:val="00D64C2B"/>
    <w:rsid w:val="00D65315"/>
    <w:rsid w:val="00D6545C"/>
    <w:rsid w:val="00D66A75"/>
    <w:rsid w:val="00D67A1D"/>
    <w:rsid w:val="00D707F3"/>
    <w:rsid w:val="00D71058"/>
    <w:rsid w:val="00D7214C"/>
    <w:rsid w:val="00D73882"/>
    <w:rsid w:val="00D74273"/>
    <w:rsid w:val="00D7435A"/>
    <w:rsid w:val="00D743A4"/>
    <w:rsid w:val="00D7442A"/>
    <w:rsid w:val="00D76D5E"/>
    <w:rsid w:val="00D84AE4"/>
    <w:rsid w:val="00D85665"/>
    <w:rsid w:val="00D8612A"/>
    <w:rsid w:val="00D866AF"/>
    <w:rsid w:val="00D86F95"/>
    <w:rsid w:val="00D87DC1"/>
    <w:rsid w:val="00D9071B"/>
    <w:rsid w:val="00D90CBB"/>
    <w:rsid w:val="00D91802"/>
    <w:rsid w:val="00D91AEC"/>
    <w:rsid w:val="00D940C9"/>
    <w:rsid w:val="00D9439E"/>
    <w:rsid w:val="00D955AB"/>
    <w:rsid w:val="00D96084"/>
    <w:rsid w:val="00DA04E9"/>
    <w:rsid w:val="00DA0B99"/>
    <w:rsid w:val="00DA0BA1"/>
    <w:rsid w:val="00DA3D8B"/>
    <w:rsid w:val="00DA3FD3"/>
    <w:rsid w:val="00DA45E8"/>
    <w:rsid w:val="00DA50F3"/>
    <w:rsid w:val="00DA5C77"/>
    <w:rsid w:val="00DA6379"/>
    <w:rsid w:val="00DA6433"/>
    <w:rsid w:val="00DA6AD7"/>
    <w:rsid w:val="00DA71B4"/>
    <w:rsid w:val="00DA7D30"/>
    <w:rsid w:val="00DA7F1A"/>
    <w:rsid w:val="00DB0394"/>
    <w:rsid w:val="00DB2DA0"/>
    <w:rsid w:val="00DB617A"/>
    <w:rsid w:val="00DB68B2"/>
    <w:rsid w:val="00DB72CC"/>
    <w:rsid w:val="00DC0762"/>
    <w:rsid w:val="00DC12A9"/>
    <w:rsid w:val="00DC172C"/>
    <w:rsid w:val="00DC1CF6"/>
    <w:rsid w:val="00DC23C6"/>
    <w:rsid w:val="00DC39F6"/>
    <w:rsid w:val="00DC4CF4"/>
    <w:rsid w:val="00DC72ED"/>
    <w:rsid w:val="00DD1028"/>
    <w:rsid w:val="00DD1FC2"/>
    <w:rsid w:val="00DD2833"/>
    <w:rsid w:val="00DD302A"/>
    <w:rsid w:val="00DD4830"/>
    <w:rsid w:val="00DD490C"/>
    <w:rsid w:val="00DE0B44"/>
    <w:rsid w:val="00DE0B9C"/>
    <w:rsid w:val="00DE3A74"/>
    <w:rsid w:val="00DE3AAE"/>
    <w:rsid w:val="00DE5203"/>
    <w:rsid w:val="00DE7D11"/>
    <w:rsid w:val="00DF04C0"/>
    <w:rsid w:val="00DF0A4E"/>
    <w:rsid w:val="00DF0D36"/>
    <w:rsid w:val="00DF1613"/>
    <w:rsid w:val="00DF1992"/>
    <w:rsid w:val="00DF33DE"/>
    <w:rsid w:val="00DF5FF4"/>
    <w:rsid w:val="00DF6A64"/>
    <w:rsid w:val="00E01583"/>
    <w:rsid w:val="00E03454"/>
    <w:rsid w:val="00E05D96"/>
    <w:rsid w:val="00E06607"/>
    <w:rsid w:val="00E07032"/>
    <w:rsid w:val="00E10ABB"/>
    <w:rsid w:val="00E114C2"/>
    <w:rsid w:val="00E11611"/>
    <w:rsid w:val="00E12ADA"/>
    <w:rsid w:val="00E12B55"/>
    <w:rsid w:val="00E13356"/>
    <w:rsid w:val="00E138D1"/>
    <w:rsid w:val="00E142CF"/>
    <w:rsid w:val="00E14EC6"/>
    <w:rsid w:val="00E16562"/>
    <w:rsid w:val="00E16C59"/>
    <w:rsid w:val="00E172DA"/>
    <w:rsid w:val="00E17559"/>
    <w:rsid w:val="00E17845"/>
    <w:rsid w:val="00E20667"/>
    <w:rsid w:val="00E2120E"/>
    <w:rsid w:val="00E22A6C"/>
    <w:rsid w:val="00E22C0F"/>
    <w:rsid w:val="00E24C37"/>
    <w:rsid w:val="00E2568C"/>
    <w:rsid w:val="00E27760"/>
    <w:rsid w:val="00E309BF"/>
    <w:rsid w:val="00E30C37"/>
    <w:rsid w:val="00E30C67"/>
    <w:rsid w:val="00E30E26"/>
    <w:rsid w:val="00E3317E"/>
    <w:rsid w:val="00E368D3"/>
    <w:rsid w:val="00E36C77"/>
    <w:rsid w:val="00E3714E"/>
    <w:rsid w:val="00E407E3"/>
    <w:rsid w:val="00E41588"/>
    <w:rsid w:val="00E435DD"/>
    <w:rsid w:val="00E43BA2"/>
    <w:rsid w:val="00E4525B"/>
    <w:rsid w:val="00E45499"/>
    <w:rsid w:val="00E5078A"/>
    <w:rsid w:val="00E51DA1"/>
    <w:rsid w:val="00E51E9A"/>
    <w:rsid w:val="00E53EBF"/>
    <w:rsid w:val="00E557B7"/>
    <w:rsid w:val="00E56370"/>
    <w:rsid w:val="00E56EC6"/>
    <w:rsid w:val="00E612C9"/>
    <w:rsid w:val="00E61853"/>
    <w:rsid w:val="00E63B38"/>
    <w:rsid w:val="00E6495D"/>
    <w:rsid w:val="00E65184"/>
    <w:rsid w:val="00E66A2E"/>
    <w:rsid w:val="00E67893"/>
    <w:rsid w:val="00E67D86"/>
    <w:rsid w:val="00E71E15"/>
    <w:rsid w:val="00E72898"/>
    <w:rsid w:val="00E72CDF"/>
    <w:rsid w:val="00E72F3F"/>
    <w:rsid w:val="00E74690"/>
    <w:rsid w:val="00E74E07"/>
    <w:rsid w:val="00E74EFB"/>
    <w:rsid w:val="00E80286"/>
    <w:rsid w:val="00E802EC"/>
    <w:rsid w:val="00E8051A"/>
    <w:rsid w:val="00E806FC"/>
    <w:rsid w:val="00E824F5"/>
    <w:rsid w:val="00E82667"/>
    <w:rsid w:val="00E827C9"/>
    <w:rsid w:val="00E83DD5"/>
    <w:rsid w:val="00E847A7"/>
    <w:rsid w:val="00E84DDF"/>
    <w:rsid w:val="00E864E4"/>
    <w:rsid w:val="00E909F9"/>
    <w:rsid w:val="00E915D7"/>
    <w:rsid w:val="00E91B04"/>
    <w:rsid w:val="00E91C69"/>
    <w:rsid w:val="00E9505C"/>
    <w:rsid w:val="00E95B93"/>
    <w:rsid w:val="00E97841"/>
    <w:rsid w:val="00EA072C"/>
    <w:rsid w:val="00EA1193"/>
    <w:rsid w:val="00EA1C0B"/>
    <w:rsid w:val="00EA3920"/>
    <w:rsid w:val="00EA3E18"/>
    <w:rsid w:val="00EA3EB4"/>
    <w:rsid w:val="00EA439A"/>
    <w:rsid w:val="00EA5F68"/>
    <w:rsid w:val="00EB0331"/>
    <w:rsid w:val="00EB066C"/>
    <w:rsid w:val="00EB1069"/>
    <w:rsid w:val="00EB2372"/>
    <w:rsid w:val="00EB4005"/>
    <w:rsid w:val="00EB5679"/>
    <w:rsid w:val="00EB57F1"/>
    <w:rsid w:val="00EB6DCF"/>
    <w:rsid w:val="00EB6E43"/>
    <w:rsid w:val="00EB6E53"/>
    <w:rsid w:val="00EB734D"/>
    <w:rsid w:val="00EB7DA4"/>
    <w:rsid w:val="00EC0454"/>
    <w:rsid w:val="00EC0718"/>
    <w:rsid w:val="00EC09C0"/>
    <w:rsid w:val="00EC0FCB"/>
    <w:rsid w:val="00EC236D"/>
    <w:rsid w:val="00EC326B"/>
    <w:rsid w:val="00EC3FEF"/>
    <w:rsid w:val="00EC698A"/>
    <w:rsid w:val="00EC71C7"/>
    <w:rsid w:val="00EC772D"/>
    <w:rsid w:val="00ED0350"/>
    <w:rsid w:val="00ED0FBA"/>
    <w:rsid w:val="00ED1835"/>
    <w:rsid w:val="00ED22D2"/>
    <w:rsid w:val="00ED24D5"/>
    <w:rsid w:val="00ED2818"/>
    <w:rsid w:val="00ED296D"/>
    <w:rsid w:val="00ED2ECB"/>
    <w:rsid w:val="00ED3660"/>
    <w:rsid w:val="00ED375C"/>
    <w:rsid w:val="00ED425C"/>
    <w:rsid w:val="00ED46C3"/>
    <w:rsid w:val="00ED4F28"/>
    <w:rsid w:val="00ED5501"/>
    <w:rsid w:val="00ED5561"/>
    <w:rsid w:val="00ED5784"/>
    <w:rsid w:val="00ED7665"/>
    <w:rsid w:val="00ED7FF1"/>
    <w:rsid w:val="00EE0D06"/>
    <w:rsid w:val="00EE22B7"/>
    <w:rsid w:val="00EE2309"/>
    <w:rsid w:val="00EE4522"/>
    <w:rsid w:val="00EE53FB"/>
    <w:rsid w:val="00EE5B96"/>
    <w:rsid w:val="00EE7D23"/>
    <w:rsid w:val="00EF016A"/>
    <w:rsid w:val="00EF0FFD"/>
    <w:rsid w:val="00EF1DD1"/>
    <w:rsid w:val="00EF20B5"/>
    <w:rsid w:val="00EF3006"/>
    <w:rsid w:val="00EF34E7"/>
    <w:rsid w:val="00EF418B"/>
    <w:rsid w:val="00EF43EB"/>
    <w:rsid w:val="00EF6094"/>
    <w:rsid w:val="00EF63AD"/>
    <w:rsid w:val="00EF767F"/>
    <w:rsid w:val="00F00288"/>
    <w:rsid w:val="00F004B2"/>
    <w:rsid w:val="00F00AF7"/>
    <w:rsid w:val="00F00B4C"/>
    <w:rsid w:val="00F00B9C"/>
    <w:rsid w:val="00F00F39"/>
    <w:rsid w:val="00F011A9"/>
    <w:rsid w:val="00F013DC"/>
    <w:rsid w:val="00F01822"/>
    <w:rsid w:val="00F022B7"/>
    <w:rsid w:val="00F02320"/>
    <w:rsid w:val="00F0295E"/>
    <w:rsid w:val="00F04897"/>
    <w:rsid w:val="00F056A5"/>
    <w:rsid w:val="00F0623C"/>
    <w:rsid w:val="00F06EDB"/>
    <w:rsid w:val="00F10337"/>
    <w:rsid w:val="00F1203F"/>
    <w:rsid w:val="00F12A85"/>
    <w:rsid w:val="00F13166"/>
    <w:rsid w:val="00F131FF"/>
    <w:rsid w:val="00F15DAC"/>
    <w:rsid w:val="00F1652B"/>
    <w:rsid w:val="00F1717E"/>
    <w:rsid w:val="00F17698"/>
    <w:rsid w:val="00F21979"/>
    <w:rsid w:val="00F21B96"/>
    <w:rsid w:val="00F24C78"/>
    <w:rsid w:val="00F26EC1"/>
    <w:rsid w:val="00F2736E"/>
    <w:rsid w:val="00F27843"/>
    <w:rsid w:val="00F27AC6"/>
    <w:rsid w:val="00F27FBD"/>
    <w:rsid w:val="00F30B61"/>
    <w:rsid w:val="00F31802"/>
    <w:rsid w:val="00F3222F"/>
    <w:rsid w:val="00F322C5"/>
    <w:rsid w:val="00F32AD9"/>
    <w:rsid w:val="00F32DDA"/>
    <w:rsid w:val="00F3357E"/>
    <w:rsid w:val="00F37083"/>
    <w:rsid w:val="00F40A58"/>
    <w:rsid w:val="00F419D9"/>
    <w:rsid w:val="00F42DA0"/>
    <w:rsid w:val="00F43753"/>
    <w:rsid w:val="00F43B34"/>
    <w:rsid w:val="00F521EA"/>
    <w:rsid w:val="00F538B6"/>
    <w:rsid w:val="00F55059"/>
    <w:rsid w:val="00F55159"/>
    <w:rsid w:val="00F55B7F"/>
    <w:rsid w:val="00F56BD0"/>
    <w:rsid w:val="00F56D39"/>
    <w:rsid w:val="00F57738"/>
    <w:rsid w:val="00F6111D"/>
    <w:rsid w:val="00F61822"/>
    <w:rsid w:val="00F61AF9"/>
    <w:rsid w:val="00F622BB"/>
    <w:rsid w:val="00F63ED9"/>
    <w:rsid w:val="00F67278"/>
    <w:rsid w:val="00F70E30"/>
    <w:rsid w:val="00F71AC2"/>
    <w:rsid w:val="00F71CAC"/>
    <w:rsid w:val="00F71ECD"/>
    <w:rsid w:val="00F7274A"/>
    <w:rsid w:val="00F7382C"/>
    <w:rsid w:val="00F74B2C"/>
    <w:rsid w:val="00F75336"/>
    <w:rsid w:val="00F757E2"/>
    <w:rsid w:val="00F75D26"/>
    <w:rsid w:val="00F766B0"/>
    <w:rsid w:val="00F7775C"/>
    <w:rsid w:val="00F778B2"/>
    <w:rsid w:val="00F80FBD"/>
    <w:rsid w:val="00F811B7"/>
    <w:rsid w:val="00F817BF"/>
    <w:rsid w:val="00F81CE5"/>
    <w:rsid w:val="00F82B01"/>
    <w:rsid w:val="00F82D8D"/>
    <w:rsid w:val="00F842A2"/>
    <w:rsid w:val="00F86B2E"/>
    <w:rsid w:val="00F8750D"/>
    <w:rsid w:val="00F903F2"/>
    <w:rsid w:val="00F9067B"/>
    <w:rsid w:val="00F907C8"/>
    <w:rsid w:val="00F91235"/>
    <w:rsid w:val="00F933DB"/>
    <w:rsid w:val="00F936BF"/>
    <w:rsid w:val="00F937C0"/>
    <w:rsid w:val="00F9467B"/>
    <w:rsid w:val="00F961A5"/>
    <w:rsid w:val="00FA09B1"/>
    <w:rsid w:val="00FA21DC"/>
    <w:rsid w:val="00FA21DF"/>
    <w:rsid w:val="00FA3FA1"/>
    <w:rsid w:val="00FA4C16"/>
    <w:rsid w:val="00FA5702"/>
    <w:rsid w:val="00FA623E"/>
    <w:rsid w:val="00FA644A"/>
    <w:rsid w:val="00FA6F2B"/>
    <w:rsid w:val="00FB0D66"/>
    <w:rsid w:val="00FB129C"/>
    <w:rsid w:val="00FB20CF"/>
    <w:rsid w:val="00FB42B9"/>
    <w:rsid w:val="00FB47A3"/>
    <w:rsid w:val="00FB48B1"/>
    <w:rsid w:val="00FB4D0E"/>
    <w:rsid w:val="00FB5250"/>
    <w:rsid w:val="00FB54D4"/>
    <w:rsid w:val="00FC0DB0"/>
    <w:rsid w:val="00FC170D"/>
    <w:rsid w:val="00FC26D2"/>
    <w:rsid w:val="00FC28F1"/>
    <w:rsid w:val="00FC3BEE"/>
    <w:rsid w:val="00FC41E5"/>
    <w:rsid w:val="00FC440A"/>
    <w:rsid w:val="00FC525B"/>
    <w:rsid w:val="00FC6875"/>
    <w:rsid w:val="00FC72D4"/>
    <w:rsid w:val="00FC7CB1"/>
    <w:rsid w:val="00FD1735"/>
    <w:rsid w:val="00FD5E6F"/>
    <w:rsid w:val="00FD60EF"/>
    <w:rsid w:val="00FD6BDE"/>
    <w:rsid w:val="00FD6C2D"/>
    <w:rsid w:val="00FD6D7D"/>
    <w:rsid w:val="00FD6F14"/>
    <w:rsid w:val="00FD6FE5"/>
    <w:rsid w:val="00FD7645"/>
    <w:rsid w:val="00FD7FBD"/>
    <w:rsid w:val="00FE0F71"/>
    <w:rsid w:val="00FE226C"/>
    <w:rsid w:val="00FE292F"/>
    <w:rsid w:val="00FE3EDD"/>
    <w:rsid w:val="00FE5799"/>
    <w:rsid w:val="00FE6B0D"/>
    <w:rsid w:val="00FE6D53"/>
    <w:rsid w:val="00FE6EC0"/>
    <w:rsid w:val="00FE7944"/>
    <w:rsid w:val="00FE7984"/>
    <w:rsid w:val="00FF01F2"/>
    <w:rsid w:val="00FF2BB2"/>
    <w:rsid w:val="00FF44A7"/>
    <w:rsid w:val="00FF45A8"/>
    <w:rsid w:val="00FF4CDD"/>
    <w:rsid w:val="00FF59F0"/>
    <w:rsid w:val="00FF71D9"/>
    <w:rsid w:val="00FF7A09"/>
    <w:rsid w:val="00FF7A78"/>
    <w:rsid w:val="19AC5CCA"/>
    <w:rsid w:val="1DED11EA"/>
    <w:rsid w:val="1EDF70AB"/>
    <w:rsid w:val="25D60F35"/>
    <w:rsid w:val="624038B1"/>
    <w:rsid w:val="77F466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F843A0"/>
  <w15:docId w15:val="{BBAD46A6-A9EB-4931-98E4-15586AE39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DengXian" w:eastAsia="DengXian" w:hAnsi="DengXian" w:cs="DengXi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Times New Roman" w:eastAsia="SimSun" w:hAnsi="Times New Roman" w:cstheme="minorBidi"/>
      <w:kern w:val="2"/>
      <w:sz w:val="24"/>
      <w:szCs w:val="22"/>
    </w:rPr>
  </w:style>
  <w:style w:type="paragraph" w:styleId="Heading1">
    <w:name w:val="heading 1"/>
    <w:basedOn w:val="Normal"/>
    <w:next w:val="Normal"/>
    <w:link w:val="Heading1Char"/>
    <w:uiPriority w:val="9"/>
    <w:qFormat/>
    <w:pPr>
      <w:keepNext/>
      <w:keepLines/>
      <w:spacing w:before="340" w:after="330" w:line="576" w:lineRule="auto"/>
      <w:outlineLvl w:val="0"/>
    </w:pPr>
    <w:rPr>
      <w:b/>
      <w:kern w:val="44"/>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autoRedefine/>
    <w:uiPriority w:val="99"/>
    <w:unhideWhenUsed/>
    <w:qFormat/>
    <w:pPr>
      <w:jc w:val="left"/>
    </w:pPr>
  </w:style>
  <w:style w:type="paragraph" w:styleId="BalloonText">
    <w:name w:val="Balloon Text"/>
    <w:basedOn w:val="Normal"/>
    <w:link w:val="BalloonTextChar"/>
    <w:uiPriority w:val="99"/>
    <w:semiHidden/>
    <w:unhideWhenUsed/>
    <w:qFormat/>
    <w:rPr>
      <w:sz w:val="18"/>
      <w:szCs w:val="18"/>
    </w:rPr>
  </w:style>
  <w:style w:type="paragraph" w:styleId="Footer">
    <w:name w:val="footer"/>
    <w:basedOn w:val="Normal"/>
    <w:link w:val="FooterChar"/>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uiPriority w:val="99"/>
    <w:semiHidden/>
    <w:unhideWhenUsed/>
    <w:qFormat/>
    <w:pPr>
      <w:widowControl/>
      <w:spacing w:before="100" w:beforeAutospacing="1" w:after="100" w:afterAutospacing="1"/>
      <w:jc w:val="left"/>
    </w:pPr>
    <w:rPr>
      <w:rFonts w:ascii="SimSun" w:hAnsi="SimSun" w:cs="SimSun"/>
      <w:kern w:val="0"/>
      <w:szCs w:val="24"/>
    </w:rPr>
  </w:style>
  <w:style w:type="paragraph" w:styleId="CommentSubject">
    <w:name w:val="annotation subject"/>
    <w:basedOn w:val="CommentText"/>
    <w:next w:val="CommentText"/>
    <w:link w:val="CommentSubjectChar"/>
    <w:autoRedefine/>
    <w:uiPriority w:val="99"/>
    <w:semiHidden/>
    <w:unhideWhenUsed/>
    <w:qFormat/>
    <w:rPr>
      <w:b/>
      <w:bCs/>
    </w:rPr>
  </w:style>
  <w:style w:type="character" w:styleId="FollowedHyperlink">
    <w:name w:val="FollowedHyperlink"/>
    <w:basedOn w:val="DefaultParagraphFont"/>
    <w:autoRedefine/>
    <w:uiPriority w:val="99"/>
    <w:semiHidden/>
    <w:unhideWhenUsed/>
    <w:qFormat/>
    <w:rPr>
      <w:color w:val="954F72" w:themeColor="followedHyperlink"/>
      <w:u w:val="single"/>
    </w:rPr>
  </w:style>
  <w:style w:type="character" w:styleId="Emphasis">
    <w:name w:val="Emphasis"/>
    <w:basedOn w:val="DefaultParagraphFont"/>
    <w:autoRedefine/>
    <w:uiPriority w:val="20"/>
    <w:qFormat/>
    <w:rPr>
      <w:i/>
      <w:iCs/>
    </w:rPr>
  </w:style>
  <w:style w:type="character" w:styleId="LineNumber">
    <w:name w:val="line number"/>
    <w:basedOn w:val="DefaultParagraphFont"/>
    <w:autoRedefine/>
    <w:uiPriority w:val="99"/>
    <w:semiHidden/>
    <w:unhideWhenUsed/>
    <w:qFormat/>
  </w:style>
  <w:style w:type="character" w:styleId="Hyperlink">
    <w:name w:val="Hyperlink"/>
    <w:basedOn w:val="DefaultParagraphFont"/>
    <w:autoRedefine/>
    <w:uiPriority w:val="99"/>
    <w:unhideWhenUsed/>
    <w:qFormat/>
    <w:rPr>
      <w:color w:val="0563C1" w:themeColor="hyperlink"/>
      <w:u w:val="single"/>
    </w:rPr>
  </w:style>
  <w:style w:type="character" w:styleId="CommentReference">
    <w:name w:val="annotation reference"/>
    <w:basedOn w:val="DefaultParagraphFont"/>
    <w:autoRedefine/>
    <w:uiPriority w:val="99"/>
    <w:unhideWhenUsed/>
    <w:qFormat/>
    <w:rPr>
      <w:sz w:val="21"/>
      <w:szCs w:val="21"/>
    </w:rPr>
  </w:style>
  <w:style w:type="character" w:customStyle="1" w:styleId="Heading1Char">
    <w:name w:val="Heading 1 Char"/>
    <w:basedOn w:val="DefaultParagraphFont"/>
    <w:link w:val="Heading1"/>
    <w:autoRedefine/>
    <w:uiPriority w:val="9"/>
    <w:qFormat/>
    <w:rPr>
      <w:rFonts w:ascii="Times New Roman" w:eastAsia="SimSun" w:hAnsi="Times New Roman"/>
      <w:b/>
      <w:kern w:val="44"/>
      <w:sz w:val="44"/>
    </w:rPr>
  </w:style>
  <w:style w:type="character" w:customStyle="1" w:styleId="CommentTextChar">
    <w:name w:val="Comment Text Char"/>
    <w:basedOn w:val="DefaultParagraphFont"/>
    <w:link w:val="CommentText"/>
    <w:autoRedefine/>
    <w:uiPriority w:val="99"/>
    <w:qFormat/>
    <w:rPr>
      <w:rFonts w:ascii="Times New Roman" w:eastAsia="SimSun" w:hAnsi="Times New Roman"/>
      <w:sz w:val="24"/>
    </w:rPr>
  </w:style>
  <w:style w:type="character" w:customStyle="1" w:styleId="BalloonTextChar">
    <w:name w:val="Balloon Text Char"/>
    <w:basedOn w:val="DefaultParagraphFont"/>
    <w:link w:val="BalloonText"/>
    <w:autoRedefine/>
    <w:uiPriority w:val="99"/>
    <w:semiHidden/>
    <w:qFormat/>
    <w:rPr>
      <w:rFonts w:ascii="Times New Roman" w:eastAsia="SimSun" w:hAnsi="Times New Roman"/>
      <w:sz w:val="18"/>
      <w:szCs w:val="18"/>
    </w:rPr>
  </w:style>
  <w:style w:type="character" w:customStyle="1" w:styleId="FooterChar">
    <w:name w:val="Footer Char"/>
    <w:basedOn w:val="DefaultParagraphFont"/>
    <w:link w:val="Footer"/>
    <w:autoRedefine/>
    <w:uiPriority w:val="99"/>
    <w:qFormat/>
    <w:rPr>
      <w:rFonts w:ascii="Times New Roman" w:eastAsia="SimSun" w:hAnsi="Times New Roman"/>
      <w:sz w:val="18"/>
      <w:szCs w:val="18"/>
    </w:rPr>
  </w:style>
  <w:style w:type="character" w:customStyle="1" w:styleId="HeaderChar">
    <w:name w:val="Header Char"/>
    <w:basedOn w:val="DefaultParagraphFont"/>
    <w:link w:val="Header"/>
    <w:autoRedefine/>
    <w:uiPriority w:val="99"/>
    <w:qFormat/>
    <w:rPr>
      <w:rFonts w:ascii="Times New Roman" w:eastAsia="SimSun" w:hAnsi="Times New Roman"/>
      <w:sz w:val="18"/>
      <w:szCs w:val="18"/>
    </w:rPr>
  </w:style>
  <w:style w:type="character" w:customStyle="1" w:styleId="CommentSubjectChar">
    <w:name w:val="Comment Subject Char"/>
    <w:basedOn w:val="CommentTextChar"/>
    <w:link w:val="CommentSubject"/>
    <w:autoRedefine/>
    <w:uiPriority w:val="99"/>
    <w:semiHidden/>
    <w:qFormat/>
    <w:rPr>
      <w:rFonts w:ascii="Times New Roman" w:eastAsia="SimSun" w:hAnsi="Times New Roman"/>
      <w:b/>
      <w:bCs/>
      <w:sz w:val="24"/>
    </w:rPr>
  </w:style>
  <w:style w:type="paragraph" w:customStyle="1" w:styleId="1">
    <w:name w:val="样式1"/>
    <w:basedOn w:val="Normal"/>
    <w:autoRedefine/>
    <w:qFormat/>
    <w:rPr>
      <w:rFonts w:eastAsiaTheme="minorEastAsia" w:cs="Times New Roman"/>
      <w:color w:val="000000"/>
      <w:szCs w:val="24"/>
      <w:u w:color="000000"/>
      <w:lang w:val="en-GB"/>
    </w:rPr>
  </w:style>
  <w:style w:type="paragraph" w:customStyle="1" w:styleId="Body">
    <w:name w:val="Body"/>
    <w:autoRedefine/>
    <w:qFormat/>
    <w:rsid w:val="00BB3BCD"/>
    <w:pPr>
      <w:spacing w:line="480" w:lineRule="auto"/>
    </w:pPr>
    <w:rPr>
      <w:rFonts w:ascii="Times New Roman" w:eastAsia="Arial Unicode MS" w:hAnsi="Times New Roman" w:cs="Times New Roman"/>
      <w:b/>
      <w:kern w:val="2"/>
      <w:sz w:val="28"/>
      <w:szCs w:val="28"/>
      <w:u w:color="000000"/>
      <w:lang w:eastAsia="en-US"/>
    </w:rPr>
  </w:style>
  <w:style w:type="character" w:customStyle="1" w:styleId="None">
    <w:name w:val="None"/>
    <w:autoRedefine/>
    <w:qFormat/>
  </w:style>
  <w:style w:type="character" w:customStyle="1" w:styleId="Hyperlink0">
    <w:name w:val="Hyperlink.0"/>
    <w:autoRedefine/>
    <w:qFormat/>
    <w:rPr>
      <w:sz w:val="24"/>
      <w:szCs w:val="24"/>
      <w:lang w:val="en-US"/>
    </w:rPr>
  </w:style>
  <w:style w:type="paragraph" w:customStyle="1" w:styleId="BodyA">
    <w:name w:val="Body A"/>
    <w:autoRedefine/>
    <w:qFormat/>
    <w:pPr>
      <w:widowControl w:val="0"/>
      <w:spacing w:line="480" w:lineRule="auto"/>
    </w:pPr>
    <w:rPr>
      <w:rFonts w:ascii="Times New Roman" w:eastAsia="Arial Unicode MS" w:hAnsi="Times New Roman" w:cs="Times New Roman"/>
      <w:b/>
      <w:bCs/>
      <w:kern w:val="2"/>
      <w:sz w:val="28"/>
      <w:szCs w:val="28"/>
      <w:u w:color="000000"/>
    </w:rPr>
  </w:style>
  <w:style w:type="paragraph" w:styleId="ListParagraph">
    <w:name w:val="List Paragraph"/>
    <w:basedOn w:val="Normal"/>
    <w:autoRedefine/>
    <w:uiPriority w:val="99"/>
    <w:qFormat/>
    <w:pPr>
      <w:widowControl/>
      <w:numPr>
        <w:numId w:val="1"/>
      </w:numPr>
      <w:spacing w:line="480" w:lineRule="auto"/>
      <w:jc w:val="left"/>
    </w:pPr>
    <w:rPr>
      <w:rFonts w:cs="Times New Roman"/>
      <w:szCs w:val="24"/>
    </w:rPr>
  </w:style>
  <w:style w:type="character" w:styleId="PlaceholderText">
    <w:name w:val="Placeholder Text"/>
    <w:basedOn w:val="DefaultParagraphFont"/>
    <w:autoRedefine/>
    <w:uiPriority w:val="99"/>
    <w:semiHidden/>
    <w:qFormat/>
    <w:rPr>
      <w:color w:val="808080"/>
    </w:rPr>
  </w:style>
  <w:style w:type="character" w:customStyle="1" w:styleId="font21">
    <w:name w:val="font21"/>
    <w:basedOn w:val="DefaultParagraphFont"/>
    <w:autoRedefine/>
    <w:qFormat/>
    <w:rPr>
      <w:rFonts w:ascii="Times New Roman" w:hAnsi="Times New Roman" w:cs="Times New Roman" w:hint="default"/>
      <w:i/>
      <w:iCs/>
      <w:color w:val="000000"/>
      <w:sz w:val="21"/>
      <w:szCs w:val="21"/>
      <w:u w:val="none"/>
    </w:rPr>
  </w:style>
  <w:style w:type="character" w:customStyle="1" w:styleId="font31">
    <w:name w:val="font31"/>
    <w:basedOn w:val="DefaultParagraphFont"/>
    <w:autoRedefine/>
    <w:qFormat/>
    <w:rPr>
      <w:rFonts w:ascii="Times New Roman" w:hAnsi="Times New Roman" w:cs="Times New Roman" w:hint="default"/>
      <w:i/>
      <w:iCs/>
      <w:color w:val="000000"/>
      <w:sz w:val="24"/>
      <w:szCs w:val="24"/>
      <w:u w:val="none"/>
    </w:rPr>
  </w:style>
  <w:style w:type="character" w:customStyle="1" w:styleId="font41">
    <w:name w:val="font41"/>
    <w:basedOn w:val="DefaultParagraphFont"/>
    <w:autoRedefine/>
    <w:qFormat/>
    <w:rPr>
      <w:rFonts w:ascii="Times New Roman" w:hAnsi="Times New Roman" w:cs="Times New Roman" w:hint="default"/>
      <w:i/>
      <w:iCs/>
      <w:color w:val="000000"/>
      <w:sz w:val="24"/>
      <w:szCs w:val="24"/>
      <w:u w:val="none"/>
    </w:rPr>
  </w:style>
  <w:style w:type="character" w:customStyle="1" w:styleId="font11">
    <w:name w:val="font11"/>
    <w:basedOn w:val="DefaultParagraphFont"/>
    <w:autoRedefine/>
    <w:qFormat/>
    <w:rPr>
      <w:rFonts w:ascii="Times New Roman" w:hAnsi="Times New Roman" w:cs="Times New Roman" w:hint="default"/>
      <w:i/>
      <w:iCs/>
      <w:color w:val="000000"/>
      <w:sz w:val="24"/>
      <w:szCs w:val="24"/>
      <w:u w:val="none"/>
    </w:rPr>
  </w:style>
  <w:style w:type="character" w:customStyle="1" w:styleId="font01">
    <w:name w:val="font01"/>
    <w:basedOn w:val="DefaultParagraphFont"/>
    <w:autoRedefine/>
    <w:qFormat/>
    <w:rPr>
      <w:rFonts w:ascii="Times New Roman" w:hAnsi="Times New Roman" w:cs="Times New Roman" w:hint="default"/>
      <w:color w:val="000000"/>
      <w:sz w:val="24"/>
      <w:szCs w:val="24"/>
      <w:u w:val="none"/>
    </w:rPr>
  </w:style>
  <w:style w:type="paragraph" w:customStyle="1" w:styleId="EndNoteBibliographyTitle">
    <w:name w:val="EndNote Bibliography Title"/>
    <w:basedOn w:val="Normal"/>
    <w:link w:val="EndNoteBibliographyTitle0"/>
    <w:autoRedefine/>
    <w:qFormat/>
    <w:pPr>
      <w:jc w:val="center"/>
    </w:pPr>
    <w:rPr>
      <w:rFonts w:cs="Times New Roman"/>
    </w:rPr>
  </w:style>
  <w:style w:type="character" w:customStyle="1" w:styleId="EndNoteBibliographyTitle0">
    <w:name w:val="EndNote Bibliography Title 字符"/>
    <w:basedOn w:val="DefaultParagraphFont"/>
    <w:link w:val="EndNoteBibliographyTitle"/>
    <w:autoRedefine/>
    <w:qFormat/>
    <w:rPr>
      <w:rFonts w:ascii="Times New Roman" w:eastAsia="SimSun" w:hAnsi="Times New Roman" w:cs="Times New Roman"/>
      <w:sz w:val="24"/>
    </w:rPr>
  </w:style>
  <w:style w:type="paragraph" w:customStyle="1" w:styleId="EndNoteBibliography">
    <w:name w:val="EndNote Bibliography"/>
    <w:basedOn w:val="Normal"/>
    <w:link w:val="EndNoteBibliography0"/>
    <w:autoRedefine/>
    <w:qFormat/>
    <w:pPr>
      <w:jc w:val="center"/>
    </w:pPr>
    <w:rPr>
      <w:rFonts w:cs="Times New Roman"/>
    </w:rPr>
  </w:style>
  <w:style w:type="character" w:customStyle="1" w:styleId="EndNoteBibliography0">
    <w:name w:val="EndNote Bibliography 字符"/>
    <w:basedOn w:val="DefaultParagraphFont"/>
    <w:link w:val="EndNoteBibliography"/>
    <w:autoRedefine/>
    <w:qFormat/>
    <w:rPr>
      <w:rFonts w:ascii="Times New Roman" w:eastAsia="SimSun" w:hAnsi="Times New Roman" w:cs="Times New Roman"/>
      <w:sz w:val="24"/>
    </w:rPr>
  </w:style>
  <w:style w:type="character" w:customStyle="1" w:styleId="10">
    <w:name w:val="未处理的提及1"/>
    <w:basedOn w:val="DefaultParagraphFont"/>
    <w:autoRedefine/>
    <w:uiPriority w:val="99"/>
    <w:semiHidden/>
    <w:unhideWhenUsed/>
    <w:qFormat/>
    <w:rPr>
      <w:color w:val="605E5C"/>
      <w:shd w:val="clear" w:color="auto" w:fill="E1DFDD"/>
    </w:rPr>
  </w:style>
  <w:style w:type="paragraph" w:customStyle="1" w:styleId="11">
    <w:name w:val="修订1"/>
    <w:autoRedefine/>
    <w:hidden/>
    <w:uiPriority w:val="99"/>
    <w:semiHidden/>
    <w:qFormat/>
    <w:rPr>
      <w:rFonts w:ascii="Times New Roman" w:eastAsia="SimSun" w:hAnsi="Times New Roman" w:cstheme="minorBidi"/>
      <w:kern w:val="2"/>
      <w:sz w:val="24"/>
      <w:szCs w:val="22"/>
    </w:rPr>
  </w:style>
  <w:style w:type="character" w:customStyle="1" w:styleId="2">
    <w:name w:val="未处理的提及2"/>
    <w:basedOn w:val="DefaultParagraphFont"/>
    <w:autoRedefine/>
    <w:uiPriority w:val="99"/>
    <w:semiHidden/>
    <w:unhideWhenUsed/>
    <w:qFormat/>
    <w:rPr>
      <w:color w:val="605E5C"/>
      <w:shd w:val="clear" w:color="auto" w:fill="E1DFDD"/>
    </w:rPr>
  </w:style>
  <w:style w:type="character" w:customStyle="1" w:styleId="3">
    <w:name w:val="未处理的提及3"/>
    <w:basedOn w:val="DefaultParagraphFont"/>
    <w:autoRedefine/>
    <w:uiPriority w:val="99"/>
    <w:semiHidden/>
    <w:unhideWhenUsed/>
    <w:qFormat/>
    <w:rPr>
      <w:color w:val="605E5C"/>
      <w:shd w:val="clear" w:color="auto" w:fill="E1DFDD"/>
    </w:rPr>
  </w:style>
  <w:style w:type="character" w:customStyle="1" w:styleId="4">
    <w:name w:val="未处理的提及4"/>
    <w:basedOn w:val="DefaultParagraphFont"/>
    <w:autoRedefine/>
    <w:uiPriority w:val="99"/>
    <w:semiHidden/>
    <w:unhideWhenUsed/>
    <w:qFormat/>
    <w:rPr>
      <w:color w:val="605E5C"/>
      <w:shd w:val="clear" w:color="auto" w:fill="E1DFDD"/>
    </w:rPr>
  </w:style>
  <w:style w:type="character" w:customStyle="1" w:styleId="5">
    <w:name w:val="未处理的提及5"/>
    <w:basedOn w:val="DefaultParagraphFont"/>
    <w:autoRedefine/>
    <w:uiPriority w:val="99"/>
    <w:semiHidden/>
    <w:unhideWhenUsed/>
    <w:qFormat/>
    <w:rPr>
      <w:color w:val="605E5C"/>
      <w:shd w:val="clear" w:color="auto" w:fill="E1DFDD"/>
    </w:rPr>
  </w:style>
  <w:style w:type="character" w:customStyle="1" w:styleId="6">
    <w:name w:val="未处理的提及6"/>
    <w:basedOn w:val="DefaultParagraphFont"/>
    <w:autoRedefine/>
    <w:uiPriority w:val="99"/>
    <w:semiHidden/>
    <w:unhideWhenUsed/>
    <w:qFormat/>
    <w:rPr>
      <w:color w:val="605E5C"/>
      <w:shd w:val="clear" w:color="auto" w:fill="E1DFDD"/>
    </w:rPr>
  </w:style>
  <w:style w:type="character" w:customStyle="1" w:styleId="react-xocs-alternative-link">
    <w:name w:val="react-xocs-alternative-link"/>
    <w:basedOn w:val="DefaultParagraphFont"/>
    <w:autoRedefine/>
    <w:qFormat/>
  </w:style>
  <w:style w:type="character" w:customStyle="1" w:styleId="given-name">
    <w:name w:val="given-name"/>
    <w:basedOn w:val="DefaultParagraphFont"/>
    <w:autoRedefine/>
    <w:qFormat/>
  </w:style>
  <w:style w:type="character" w:customStyle="1" w:styleId="text">
    <w:name w:val="text"/>
    <w:basedOn w:val="DefaultParagraphFont"/>
    <w:autoRedefine/>
    <w:qFormat/>
  </w:style>
  <w:style w:type="character" w:customStyle="1" w:styleId="author-ref">
    <w:name w:val="author-ref"/>
    <w:basedOn w:val="DefaultParagraphFont"/>
    <w:autoRedefine/>
    <w:qFormat/>
  </w:style>
  <w:style w:type="character" w:customStyle="1" w:styleId="15">
    <w:name w:val="15"/>
    <w:basedOn w:val="DefaultParagraphFont"/>
    <w:autoRedefine/>
    <w:qFormat/>
    <w:rPr>
      <w:rFonts w:ascii="Calibri" w:hAnsi="Calibri" w:cs="Calibri" w:hint="default"/>
    </w:rPr>
  </w:style>
  <w:style w:type="paragraph" w:customStyle="1" w:styleId="20">
    <w:name w:val="修订2"/>
    <w:autoRedefine/>
    <w:hidden/>
    <w:uiPriority w:val="99"/>
    <w:unhideWhenUsed/>
    <w:qFormat/>
    <w:rPr>
      <w:rFonts w:ascii="Times New Roman" w:eastAsia="SimSun" w:hAnsi="Times New Roman" w:cstheme="minorBidi"/>
      <w:kern w:val="2"/>
      <w:sz w:val="24"/>
      <w:szCs w:val="22"/>
    </w:rPr>
  </w:style>
  <w:style w:type="character" w:customStyle="1" w:styleId="cf01">
    <w:name w:val="cf01"/>
    <w:basedOn w:val="DefaultParagraphFont"/>
    <w:autoRedefine/>
    <w:qFormat/>
    <w:rPr>
      <w:rFonts w:ascii="Microsoft YaHei UI" w:eastAsia="Microsoft YaHei UI" w:hAnsi="Microsoft YaHei UI" w:hint="eastAsia"/>
      <w:sz w:val="18"/>
      <w:szCs w:val="18"/>
    </w:rPr>
  </w:style>
  <w:style w:type="character" w:customStyle="1" w:styleId="7">
    <w:name w:val="未处理的提及7"/>
    <w:basedOn w:val="DefaultParagraphFont"/>
    <w:autoRedefine/>
    <w:uiPriority w:val="99"/>
    <w:semiHidden/>
    <w:unhideWhenUsed/>
    <w:qFormat/>
    <w:rPr>
      <w:color w:val="605E5C"/>
      <w:shd w:val="clear" w:color="auto" w:fill="E1DFDD"/>
    </w:rPr>
  </w:style>
  <w:style w:type="character" w:customStyle="1" w:styleId="author">
    <w:name w:val="author"/>
    <w:basedOn w:val="DefaultParagraphFont"/>
    <w:autoRedefine/>
    <w:qFormat/>
  </w:style>
  <w:style w:type="character" w:customStyle="1" w:styleId="articletitle">
    <w:name w:val="articletitle"/>
    <w:basedOn w:val="DefaultParagraphFont"/>
    <w:autoRedefine/>
    <w:qFormat/>
  </w:style>
  <w:style w:type="character" w:customStyle="1" w:styleId="pubyear">
    <w:name w:val="pubyear"/>
    <w:basedOn w:val="DefaultParagraphFont"/>
    <w:autoRedefine/>
    <w:qFormat/>
  </w:style>
  <w:style w:type="character" w:customStyle="1" w:styleId="vol">
    <w:name w:val="vol"/>
    <w:basedOn w:val="DefaultParagraphFont"/>
    <w:autoRedefine/>
    <w:qFormat/>
  </w:style>
  <w:style w:type="character" w:customStyle="1" w:styleId="pagefirst">
    <w:name w:val="pagefirst"/>
    <w:basedOn w:val="DefaultParagraphFont"/>
    <w:autoRedefine/>
    <w:qFormat/>
  </w:style>
  <w:style w:type="character" w:customStyle="1" w:styleId="pagelast">
    <w:name w:val="pagelast"/>
    <w:basedOn w:val="DefaultParagraphFont"/>
    <w:autoRedefine/>
    <w:qFormat/>
  </w:style>
  <w:style w:type="character" w:customStyle="1" w:styleId="cf11">
    <w:name w:val="cf11"/>
    <w:basedOn w:val="DefaultParagraphFont"/>
    <w:autoRedefine/>
    <w:qFormat/>
    <w:rPr>
      <w:rFonts w:ascii="Microsoft YaHei UI" w:eastAsia="Microsoft YaHei UI" w:hAnsi="Microsoft YaHei UI" w:hint="eastAsia"/>
      <w:i/>
      <w:iCs/>
      <w:sz w:val="18"/>
      <w:szCs w:val="18"/>
    </w:rPr>
  </w:style>
  <w:style w:type="character" w:customStyle="1" w:styleId="cf21">
    <w:name w:val="cf21"/>
    <w:basedOn w:val="DefaultParagraphFont"/>
    <w:autoRedefine/>
    <w:qFormat/>
    <w:rPr>
      <w:rFonts w:ascii="Microsoft YaHei UI" w:eastAsia="Microsoft YaHei UI" w:hAnsi="Microsoft YaHei UI" w:hint="eastAsia"/>
      <w:sz w:val="18"/>
      <w:szCs w:val="18"/>
    </w:rPr>
  </w:style>
  <w:style w:type="paragraph" w:customStyle="1" w:styleId="pf0">
    <w:name w:val="pf0"/>
    <w:basedOn w:val="Normal"/>
    <w:autoRedefine/>
    <w:qFormat/>
    <w:pPr>
      <w:widowControl/>
      <w:spacing w:before="100" w:beforeAutospacing="1" w:after="100" w:afterAutospacing="1"/>
      <w:jc w:val="left"/>
    </w:pPr>
    <w:rPr>
      <w:rFonts w:ascii="SimSun" w:hAnsi="SimSun" w:cs="SimSun"/>
      <w:kern w:val="0"/>
      <w:szCs w:val="24"/>
    </w:rPr>
  </w:style>
  <w:style w:type="paragraph" w:customStyle="1" w:styleId="30">
    <w:name w:val="修订3"/>
    <w:autoRedefine/>
    <w:hidden/>
    <w:uiPriority w:val="99"/>
    <w:unhideWhenUsed/>
    <w:qFormat/>
    <w:rPr>
      <w:rFonts w:ascii="Times New Roman" w:eastAsia="SimSun" w:hAnsi="Times New Roman" w:cstheme="minorBidi"/>
      <w:kern w:val="2"/>
      <w:sz w:val="24"/>
      <w:szCs w:val="22"/>
    </w:rPr>
  </w:style>
  <w:style w:type="paragraph" w:customStyle="1" w:styleId="40">
    <w:name w:val="修订4"/>
    <w:autoRedefine/>
    <w:hidden/>
    <w:uiPriority w:val="99"/>
    <w:unhideWhenUsed/>
    <w:qFormat/>
    <w:rPr>
      <w:rFonts w:ascii="Times New Roman" w:eastAsia="SimSun" w:hAnsi="Times New Roman" w:cstheme="minorBidi"/>
      <w:kern w:val="2"/>
      <w:sz w:val="24"/>
      <w:szCs w:val="22"/>
    </w:rPr>
  </w:style>
  <w:style w:type="character" w:customStyle="1" w:styleId="8">
    <w:name w:val="未处理的提及8"/>
    <w:basedOn w:val="DefaultParagraphFont"/>
    <w:autoRedefine/>
    <w:uiPriority w:val="99"/>
    <w:semiHidden/>
    <w:unhideWhenUsed/>
    <w:qFormat/>
    <w:rPr>
      <w:color w:val="605E5C"/>
      <w:shd w:val="clear" w:color="auto" w:fill="E1DFDD"/>
    </w:rPr>
  </w:style>
  <w:style w:type="character" w:styleId="UnresolvedMention">
    <w:name w:val="Unresolved Mention"/>
    <w:basedOn w:val="DefaultParagraphFont"/>
    <w:uiPriority w:val="99"/>
    <w:semiHidden/>
    <w:unhideWhenUsed/>
    <w:rsid w:val="00313D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7580327">
      <w:bodyDiv w:val="1"/>
      <w:marLeft w:val="0"/>
      <w:marRight w:val="0"/>
      <w:marTop w:val="0"/>
      <w:marBottom w:val="0"/>
      <w:divBdr>
        <w:top w:val="none" w:sz="0" w:space="0" w:color="auto"/>
        <w:left w:val="none" w:sz="0" w:space="0" w:color="auto"/>
        <w:bottom w:val="none" w:sz="0" w:space="0" w:color="auto"/>
        <w:right w:val="none" w:sz="0" w:space="0" w:color="auto"/>
      </w:divBdr>
      <w:divsChild>
        <w:div w:id="12708704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AA726F-B095-45EB-9B92-27E084D80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1534</Words>
  <Characters>8744</Characters>
  <Application>Microsoft Office Word</Application>
  <DocSecurity>0</DocSecurity>
  <Lines>72</Lines>
  <Paragraphs>20</Paragraphs>
  <ScaleCrop>false</ScaleCrop>
  <Company/>
  <LinksUpToDate>false</LinksUpToDate>
  <CharactersWithSpaces>10258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Zhangpeng</dc:creator>
  <cp:lastModifiedBy>Nilesh Nawale</cp:lastModifiedBy>
  <cp:revision>2</cp:revision>
  <cp:lastPrinted>2023-03-11T11:22:00Z</cp:lastPrinted>
  <dcterms:created xsi:type="dcterms:W3CDTF">2024-02-20T09:04:00Z</dcterms:created>
  <dcterms:modified xsi:type="dcterms:W3CDTF">2024-02-20T09:04:00Z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F2B5274C379042CAAEC7002B2A32FDC1_13</vt:lpwstr>
  </property>
</Properties>
</file>